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E0370" w14:textId="37675983" w:rsidR="00BC414C" w:rsidRDefault="00BC414C" w:rsidP="00CC2483">
      <w:pPr>
        <w:widowControl w:val="0"/>
        <w:spacing w:after="360"/>
        <w:jc w:val="center"/>
        <w:outlineLvl w:val="0"/>
        <w:rPr>
          <w:rFonts w:ascii="Arial" w:hAnsi="Arial" w:cs="Arial"/>
          <w:b/>
          <w:sz w:val="36"/>
          <w:szCs w:val="36"/>
          <w:lang w:val="es-ES"/>
        </w:rPr>
      </w:pPr>
      <w:r w:rsidRPr="006B7379">
        <w:rPr>
          <w:rFonts w:ascii="Arial" w:hAnsi="Arial" w:cs="Arial"/>
          <w:b/>
          <w:sz w:val="36"/>
          <w:szCs w:val="36"/>
          <w:lang w:val="es-ES"/>
        </w:rPr>
        <w:t>Comisión de Calidad Ambiental de Texas</w:t>
      </w:r>
    </w:p>
    <w:p w14:paraId="5A856F7C" w14:textId="611CDC86" w:rsidR="00EF364C" w:rsidRPr="00EF364C" w:rsidRDefault="00EF364C" w:rsidP="00EF364C">
      <w:pPr>
        <w:widowControl w:val="0"/>
        <w:spacing w:after="360"/>
        <w:jc w:val="center"/>
        <w:outlineLvl w:val="0"/>
        <w:rPr>
          <w:rFonts w:ascii="Arial" w:hAnsi="Arial" w:cs="Arial"/>
          <w:b/>
          <w:sz w:val="36"/>
          <w:szCs w:val="36"/>
          <w:lang w:val="es-ES"/>
        </w:rPr>
      </w:pPr>
      <w:r>
        <w:rPr>
          <w:noProof/>
        </w:rPr>
        <w:drawing>
          <wp:inline distT="0" distB="0" distL="0" distR="0" wp14:anchorId="380630AF" wp14:editId="60867FD1">
            <wp:extent cx="859536" cy="868680"/>
            <wp:effectExtent l="0" t="0" r="0" b="7620"/>
            <wp:docPr id="17" name="Picture 17"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X-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536" cy="868680"/>
                    </a:xfrm>
                    <a:prstGeom prst="rect">
                      <a:avLst/>
                    </a:prstGeom>
                    <a:noFill/>
                    <a:ln>
                      <a:noFill/>
                    </a:ln>
                  </pic:spPr>
                </pic:pic>
              </a:graphicData>
            </a:graphic>
          </wp:inline>
        </w:drawing>
      </w:r>
    </w:p>
    <w:p w14:paraId="7D21026E" w14:textId="0C560188" w:rsidR="00116EF4" w:rsidRDefault="00116EF4" w:rsidP="00BC5510">
      <w:pPr>
        <w:widowControl w:val="0"/>
        <w:jc w:val="center"/>
        <w:outlineLvl w:val="1"/>
        <w:rPr>
          <w:rFonts w:ascii="Arial" w:hAnsi="Arial" w:cs="Arial"/>
          <w:b/>
          <w:sz w:val="22"/>
          <w:szCs w:val="22"/>
          <w:lang w:val="es-MX"/>
        </w:rPr>
      </w:pPr>
      <w:r w:rsidRPr="00E95A48">
        <w:rPr>
          <w:rFonts w:ascii="Arial" w:hAnsi="Arial" w:cs="Arial"/>
          <w:b/>
          <w:sz w:val="22"/>
          <w:szCs w:val="22"/>
          <w:lang w:val="es-MX"/>
        </w:rPr>
        <w:t xml:space="preserve">AVISO </w:t>
      </w:r>
      <w:r w:rsidR="00471256" w:rsidRPr="00E95A48">
        <w:rPr>
          <w:rFonts w:ascii="Arial" w:hAnsi="Arial" w:cs="Arial"/>
          <w:b/>
          <w:sz w:val="22"/>
          <w:szCs w:val="22"/>
          <w:lang w:val="es-MX"/>
        </w:rPr>
        <w:t xml:space="preserve">DE </w:t>
      </w:r>
      <w:r w:rsidRPr="00E95A48">
        <w:rPr>
          <w:rFonts w:ascii="Arial" w:hAnsi="Arial" w:cs="Arial"/>
          <w:b/>
          <w:sz w:val="22"/>
          <w:szCs w:val="22"/>
          <w:lang w:val="es-MX"/>
        </w:rPr>
        <w:t>UN</w:t>
      </w:r>
      <w:r w:rsidR="00BC5510">
        <w:rPr>
          <w:rFonts w:ascii="Arial" w:hAnsi="Arial" w:cs="Arial"/>
          <w:b/>
          <w:sz w:val="22"/>
          <w:szCs w:val="22"/>
          <w:lang w:val="es-MX"/>
        </w:rPr>
        <w:t>A APPLICACION Y DECISION PRELIMINAR</w:t>
      </w:r>
      <w:r w:rsidRPr="00E95A48">
        <w:rPr>
          <w:rFonts w:ascii="Arial" w:hAnsi="Arial" w:cs="Arial"/>
          <w:b/>
          <w:sz w:val="22"/>
          <w:szCs w:val="22"/>
          <w:lang w:val="es-MX"/>
        </w:rPr>
        <w:t xml:space="preserve"> </w:t>
      </w:r>
    </w:p>
    <w:p w14:paraId="6BF3267D" w14:textId="7B114C93" w:rsidR="00BC5510" w:rsidRDefault="00BC5510" w:rsidP="00BC5510">
      <w:pPr>
        <w:widowControl w:val="0"/>
        <w:jc w:val="center"/>
        <w:outlineLvl w:val="1"/>
        <w:rPr>
          <w:rFonts w:ascii="Arial" w:hAnsi="Arial" w:cs="Arial"/>
          <w:b/>
          <w:sz w:val="22"/>
          <w:szCs w:val="22"/>
          <w:lang w:val="es-MX"/>
        </w:rPr>
      </w:pPr>
      <w:r>
        <w:rPr>
          <w:rFonts w:ascii="Arial" w:hAnsi="Arial" w:cs="Arial"/>
          <w:b/>
          <w:sz w:val="22"/>
          <w:szCs w:val="22"/>
          <w:lang w:val="es-MX"/>
        </w:rPr>
        <w:t>PARA PERIMSOS DE CALIDAD DE AIRE</w:t>
      </w:r>
    </w:p>
    <w:p w14:paraId="61B392F8" w14:textId="77777777" w:rsidR="00EF364C" w:rsidRPr="00DB45B5" w:rsidRDefault="00EF364C" w:rsidP="00BC5510">
      <w:pPr>
        <w:widowControl w:val="0"/>
        <w:jc w:val="center"/>
        <w:outlineLvl w:val="1"/>
        <w:rPr>
          <w:rFonts w:ascii="Arial" w:hAnsi="Arial" w:cs="Arial"/>
          <w:i/>
          <w:lang w:val="es-MX"/>
        </w:rPr>
      </w:pPr>
    </w:p>
    <w:p w14:paraId="76673C87" w14:textId="2DD61C67" w:rsidR="00116EF4" w:rsidRPr="00DB45B5" w:rsidRDefault="00EF364C" w:rsidP="00646B61">
      <w:pPr>
        <w:widowControl w:val="0"/>
        <w:spacing w:after="240"/>
        <w:jc w:val="center"/>
        <w:outlineLvl w:val="2"/>
        <w:rPr>
          <w:rFonts w:ascii="Arial" w:hAnsi="Arial" w:cs="Arial"/>
          <w:lang w:val="es-MX"/>
        </w:rPr>
      </w:pPr>
      <w:r>
        <w:rPr>
          <w:rFonts w:ascii="Arial" w:hAnsi="Arial" w:cs="Arial"/>
          <w:lang w:val="es-MX"/>
        </w:rPr>
        <w:t>PERMISOS PRELIMINARES DE CALIDAD DE AIRE NUMERO</w:t>
      </w:r>
      <w:r w:rsidR="00F6750C">
        <w:rPr>
          <w:rFonts w:ascii="Arial" w:hAnsi="Arial" w:cs="Arial"/>
          <w:lang w:val="es-MX"/>
        </w:rPr>
        <w:t>S</w:t>
      </w:r>
      <w:r>
        <w:rPr>
          <w:rFonts w:ascii="Arial" w:hAnsi="Arial" w:cs="Arial"/>
          <w:lang w:val="es-MX"/>
        </w:rPr>
        <w:t>:</w:t>
      </w:r>
      <w:r w:rsidR="00116EF4" w:rsidRPr="00DB45B5">
        <w:rPr>
          <w:rFonts w:ascii="Arial" w:hAnsi="Arial" w:cs="Arial"/>
          <w:lang w:val="es-MX"/>
        </w:rPr>
        <w:t xml:space="preserve"> </w:t>
      </w:r>
      <w:r>
        <w:rPr>
          <w:rFonts w:ascii="Arial" w:hAnsi="Arial" w:cs="Arial"/>
          <w:i/>
          <w:lang w:val="es-MX"/>
        </w:rPr>
        <w:t>1467, PDSTX1090M1, N284, Y GHGPSDTX199</w:t>
      </w:r>
    </w:p>
    <w:p w14:paraId="58923EA1" w14:textId="4F1A4534" w:rsidR="00116EF4" w:rsidRPr="00DB45B5" w:rsidRDefault="00116EF4" w:rsidP="00452E2F">
      <w:pPr>
        <w:widowControl w:val="0"/>
        <w:spacing w:after="120"/>
        <w:rPr>
          <w:rFonts w:ascii="Arial" w:hAnsi="Arial" w:cs="Arial"/>
          <w:lang w:val="es-MX"/>
        </w:rPr>
      </w:pPr>
    </w:p>
    <w:p w14:paraId="7D799B99" w14:textId="5D8F8BC7" w:rsidR="0040447A" w:rsidRPr="00E84FCE" w:rsidRDefault="00765A1F" w:rsidP="00646B61">
      <w:pPr>
        <w:widowControl w:val="0"/>
        <w:spacing w:after="120"/>
        <w:outlineLvl w:val="1"/>
        <w:rPr>
          <w:rFonts w:ascii="Arial" w:hAnsi="Arial" w:cs="Arial"/>
          <w:sz w:val="20"/>
          <w:lang w:val="es-ES"/>
        </w:rPr>
      </w:pPr>
      <w:bookmarkStart w:id="0" w:name="_Hlk532476258"/>
      <w:r w:rsidRPr="00E84FCE">
        <w:rPr>
          <w:rFonts w:ascii="Arial" w:hAnsi="Arial" w:cs="Arial"/>
          <w:b/>
          <w:sz w:val="20"/>
          <w:lang w:val="es-ES"/>
        </w:rPr>
        <w:t xml:space="preserve">SOLICITUD Y </w:t>
      </w:r>
      <w:r w:rsidR="00BC5510" w:rsidRPr="00E84FCE">
        <w:rPr>
          <w:rFonts w:ascii="Arial" w:hAnsi="Arial" w:cs="Arial"/>
          <w:b/>
          <w:sz w:val="20"/>
          <w:lang w:val="es-ES"/>
        </w:rPr>
        <w:t>DECISION</w:t>
      </w:r>
      <w:r w:rsidRPr="00E84FCE">
        <w:rPr>
          <w:rFonts w:ascii="Arial" w:hAnsi="Arial" w:cs="Arial"/>
          <w:b/>
          <w:sz w:val="20"/>
          <w:lang w:val="es-ES"/>
        </w:rPr>
        <w:t xml:space="preserve"> PRELIMINAR </w:t>
      </w:r>
      <w:r w:rsidR="00BC5510" w:rsidRPr="00E84FCE">
        <w:rPr>
          <w:rFonts w:ascii="Arial" w:hAnsi="Arial" w:cs="Arial"/>
          <w:i/>
          <w:sz w:val="20"/>
          <w:lang w:val="es-ES"/>
        </w:rPr>
        <w:t>El Paso Electric Company, PO Box 982, El Paso, TX 79960-09082</w:t>
      </w:r>
      <w:r w:rsidRPr="00E84FCE">
        <w:rPr>
          <w:rFonts w:ascii="Arial" w:hAnsi="Arial" w:cs="Arial"/>
          <w:sz w:val="20"/>
          <w:lang w:val="es-ES"/>
        </w:rPr>
        <w:t xml:space="preserve">, ha presentado una solicitud ante la Comisión de Calidad Ambiental de Texas (TCEQ, por sus siglas en inglés) para </w:t>
      </w:r>
      <w:r w:rsidR="00DC193F" w:rsidRPr="00E84FCE">
        <w:rPr>
          <w:rFonts w:ascii="Arial" w:hAnsi="Arial" w:cs="Arial"/>
          <w:sz w:val="20"/>
          <w:lang w:val="es-ES"/>
        </w:rPr>
        <w:t xml:space="preserve">una enmienda </w:t>
      </w:r>
      <w:r w:rsidR="006F5193" w:rsidRPr="00E84FCE">
        <w:rPr>
          <w:rFonts w:ascii="Arial" w:hAnsi="Arial" w:cs="Arial"/>
          <w:sz w:val="20"/>
          <w:lang w:val="es-ES"/>
        </w:rPr>
        <w:t xml:space="preserve">del Permiso Estatal de Calidad del Aire </w:t>
      </w:r>
      <w:r w:rsidR="00927309">
        <w:rPr>
          <w:rFonts w:ascii="Arial" w:hAnsi="Arial" w:cs="Arial"/>
          <w:sz w:val="20"/>
          <w:lang w:val="es-ES"/>
        </w:rPr>
        <w:t>Número</w:t>
      </w:r>
      <w:r w:rsidR="006F5193" w:rsidRPr="00E84FCE">
        <w:rPr>
          <w:rFonts w:ascii="Arial" w:hAnsi="Arial" w:cs="Arial"/>
          <w:sz w:val="20"/>
          <w:lang w:val="es-ES"/>
        </w:rPr>
        <w:t xml:space="preserve">1467, modificación </w:t>
      </w:r>
      <w:r w:rsidR="00725DAC" w:rsidRPr="00E84FCE">
        <w:rPr>
          <w:rFonts w:ascii="Arial" w:hAnsi="Arial" w:cs="Arial"/>
          <w:sz w:val="20"/>
          <w:lang w:val="es-ES"/>
        </w:rPr>
        <w:t xml:space="preserve">al Permiso </w:t>
      </w:r>
      <w:r w:rsidR="00DD165F" w:rsidRPr="00E84FCE">
        <w:rPr>
          <w:rFonts w:ascii="Arial" w:hAnsi="Arial" w:cs="Arial"/>
          <w:sz w:val="20"/>
          <w:lang w:val="es-ES"/>
        </w:rPr>
        <w:t>de</w:t>
      </w:r>
      <w:r w:rsidR="006F5193" w:rsidRPr="00E84FCE">
        <w:rPr>
          <w:rFonts w:ascii="Arial" w:hAnsi="Arial" w:cs="Arial"/>
          <w:sz w:val="20"/>
          <w:lang w:val="es-ES"/>
        </w:rPr>
        <w:t xml:space="preserve"> </w:t>
      </w:r>
      <w:r w:rsidR="00787A02" w:rsidRPr="00E84FCE">
        <w:rPr>
          <w:rFonts w:ascii="Arial" w:hAnsi="Arial" w:cs="Arial"/>
          <w:sz w:val="20"/>
          <w:lang w:val="es-ES"/>
        </w:rPr>
        <w:t>Calidad de</w:t>
      </w:r>
      <w:r w:rsidR="00927309">
        <w:rPr>
          <w:rFonts w:ascii="Arial" w:hAnsi="Arial" w:cs="Arial"/>
          <w:sz w:val="20"/>
          <w:lang w:val="es-ES"/>
        </w:rPr>
        <w:t>l</w:t>
      </w:r>
      <w:r w:rsidR="00787A02" w:rsidRPr="00E84FCE">
        <w:rPr>
          <w:rFonts w:ascii="Arial" w:hAnsi="Arial" w:cs="Arial"/>
          <w:sz w:val="20"/>
          <w:lang w:val="es-ES"/>
        </w:rPr>
        <w:t xml:space="preserve"> Aire para </w:t>
      </w:r>
      <w:r w:rsidR="00DD165F" w:rsidRPr="00E84FCE">
        <w:rPr>
          <w:rFonts w:ascii="Arial" w:hAnsi="Arial" w:cs="Arial"/>
          <w:sz w:val="20"/>
          <w:lang w:val="es-ES"/>
        </w:rPr>
        <w:t>Prevención</w:t>
      </w:r>
      <w:r w:rsidR="006F5193" w:rsidRPr="00E84FCE">
        <w:rPr>
          <w:rFonts w:ascii="Arial" w:hAnsi="Arial" w:cs="Arial"/>
          <w:sz w:val="20"/>
          <w:lang w:val="es-ES"/>
        </w:rPr>
        <w:t xml:space="preserve"> de </w:t>
      </w:r>
      <w:r w:rsidR="00725DAC" w:rsidRPr="00E84FCE">
        <w:rPr>
          <w:rFonts w:ascii="Arial" w:hAnsi="Arial" w:cs="Arial"/>
          <w:sz w:val="20"/>
          <w:lang w:val="es-ES"/>
        </w:rPr>
        <w:t>Deterioro Sign</w:t>
      </w:r>
      <w:r w:rsidR="00787A02" w:rsidRPr="00E84FCE">
        <w:rPr>
          <w:rFonts w:ascii="Arial" w:hAnsi="Arial" w:cs="Arial"/>
          <w:sz w:val="20"/>
          <w:lang w:val="es-ES"/>
        </w:rPr>
        <w:t>i</w:t>
      </w:r>
      <w:r w:rsidR="00725DAC" w:rsidRPr="00E84FCE">
        <w:rPr>
          <w:rFonts w:ascii="Arial" w:hAnsi="Arial" w:cs="Arial"/>
          <w:sz w:val="20"/>
          <w:lang w:val="es-ES"/>
        </w:rPr>
        <w:t xml:space="preserve">ficativo </w:t>
      </w:r>
      <w:r w:rsidR="00DD165F" w:rsidRPr="00E84FCE">
        <w:rPr>
          <w:rFonts w:ascii="Arial" w:hAnsi="Arial" w:cs="Arial"/>
          <w:sz w:val="20"/>
          <w:lang w:val="es-ES"/>
        </w:rPr>
        <w:t>(PSD, por sus sigla</w:t>
      </w:r>
      <w:r w:rsidR="00787A02" w:rsidRPr="00E84FCE">
        <w:rPr>
          <w:rFonts w:ascii="Arial" w:hAnsi="Arial" w:cs="Arial"/>
          <w:sz w:val="20"/>
          <w:lang w:val="es-ES"/>
        </w:rPr>
        <w:t xml:space="preserve">s en </w:t>
      </w:r>
      <w:r w:rsidR="00CC5245" w:rsidRPr="00E84FCE">
        <w:rPr>
          <w:rFonts w:ascii="Arial" w:hAnsi="Arial" w:cs="Arial"/>
          <w:sz w:val="20"/>
          <w:lang w:val="es-ES"/>
        </w:rPr>
        <w:t>inglés</w:t>
      </w:r>
      <w:r w:rsidR="00787A02" w:rsidRPr="00E84FCE">
        <w:rPr>
          <w:rFonts w:ascii="Arial" w:hAnsi="Arial" w:cs="Arial"/>
          <w:sz w:val="20"/>
          <w:lang w:val="es-ES"/>
        </w:rPr>
        <w:t>)</w:t>
      </w:r>
      <w:r w:rsidR="00927309">
        <w:rPr>
          <w:rFonts w:ascii="Arial" w:hAnsi="Arial" w:cs="Arial"/>
          <w:sz w:val="20"/>
          <w:lang w:val="es-ES"/>
        </w:rPr>
        <w:t xml:space="preserve"> </w:t>
      </w:r>
      <w:r w:rsidR="00927309" w:rsidRPr="00E84FCE">
        <w:rPr>
          <w:rFonts w:ascii="Arial" w:hAnsi="Arial" w:cs="Arial"/>
          <w:sz w:val="20"/>
          <w:lang w:val="es-ES"/>
        </w:rPr>
        <w:t>N</w:t>
      </w:r>
      <w:r w:rsidR="00927309">
        <w:rPr>
          <w:rFonts w:ascii="Arial" w:hAnsi="Arial" w:cs="Arial"/>
          <w:sz w:val="20"/>
          <w:lang w:val="es-ES"/>
        </w:rPr>
        <w:t>ú</w:t>
      </w:r>
      <w:r w:rsidR="00927309" w:rsidRPr="00E84FCE">
        <w:rPr>
          <w:rFonts w:ascii="Arial" w:hAnsi="Arial" w:cs="Arial"/>
          <w:sz w:val="20"/>
          <w:lang w:val="es-ES"/>
        </w:rPr>
        <w:t>mero PSDTX1090M1</w:t>
      </w:r>
      <w:r w:rsidR="00DD165F" w:rsidRPr="00E84FCE">
        <w:rPr>
          <w:rFonts w:ascii="Arial" w:hAnsi="Arial" w:cs="Arial"/>
          <w:sz w:val="20"/>
          <w:lang w:val="es-ES"/>
        </w:rPr>
        <w:t xml:space="preserve">, </w:t>
      </w:r>
      <w:r w:rsidRPr="00E84FCE">
        <w:rPr>
          <w:rFonts w:ascii="Arial" w:hAnsi="Arial" w:cs="Arial"/>
          <w:sz w:val="20"/>
          <w:lang w:val="es-ES"/>
        </w:rPr>
        <w:t xml:space="preserve">la expedición </w:t>
      </w:r>
      <w:r w:rsidR="00A76442" w:rsidRPr="00E84FCE">
        <w:rPr>
          <w:rFonts w:ascii="Arial" w:hAnsi="Arial" w:cs="Arial"/>
          <w:sz w:val="20"/>
          <w:lang w:val="es-ES"/>
        </w:rPr>
        <w:t xml:space="preserve">del Permiso de </w:t>
      </w:r>
      <w:r w:rsidR="00F00455">
        <w:rPr>
          <w:rFonts w:ascii="Arial" w:hAnsi="Arial" w:cs="Arial"/>
          <w:sz w:val="20"/>
          <w:lang w:val="es-ES"/>
        </w:rPr>
        <w:t xml:space="preserve">Área de </w:t>
      </w:r>
      <w:r w:rsidR="00927309">
        <w:rPr>
          <w:rFonts w:ascii="Arial" w:hAnsi="Arial" w:cs="Arial"/>
          <w:sz w:val="20"/>
          <w:lang w:val="es-ES"/>
        </w:rPr>
        <w:t>Incumplimiento (</w:t>
      </w:r>
      <w:r w:rsidR="00A76442" w:rsidRPr="00E84FCE">
        <w:rPr>
          <w:rFonts w:ascii="Arial" w:hAnsi="Arial" w:cs="Arial"/>
          <w:sz w:val="20"/>
          <w:lang w:val="es-ES"/>
        </w:rPr>
        <w:t>Nonattainment</w:t>
      </w:r>
      <w:r w:rsidR="00CC5245">
        <w:rPr>
          <w:rFonts w:ascii="Arial" w:hAnsi="Arial" w:cs="Arial"/>
          <w:sz w:val="20"/>
          <w:lang w:val="es-ES"/>
        </w:rPr>
        <w:t>, en inglés</w:t>
      </w:r>
      <w:r w:rsidR="00927309">
        <w:rPr>
          <w:rFonts w:ascii="Arial" w:hAnsi="Arial" w:cs="Arial"/>
          <w:sz w:val="20"/>
          <w:lang w:val="es-ES"/>
        </w:rPr>
        <w:t>)</w:t>
      </w:r>
      <w:r w:rsidR="00A76442" w:rsidRPr="00E84FCE">
        <w:rPr>
          <w:rFonts w:ascii="Arial" w:hAnsi="Arial" w:cs="Arial"/>
          <w:sz w:val="20"/>
          <w:lang w:val="es-ES"/>
        </w:rPr>
        <w:t xml:space="preserve"> </w:t>
      </w:r>
      <w:r w:rsidR="00A76442" w:rsidRPr="00E84FCE">
        <w:rPr>
          <w:rFonts w:ascii="Arial" w:hAnsi="Arial" w:cs="Arial"/>
          <w:sz w:val="20"/>
          <w:lang w:val="es-ES"/>
        </w:rPr>
        <w:t>N</w:t>
      </w:r>
      <w:r w:rsidR="00787A02" w:rsidRPr="00E84FCE">
        <w:rPr>
          <w:rFonts w:ascii="Arial" w:hAnsi="Arial" w:cs="Arial"/>
          <w:sz w:val="20"/>
          <w:lang w:val="es-ES"/>
        </w:rPr>
        <w:t>ú</w:t>
      </w:r>
      <w:r w:rsidR="00A76442" w:rsidRPr="00E84FCE">
        <w:rPr>
          <w:rFonts w:ascii="Arial" w:hAnsi="Arial" w:cs="Arial"/>
          <w:sz w:val="20"/>
          <w:lang w:val="es-ES"/>
        </w:rPr>
        <w:t xml:space="preserve">mero N284, y la expedición del Permiso de Gases de Invernadero (GHG, por sus siglas en </w:t>
      </w:r>
      <w:r w:rsidR="00787A02" w:rsidRPr="00E84FCE">
        <w:rPr>
          <w:rFonts w:ascii="Arial" w:hAnsi="Arial" w:cs="Arial"/>
          <w:sz w:val="20"/>
          <w:lang w:val="es-ES"/>
        </w:rPr>
        <w:t>inglés</w:t>
      </w:r>
      <w:r w:rsidR="00A76442" w:rsidRPr="00E84FCE">
        <w:rPr>
          <w:rFonts w:ascii="Arial" w:hAnsi="Arial" w:cs="Arial"/>
          <w:sz w:val="20"/>
          <w:lang w:val="es-ES"/>
        </w:rPr>
        <w:t>) PSD</w:t>
      </w:r>
      <w:r w:rsidR="00067F78">
        <w:rPr>
          <w:rFonts w:ascii="Arial" w:hAnsi="Arial" w:cs="Arial"/>
          <w:sz w:val="20"/>
          <w:lang w:val="es-ES"/>
        </w:rPr>
        <w:t xml:space="preserve"> </w:t>
      </w:r>
      <w:r w:rsidR="00A76442" w:rsidRPr="00E84FCE">
        <w:rPr>
          <w:rFonts w:ascii="Arial" w:hAnsi="Arial" w:cs="Arial"/>
          <w:sz w:val="20"/>
          <w:lang w:val="es-ES"/>
        </w:rPr>
        <w:t xml:space="preserve">de Calidad del Aire </w:t>
      </w:r>
      <w:r w:rsidR="00067F78">
        <w:rPr>
          <w:rFonts w:ascii="Arial" w:hAnsi="Arial" w:cs="Arial"/>
          <w:sz w:val="20"/>
          <w:lang w:val="es-ES"/>
        </w:rPr>
        <w:t xml:space="preserve">Número </w:t>
      </w:r>
      <w:r w:rsidR="00A76442" w:rsidRPr="00E84FCE">
        <w:rPr>
          <w:rFonts w:ascii="Arial" w:hAnsi="Arial" w:cs="Arial"/>
          <w:sz w:val="20"/>
          <w:lang w:val="es-ES"/>
        </w:rPr>
        <w:t>GHGPSDTX199 por emisiones de GHGs, los cuales autorizan la modifica</w:t>
      </w:r>
      <w:r w:rsidRPr="00E84FCE">
        <w:rPr>
          <w:rFonts w:ascii="Arial" w:hAnsi="Arial" w:cs="Arial"/>
          <w:sz w:val="20"/>
          <w:lang w:val="es-ES"/>
        </w:rPr>
        <w:t xml:space="preserve">ción de </w:t>
      </w:r>
      <w:r w:rsidR="00A76442" w:rsidRPr="00E84FCE">
        <w:rPr>
          <w:rFonts w:ascii="Arial" w:hAnsi="Arial" w:cs="Arial"/>
          <w:sz w:val="20"/>
          <w:lang w:val="es-ES"/>
        </w:rPr>
        <w:t>la Planta Generadora de Electricidad Newman localizada en el 4900 Stan Roberts Senior Avenue, El Paso, condado de El Paso, Texas 79934.</w:t>
      </w:r>
      <w:r w:rsidR="00AC0316" w:rsidRPr="00E84FCE">
        <w:rPr>
          <w:rFonts w:ascii="Arial" w:hAnsi="Arial" w:cs="Arial"/>
          <w:i/>
          <w:sz w:val="20"/>
          <w:lang w:val="es-ES"/>
        </w:rPr>
        <w:t xml:space="preserve"> </w:t>
      </w:r>
      <w:r w:rsidR="00ED2E16" w:rsidRPr="00E84FCE">
        <w:rPr>
          <w:rFonts w:ascii="Arial" w:hAnsi="Arial" w:cs="Arial"/>
          <w:sz w:val="20"/>
          <w:lang w:val="es-ES"/>
        </w:rPr>
        <w:t>El establecimiento existente emitirá los siguientes contaminantes del aire en una cantidad significativa lo cual requiere de un</w:t>
      </w:r>
      <w:r w:rsidR="00787A02" w:rsidRPr="00E84FCE">
        <w:rPr>
          <w:rFonts w:ascii="Arial" w:hAnsi="Arial" w:cs="Arial"/>
          <w:sz w:val="20"/>
          <w:lang w:val="es-ES"/>
        </w:rPr>
        <w:t xml:space="preserve">a </w:t>
      </w:r>
      <w:r w:rsidR="00CC5245">
        <w:rPr>
          <w:rFonts w:ascii="Arial" w:hAnsi="Arial" w:cs="Arial"/>
          <w:sz w:val="20"/>
          <w:lang w:val="es-ES"/>
        </w:rPr>
        <w:t>R</w:t>
      </w:r>
      <w:r w:rsidR="00787A02" w:rsidRPr="00E84FCE">
        <w:rPr>
          <w:rFonts w:ascii="Arial" w:hAnsi="Arial" w:cs="Arial"/>
          <w:sz w:val="20"/>
          <w:lang w:val="es-ES"/>
        </w:rPr>
        <w:t xml:space="preserve">evisión Nonattainment: materia en partículas con diámetro de 10 micrones o menos. El establecimiento emitirá los siguientes contaminantes en una cantidad significativa: monóxido de carbono, óxidos de nitrógeno, componentes </w:t>
      </w:r>
      <w:r w:rsidR="001620C8" w:rsidRPr="00E84FCE">
        <w:rPr>
          <w:rFonts w:ascii="Arial" w:hAnsi="Arial" w:cs="Arial"/>
          <w:sz w:val="20"/>
          <w:lang w:val="es-ES"/>
        </w:rPr>
        <w:t>orgánicos</w:t>
      </w:r>
      <w:r w:rsidR="00787A02" w:rsidRPr="00E84FCE">
        <w:rPr>
          <w:rFonts w:ascii="Arial" w:hAnsi="Arial" w:cs="Arial"/>
          <w:sz w:val="20"/>
          <w:lang w:val="es-ES"/>
        </w:rPr>
        <w:t xml:space="preserve">, materia en </w:t>
      </w:r>
      <w:r w:rsidR="001620C8" w:rsidRPr="00E84FCE">
        <w:rPr>
          <w:rFonts w:ascii="Arial" w:hAnsi="Arial" w:cs="Arial"/>
          <w:sz w:val="20"/>
          <w:lang w:val="es-ES"/>
        </w:rPr>
        <w:t>partículas</w:t>
      </w:r>
      <w:r w:rsidR="00787A02" w:rsidRPr="00E84FCE">
        <w:rPr>
          <w:rFonts w:ascii="Arial" w:hAnsi="Arial" w:cs="Arial"/>
          <w:sz w:val="20"/>
          <w:lang w:val="es-ES"/>
        </w:rPr>
        <w:t xml:space="preserve"> que incluye </w:t>
      </w:r>
      <w:r w:rsidR="001620C8" w:rsidRPr="00E84FCE">
        <w:rPr>
          <w:rFonts w:ascii="Arial" w:hAnsi="Arial" w:cs="Arial"/>
          <w:sz w:val="20"/>
          <w:lang w:val="es-ES"/>
        </w:rPr>
        <w:t>partículas</w:t>
      </w:r>
      <w:r w:rsidR="00787A02" w:rsidRPr="00E84FCE">
        <w:rPr>
          <w:rFonts w:ascii="Arial" w:hAnsi="Arial" w:cs="Arial"/>
          <w:sz w:val="20"/>
          <w:lang w:val="es-ES"/>
        </w:rPr>
        <w:t xml:space="preserve"> con diámetros de 2.5 micrones o menos, y gases de invernadero. </w:t>
      </w:r>
      <w:r w:rsidR="001620C8" w:rsidRPr="00E84FCE">
        <w:rPr>
          <w:rFonts w:ascii="Arial" w:hAnsi="Arial" w:cs="Arial"/>
          <w:sz w:val="20"/>
          <w:lang w:val="es-ES"/>
        </w:rPr>
        <w:t>Además</w:t>
      </w:r>
      <w:r w:rsidR="00787A02" w:rsidRPr="00E84FCE">
        <w:rPr>
          <w:rFonts w:ascii="Arial" w:hAnsi="Arial" w:cs="Arial"/>
          <w:sz w:val="20"/>
          <w:lang w:val="es-ES"/>
        </w:rPr>
        <w:t>, el establecimiento emitirá: amonia</w:t>
      </w:r>
      <w:r w:rsidR="00B55C7E" w:rsidRPr="00E84FCE">
        <w:rPr>
          <w:rFonts w:ascii="Arial" w:hAnsi="Arial" w:cs="Arial"/>
          <w:sz w:val="20"/>
          <w:lang w:val="es-ES"/>
        </w:rPr>
        <w:t>co</w:t>
      </w:r>
      <w:r w:rsidR="00787A02" w:rsidRPr="00E84FCE">
        <w:rPr>
          <w:rFonts w:ascii="Arial" w:hAnsi="Arial" w:cs="Arial"/>
          <w:sz w:val="20"/>
          <w:lang w:val="es-ES"/>
        </w:rPr>
        <w:t>,</w:t>
      </w:r>
      <w:r w:rsidR="004F445D">
        <w:rPr>
          <w:rFonts w:ascii="Arial" w:hAnsi="Arial" w:cs="Arial"/>
          <w:sz w:val="20"/>
          <w:lang w:val="es-ES"/>
        </w:rPr>
        <w:t xml:space="preserve"> contaminantes peligrosos del aire</w:t>
      </w:r>
      <w:r w:rsidR="001620C8" w:rsidRPr="00E84FCE">
        <w:rPr>
          <w:rFonts w:ascii="Arial" w:hAnsi="Arial" w:cs="Arial"/>
          <w:sz w:val="20"/>
          <w:lang w:val="es-ES"/>
        </w:rPr>
        <w:t xml:space="preserve">, dióxido de azufre y niebla de ácido sulfúrico. Ningún otro incremento de emisiones de contaminantes se espera de este establecimiento. </w:t>
      </w:r>
    </w:p>
    <w:p w14:paraId="0AA807F7" w14:textId="1E54BF39" w:rsidR="008469C7" w:rsidRPr="00E84FCE" w:rsidRDefault="008469C7" w:rsidP="00646B61">
      <w:pPr>
        <w:widowControl w:val="0"/>
        <w:spacing w:after="120"/>
        <w:outlineLvl w:val="1"/>
        <w:rPr>
          <w:rFonts w:ascii="Arial" w:hAnsi="Arial" w:cs="Arial"/>
          <w:sz w:val="20"/>
          <w:lang w:val="es-ES"/>
        </w:rPr>
      </w:pPr>
      <w:r w:rsidRPr="00E84FCE">
        <w:rPr>
          <w:rFonts w:ascii="Arial" w:hAnsi="Arial" w:cs="Arial"/>
          <w:sz w:val="20"/>
          <w:lang w:val="es-ES"/>
        </w:rPr>
        <w:t xml:space="preserve">El nivel de incremento de PSD que se espera por el establecimiento existente y otros incrementos por fuentes en el área son los siguientes: </w:t>
      </w:r>
    </w:p>
    <w:p w14:paraId="3438B291" w14:textId="7E273BBD" w:rsidR="008469C7" w:rsidRPr="00E84FCE" w:rsidRDefault="008469C7" w:rsidP="00646B61">
      <w:pPr>
        <w:widowControl w:val="0"/>
        <w:spacing w:after="120"/>
        <w:outlineLvl w:val="1"/>
        <w:rPr>
          <w:rFonts w:ascii="Arial" w:hAnsi="Arial" w:cs="Arial"/>
          <w:sz w:val="20"/>
          <w:lang w:val="es-ES"/>
        </w:rPr>
      </w:pPr>
    </w:p>
    <w:p w14:paraId="422BC469" w14:textId="63A4FB5A" w:rsidR="008469C7" w:rsidRPr="00E84FCE" w:rsidRDefault="00E009AA" w:rsidP="00646B61">
      <w:pPr>
        <w:widowControl w:val="0"/>
        <w:spacing w:after="120"/>
        <w:outlineLvl w:val="1"/>
        <w:rPr>
          <w:rFonts w:ascii="Arial" w:hAnsi="Arial" w:cs="Arial"/>
          <w:sz w:val="20"/>
          <w:lang w:val="es-ES"/>
        </w:rPr>
      </w:pPr>
      <w:r w:rsidRPr="00E84FCE">
        <w:rPr>
          <w:rFonts w:ascii="Arial" w:hAnsi="Arial" w:cs="Arial"/>
          <w:sz w:val="20"/>
          <w:lang w:val="es-ES"/>
        </w:rPr>
        <w:t>Dióxidos</w:t>
      </w:r>
      <w:r w:rsidR="008469C7" w:rsidRPr="00E84FCE">
        <w:rPr>
          <w:rFonts w:ascii="Arial" w:hAnsi="Arial" w:cs="Arial"/>
          <w:sz w:val="20"/>
          <w:lang w:val="es-ES"/>
        </w:rPr>
        <w:t xml:space="preserve"> de </w:t>
      </w:r>
      <w:r w:rsidRPr="00E84FCE">
        <w:rPr>
          <w:rFonts w:ascii="Arial" w:hAnsi="Arial" w:cs="Arial"/>
          <w:sz w:val="20"/>
          <w:lang w:val="es-ES"/>
        </w:rPr>
        <w:t>Nitrógeno</w:t>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E009AA" w:rsidRPr="00E84FCE" w14:paraId="10D179FA" w14:textId="77777777" w:rsidTr="00C02667">
        <w:trPr>
          <w:cantSplit/>
        </w:trPr>
        <w:tc>
          <w:tcPr>
            <w:tcW w:w="3120" w:type="dxa"/>
            <w:tcBorders>
              <w:top w:val="single" w:sz="6" w:space="0" w:color="000000"/>
              <w:left w:val="single" w:sz="6" w:space="0" w:color="000000"/>
              <w:bottom w:val="nil"/>
              <w:right w:val="nil"/>
            </w:tcBorders>
            <w:vAlign w:val="bottom"/>
          </w:tcPr>
          <w:p w14:paraId="18C25AB9" w14:textId="46D8893D" w:rsidR="00E009AA" w:rsidRPr="00E84FCE" w:rsidRDefault="00E009AA" w:rsidP="00C02667">
            <w:pPr>
              <w:keepNext/>
              <w:tabs>
                <w:tab w:val="left" w:pos="450"/>
                <w:tab w:val="left" w:pos="806"/>
                <w:tab w:val="left" w:pos="1224"/>
              </w:tabs>
              <w:jc w:val="center"/>
              <w:rPr>
                <w:rStyle w:val="Strong"/>
                <w:rFonts w:ascii="Arial" w:hAnsi="Arial" w:cs="Arial"/>
                <w:sz w:val="20"/>
              </w:rPr>
            </w:pPr>
            <w:r w:rsidRPr="00E84FCE">
              <w:rPr>
                <w:rStyle w:val="Strong"/>
                <w:rFonts w:ascii="Arial" w:hAnsi="Arial" w:cs="Arial"/>
                <w:sz w:val="20"/>
              </w:rPr>
              <w:t>Tiempo</w:t>
            </w:r>
          </w:p>
          <w:p w14:paraId="731F1D68" w14:textId="4203F26D" w:rsidR="00E009AA" w:rsidRPr="00E84FCE" w:rsidRDefault="00E009AA" w:rsidP="00C02667">
            <w:pPr>
              <w:keepNext/>
              <w:tabs>
                <w:tab w:val="left" w:pos="450"/>
                <w:tab w:val="left" w:pos="806"/>
                <w:tab w:val="left" w:pos="1224"/>
              </w:tabs>
              <w:jc w:val="center"/>
              <w:rPr>
                <w:rStyle w:val="Strong"/>
                <w:rFonts w:ascii="Arial" w:hAnsi="Arial" w:cs="Arial"/>
                <w:sz w:val="20"/>
              </w:rPr>
            </w:pPr>
            <w:r w:rsidRPr="00E84FCE">
              <w:rPr>
                <w:rStyle w:val="Strong"/>
                <w:rFonts w:ascii="Arial" w:hAnsi="Arial" w:cs="Arial"/>
                <w:sz w:val="20"/>
              </w:rPr>
              <w:t>Promedio</w:t>
            </w:r>
          </w:p>
          <w:p w14:paraId="0BB81373" w14:textId="18A81604" w:rsidR="00E009AA" w:rsidRPr="00E84FCE" w:rsidRDefault="00E009AA" w:rsidP="00C02667">
            <w:pPr>
              <w:keepNext/>
              <w:tabs>
                <w:tab w:val="left" w:pos="450"/>
                <w:tab w:val="left" w:pos="806"/>
                <w:tab w:val="left" w:pos="1224"/>
              </w:tabs>
              <w:jc w:val="center"/>
              <w:rPr>
                <w:rFonts w:ascii="Arial" w:hAnsi="Arial" w:cs="Arial"/>
                <w:sz w:val="20"/>
              </w:rPr>
            </w:pPr>
            <w:r w:rsidRPr="00E84FCE">
              <w:rPr>
                <w:rStyle w:val="Strong"/>
                <w:rFonts w:ascii="Arial" w:hAnsi="Arial" w:cs="Arial"/>
                <w:sz w:val="20"/>
              </w:rPr>
              <w:t>Máximo</w:t>
            </w:r>
          </w:p>
        </w:tc>
        <w:tc>
          <w:tcPr>
            <w:tcW w:w="3120" w:type="dxa"/>
            <w:tcBorders>
              <w:top w:val="single" w:sz="6" w:space="0" w:color="000000"/>
              <w:left w:val="single" w:sz="6" w:space="0" w:color="000000"/>
              <w:bottom w:val="nil"/>
              <w:right w:val="nil"/>
            </w:tcBorders>
            <w:vAlign w:val="bottom"/>
          </w:tcPr>
          <w:p w14:paraId="2FCECF36" w14:textId="1F766356" w:rsidR="00E009AA" w:rsidRPr="00E84FCE" w:rsidRDefault="00E009AA" w:rsidP="00C02667">
            <w:pPr>
              <w:keepNext/>
              <w:tabs>
                <w:tab w:val="left" w:pos="450"/>
                <w:tab w:val="left" w:pos="806"/>
                <w:tab w:val="left" w:pos="1224"/>
              </w:tabs>
              <w:jc w:val="center"/>
              <w:rPr>
                <w:rStyle w:val="Strong"/>
                <w:rFonts w:ascii="Arial" w:hAnsi="Arial" w:cs="Arial"/>
                <w:sz w:val="20"/>
                <w:lang w:val="es-MX"/>
              </w:rPr>
            </w:pPr>
            <w:r w:rsidRPr="00E84FCE">
              <w:rPr>
                <w:rStyle w:val="Strong"/>
                <w:rFonts w:ascii="Arial" w:hAnsi="Arial" w:cs="Arial"/>
                <w:sz w:val="20"/>
                <w:lang w:val="es-MX"/>
              </w:rPr>
              <w:t>Incremento</w:t>
            </w:r>
          </w:p>
          <w:p w14:paraId="2BF01971" w14:textId="07B9E484" w:rsidR="00E009AA" w:rsidRPr="00E84FCE" w:rsidRDefault="00E009AA" w:rsidP="00C02667">
            <w:pPr>
              <w:keepNext/>
              <w:tabs>
                <w:tab w:val="left" w:pos="450"/>
                <w:tab w:val="left" w:pos="806"/>
                <w:tab w:val="left" w:pos="1224"/>
              </w:tabs>
              <w:jc w:val="center"/>
              <w:rPr>
                <w:rStyle w:val="Strong"/>
                <w:rFonts w:ascii="Arial" w:hAnsi="Arial" w:cs="Arial"/>
                <w:sz w:val="20"/>
                <w:lang w:val="es-MX"/>
              </w:rPr>
            </w:pPr>
            <w:r w:rsidRPr="00E84FCE">
              <w:rPr>
                <w:rStyle w:val="Strong"/>
                <w:rFonts w:ascii="Arial" w:hAnsi="Arial" w:cs="Arial"/>
                <w:sz w:val="20"/>
                <w:lang w:val="es-MX"/>
              </w:rPr>
              <w:t>De Consumo</w:t>
            </w:r>
          </w:p>
          <w:p w14:paraId="350CE130" w14:textId="3D821247" w:rsidR="00E009AA" w:rsidRPr="00E84FCE" w:rsidRDefault="00E009AA" w:rsidP="00C02667">
            <w:pPr>
              <w:keepNext/>
              <w:tabs>
                <w:tab w:val="left" w:pos="450"/>
                <w:tab w:val="left" w:pos="806"/>
                <w:tab w:val="left" w:pos="1224"/>
              </w:tabs>
              <w:jc w:val="center"/>
              <w:rPr>
                <w:rFonts w:ascii="Arial" w:hAnsi="Arial" w:cs="Arial"/>
                <w:sz w:val="20"/>
                <w:lang w:val="es-MX"/>
              </w:rPr>
            </w:pPr>
            <w:r w:rsidRPr="00E84FCE">
              <w:rPr>
                <w:rStyle w:val="Strong"/>
                <w:rFonts w:ascii="Arial" w:hAnsi="Arial" w:cs="Arial"/>
                <w:sz w:val="20"/>
                <w:lang w:val="es-MX"/>
              </w:rPr>
              <w:t>Máximo (µg/m</w:t>
            </w:r>
            <w:r w:rsidRPr="00E84FCE">
              <w:rPr>
                <w:rStyle w:val="Strong"/>
                <w:rFonts w:ascii="Arial" w:hAnsi="Arial" w:cs="Arial"/>
                <w:sz w:val="20"/>
                <w:vertAlign w:val="superscript"/>
                <w:lang w:val="es-MX"/>
              </w:rPr>
              <w:t>3</w:t>
            </w:r>
            <w:r w:rsidRPr="00E84FCE">
              <w:rPr>
                <w:rStyle w:val="Strong"/>
                <w:rFonts w:ascii="Arial" w:hAnsi="Arial" w:cs="Arial"/>
                <w:sz w:val="20"/>
                <w:lang w:val="es-MX"/>
              </w:rPr>
              <w:t>)</w:t>
            </w:r>
          </w:p>
        </w:tc>
        <w:tc>
          <w:tcPr>
            <w:tcW w:w="3120" w:type="dxa"/>
            <w:tcBorders>
              <w:top w:val="single" w:sz="6" w:space="0" w:color="000000"/>
              <w:left w:val="single" w:sz="6" w:space="0" w:color="000000"/>
              <w:bottom w:val="nil"/>
              <w:right w:val="single" w:sz="6" w:space="0" w:color="000000"/>
            </w:tcBorders>
            <w:vAlign w:val="bottom"/>
          </w:tcPr>
          <w:p w14:paraId="4A27BFCF" w14:textId="0441122A" w:rsidR="00E009AA" w:rsidRPr="00E84FCE" w:rsidRDefault="00E009AA" w:rsidP="00C02667">
            <w:pPr>
              <w:keepNext/>
              <w:tabs>
                <w:tab w:val="left" w:pos="450"/>
                <w:tab w:val="left" w:pos="806"/>
                <w:tab w:val="left" w:pos="1224"/>
              </w:tabs>
              <w:jc w:val="center"/>
              <w:rPr>
                <w:rStyle w:val="Strong"/>
                <w:rFonts w:ascii="Arial" w:hAnsi="Arial" w:cs="Arial"/>
                <w:sz w:val="20"/>
              </w:rPr>
            </w:pPr>
            <w:r w:rsidRPr="00E84FCE">
              <w:rPr>
                <w:rStyle w:val="Strong"/>
                <w:rFonts w:ascii="Arial" w:hAnsi="Arial" w:cs="Arial"/>
                <w:sz w:val="20"/>
              </w:rPr>
              <w:t>Incremento</w:t>
            </w:r>
          </w:p>
          <w:p w14:paraId="71F64C13" w14:textId="5E6A3DB9" w:rsidR="00E009AA" w:rsidRPr="00E84FCE" w:rsidRDefault="003B2D6F" w:rsidP="00C02667">
            <w:pPr>
              <w:keepNext/>
              <w:tabs>
                <w:tab w:val="left" w:pos="450"/>
                <w:tab w:val="left" w:pos="806"/>
                <w:tab w:val="left" w:pos="1224"/>
              </w:tabs>
              <w:jc w:val="center"/>
              <w:rPr>
                <w:rFonts w:ascii="Arial" w:hAnsi="Arial" w:cs="Arial"/>
                <w:sz w:val="20"/>
              </w:rPr>
            </w:pPr>
            <w:r w:rsidRPr="00E84FCE">
              <w:rPr>
                <w:rStyle w:val="Strong"/>
                <w:rFonts w:ascii="Arial" w:hAnsi="Arial" w:cs="Arial"/>
                <w:sz w:val="20"/>
              </w:rPr>
              <w:t>Permitido</w:t>
            </w:r>
            <w:r w:rsidR="00E009AA" w:rsidRPr="00E84FCE">
              <w:rPr>
                <w:rStyle w:val="Strong"/>
                <w:rFonts w:ascii="Arial" w:hAnsi="Arial" w:cs="Arial"/>
                <w:sz w:val="20"/>
              </w:rPr>
              <w:t xml:space="preserve"> (µg/m</w:t>
            </w:r>
            <w:r w:rsidR="00E009AA" w:rsidRPr="00E84FCE">
              <w:rPr>
                <w:rStyle w:val="Strong"/>
                <w:rFonts w:ascii="Arial" w:hAnsi="Arial" w:cs="Arial"/>
                <w:sz w:val="20"/>
                <w:vertAlign w:val="superscript"/>
              </w:rPr>
              <w:t>3</w:t>
            </w:r>
            <w:r w:rsidR="00E009AA" w:rsidRPr="00E84FCE">
              <w:rPr>
                <w:rStyle w:val="Strong"/>
                <w:rFonts w:ascii="Arial" w:hAnsi="Arial" w:cs="Arial"/>
                <w:sz w:val="20"/>
              </w:rPr>
              <w:t>)</w:t>
            </w:r>
          </w:p>
        </w:tc>
      </w:tr>
      <w:tr w:rsidR="00E009AA" w:rsidRPr="00E84FCE" w14:paraId="092975BB" w14:textId="77777777" w:rsidTr="00C02667">
        <w:trPr>
          <w:cantSplit/>
        </w:trPr>
        <w:tc>
          <w:tcPr>
            <w:tcW w:w="3120" w:type="dxa"/>
            <w:tcBorders>
              <w:top w:val="single" w:sz="6" w:space="0" w:color="000000"/>
              <w:left w:val="single" w:sz="6" w:space="0" w:color="000000"/>
              <w:bottom w:val="single" w:sz="6" w:space="0" w:color="000000"/>
              <w:right w:val="nil"/>
            </w:tcBorders>
          </w:tcPr>
          <w:p w14:paraId="4F413613" w14:textId="05EA73D6" w:rsidR="00E009AA" w:rsidRPr="00E84FCE" w:rsidRDefault="00E009AA" w:rsidP="00C02667">
            <w:pPr>
              <w:tabs>
                <w:tab w:val="left" w:pos="450"/>
                <w:tab w:val="left" w:pos="806"/>
                <w:tab w:val="left" w:pos="1224"/>
              </w:tabs>
              <w:jc w:val="center"/>
              <w:rPr>
                <w:rFonts w:ascii="Arial" w:hAnsi="Arial" w:cs="Arial"/>
                <w:sz w:val="20"/>
                <w:lang w:val="es-MX"/>
              </w:rPr>
            </w:pPr>
            <w:r w:rsidRPr="00E84FCE">
              <w:rPr>
                <w:rFonts w:ascii="Arial" w:hAnsi="Arial" w:cs="Arial"/>
                <w:sz w:val="20"/>
                <w:lang w:val="es-MX"/>
              </w:rPr>
              <w:t>Anual</w:t>
            </w:r>
          </w:p>
        </w:tc>
        <w:tc>
          <w:tcPr>
            <w:tcW w:w="3120" w:type="dxa"/>
            <w:tcBorders>
              <w:top w:val="single" w:sz="6" w:space="0" w:color="000000"/>
              <w:left w:val="single" w:sz="6" w:space="0" w:color="000000"/>
              <w:bottom w:val="single" w:sz="6" w:space="0" w:color="000000"/>
              <w:right w:val="nil"/>
            </w:tcBorders>
          </w:tcPr>
          <w:p w14:paraId="13C450F8" w14:textId="77777777" w:rsidR="00E009AA" w:rsidRPr="00E84FCE" w:rsidRDefault="00E009AA" w:rsidP="00C02667">
            <w:pPr>
              <w:tabs>
                <w:tab w:val="left" w:pos="450"/>
                <w:tab w:val="left" w:pos="806"/>
                <w:tab w:val="left" w:pos="1224"/>
              </w:tabs>
              <w:jc w:val="center"/>
              <w:rPr>
                <w:rFonts w:ascii="Arial" w:hAnsi="Arial" w:cs="Arial"/>
                <w:sz w:val="20"/>
              </w:rPr>
            </w:pPr>
            <w:r w:rsidRPr="00E84FCE">
              <w:rPr>
                <w:rFonts w:ascii="Arial" w:hAnsi="Arial" w:cs="Arial"/>
                <w:sz w:val="20"/>
              </w:rPr>
              <w:t>0.8</w:t>
            </w:r>
          </w:p>
        </w:tc>
        <w:tc>
          <w:tcPr>
            <w:tcW w:w="3120" w:type="dxa"/>
            <w:tcBorders>
              <w:top w:val="single" w:sz="6" w:space="0" w:color="000000"/>
              <w:left w:val="single" w:sz="6" w:space="0" w:color="000000"/>
              <w:bottom w:val="single" w:sz="6" w:space="0" w:color="000000"/>
              <w:right w:val="single" w:sz="6" w:space="0" w:color="000000"/>
            </w:tcBorders>
          </w:tcPr>
          <w:p w14:paraId="6D62FA4E" w14:textId="77777777" w:rsidR="00E009AA" w:rsidRPr="00E84FCE" w:rsidRDefault="00E009AA" w:rsidP="00C02667">
            <w:pPr>
              <w:tabs>
                <w:tab w:val="left" w:pos="450"/>
                <w:tab w:val="left" w:pos="806"/>
                <w:tab w:val="left" w:pos="1224"/>
              </w:tabs>
              <w:jc w:val="center"/>
              <w:rPr>
                <w:rFonts w:ascii="Arial" w:hAnsi="Arial" w:cs="Arial"/>
                <w:sz w:val="20"/>
              </w:rPr>
            </w:pPr>
            <w:r w:rsidRPr="00E84FCE">
              <w:rPr>
                <w:rFonts w:ascii="Arial" w:hAnsi="Arial" w:cs="Arial"/>
                <w:sz w:val="20"/>
              </w:rPr>
              <w:t>25</w:t>
            </w:r>
          </w:p>
        </w:tc>
      </w:tr>
    </w:tbl>
    <w:p w14:paraId="6E10D47C" w14:textId="14F93C1F" w:rsidR="008469C7" w:rsidRPr="00E84FCE" w:rsidRDefault="008469C7" w:rsidP="00646B61">
      <w:pPr>
        <w:widowControl w:val="0"/>
        <w:spacing w:after="120"/>
        <w:outlineLvl w:val="1"/>
        <w:rPr>
          <w:rFonts w:ascii="Arial" w:hAnsi="Arial" w:cs="Arial"/>
          <w:sz w:val="20"/>
          <w:lang w:val="es-ES"/>
        </w:rPr>
      </w:pPr>
    </w:p>
    <w:p w14:paraId="38842DBB" w14:textId="201220C1" w:rsidR="003B2D6F" w:rsidRPr="00E84FCE" w:rsidRDefault="003B2D6F" w:rsidP="00646B61">
      <w:pPr>
        <w:widowControl w:val="0"/>
        <w:spacing w:after="120"/>
        <w:outlineLvl w:val="1"/>
        <w:rPr>
          <w:rFonts w:ascii="Arial" w:hAnsi="Arial" w:cs="Arial"/>
          <w:sz w:val="20"/>
          <w:vertAlign w:val="subscript"/>
          <w:lang w:val="es-ES"/>
        </w:rPr>
      </w:pPr>
      <w:r w:rsidRPr="00E84FCE">
        <w:rPr>
          <w:rFonts w:ascii="Arial" w:hAnsi="Arial" w:cs="Arial"/>
          <w:sz w:val="20"/>
          <w:lang w:val="es-ES"/>
        </w:rPr>
        <w:t>PM</w:t>
      </w:r>
      <w:r w:rsidRPr="00E84FCE">
        <w:rPr>
          <w:rFonts w:ascii="Arial" w:hAnsi="Arial" w:cs="Arial"/>
          <w:sz w:val="20"/>
          <w:vertAlign w:val="subscript"/>
          <w:lang w:val="es-ES"/>
        </w:rPr>
        <w:t>2.5</w:t>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3B2D6F" w:rsidRPr="00E84FCE" w14:paraId="009E20E6" w14:textId="77777777" w:rsidTr="00C02667">
        <w:trPr>
          <w:cantSplit/>
        </w:trPr>
        <w:tc>
          <w:tcPr>
            <w:tcW w:w="3120" w:type="dxa"/>
            <w:tcBorders>
              <w:top w:val="single" w:sz="6" w:space="0" w:color="000000"/>
              <w:left w:val="single" w:sz="6" w:space="0" w:color="000000"/>
              <w:bottom w:val="nil"/>
              <w:right w:val="nil"/>
            </w:tcBorders>
            <w:vAlign w:val="bottom"/>
          </w:tcPr>
          <w:p w14:paraId="34DA1C87" w14:textId="54BCDF1B" w:rsidR="003B2D6F" w:rsidRPr="00E84FCE" w:rsidRDefault="003B2D6F" w:rsidP="00C02667">
            <w:pPr>
              <w:keepNext/>
              <w:tabs>
                <w:tab w:val="left" w:pos="450"/>
                <w:tab w:val="left" w:pos="806"/>
                <w:tab w:val="left" w:pos="1224"/>
              </w:tabs>
              <w:jc w:val="center"/>
              <w:rPr>
                <w:rStyle w:val="Strong"/>
                <w:rFonts w:ascii="Arial" w:hAnsi="Arial" w:cs="Arial"/>
                <w:sz w:val="20"/>
              </w:rPr>
            </w:pPr>
            <w:r w:rsidRPr="00E84FCE">
              <w:rPr>
                <w:rStyle w:val="Strong"/>
                <w:rFonts w:ascii="Arial" w:hAnsi="Arial" w:cs="Arial"/>
                <w:sz w:val="20"/>
              </w:rPr>
              <w:t>Tiempo</w:t>
            </w:r>
          </w:p>
          <w:p w14:paraId="2E8546A7" w14:textId="33C5C95B" w:rsidR="003B2D6F" w:rsidRPr="00E84FCE" w:rsidRDefault="003B2D6F" w:rsidP="003B2D6F">
            <w:pPr>
              <w:keepNext/>
              <w:tabs>
                <w:tab w:val="left" w:pos="450"/>
                <w:tab w:val="left" w:pos="806"/>
                <w:tab w:val="left" w:pos="1224"/>
              </w:tabs>
              <w:jc w:val="center"/>
              <w:rPr>
                <w:rStyle w:val="Strong"/>
                <w:rFonts w:ascii="Arial" w:hAnsi="Arial" w:cs="Arial"/>
                <w:sz w:val="20"/>
              </w:rPr>
            </w:pPr>
            <w:r w:rsidRPr="00E84FCE">
              <w:rPr>
                <w:rStyle w:val="Strong"/>
                <w:rFonts w:ascii="Arial" w:hAnsi="Arial" w:cs="Arial"/>
                <w:sz w:val="20"/>
              </w:rPr>
              <w:t>Promedio</w:t>
            </w:r>
          </w:p>
          <w:p w14:paraId="49F445D1" w14:textId="48A3A25A" w:rsidR="003B2D6F" w:rsidRPr="00E84FCE" w:rsidRDefault="003B2D6F" w:rsidP="00C02667">
            <w:pPr>
              <w:keepNext/>
              <w:tabs>
                <w:tab w:val="left" w:pos="450"/>
                <w:tab w:val="left" w:pos="806"/>
                <w:tab w:val="left" w:pos="1224"/>
              </w:tabs>
              <w:jc w:val="center"/>
              <w:rPr>
                <w:rFonts w:ascii="Arial" w:hAnsi="Arial" w:cs="Arial"/>
                <w:sz w:val="20"/>
              </w:rPr>
            </w:pPr>
            <w:r w:rsidRPr="00E84FCE">
              <w:rPr>
                <w:rStyle w:val="Strong"/>
                <w:rFonts w:ascii="Arial" w:hAnsi="Arial" w:cs="Arial"/>
                <w:sz w:val="20"/>
              </w:rPr>
              <w:t>M</w:t>
            </w:r>
            <w:r w:rsidR="00CC5245">
              <w:rPr>
                <w:rStyle w:val="Strong"/>
                <w:rFonts w:ascii="Arial" w:hAnsi="Arial" w:cs="Arial"/>
                <w:sz w:val="20"/>
              </w:rPr>
              <w:t>á</w:t>
            </w:r>
            <w:r w:rsidRPr="00E84FCE">
              <w:rPr>
                <w:rStyle w:val="Strong"/>
                <w:rFonts w:ascii="Arial" w:hAnsi="Arial" w:cs="Arial"/>
                <w:sz w:val="20"/>
              </w:rPr>
              <w:t>ximo</w:t>
            </w:r>
          </w:p>
        </w:tc>
        <w:tc>
          <w:tcPr>
            <w:tcW w:w="3120" w:type="dxa"/>
            <w:tcBorders>
              <w:top w:val="single" w:sz="6" w:space="0" w:color="000000"/>
              <w:left w:val="single" w:sz="6" w:space="0" w:color="000000"/>
              <w:bottom w:val="nil"/>
              <w:right w:val="nil"/>
            </w:tcBorders>
            <w:vAlign w:val="bottom"/>
          </w:tcPr>
          <w:p w14:paraId="3B2731E7" w14:textId="5B64BFE1" w:rsidR="003B2D6F" w:rsidRPr="00E84FCE" w:rsidRDefault="003B2D6F" w:rsidP="00C02667">
            <w:pPr>
              <w:keepNext/>
              <w:tabs>
                <w:tab w:val="left" w:pos="450"/>
                <w:tab w:val="left" w:pos="806"/>
                <w:tab w:val="left" w:pos="1224"/>
              </w:tabs>
              <w:jc w:val="center"/>
              <w:rPr>
                <w:rStyle w:val="Strong"/>
                <w:rFonts w:ascii="Arial" w:hAnsi="Arial" w:cs="Arial"/>
                <w:sz w:val="20"/>
                <w:lang w:val="es-MX"/>
              </w:rPr>
            </w:pPr>
            <w:r w:rsidRPr="00E84FCE">
              <w:rPr>
                <w:rStyle w:val="Strong"/>
                <w:rFonts w:ascii="Arial" w:hAnsi="Arial" w:cs="Arial"/>
                <w:sz w:val="20"/>
                <w:lang w:val="es-MX"/>
              </w:rPr>
              <w:t>Incremento</w:t>
            </w:r>
          </w:p>
          <w:p w14:paraId="69B22FA0" w14:textId="136ACDA1" w:rsidR="003B2D6F" w:rsidRPr="00E84FCE" w:rsidRDefault="003B2D6F" w:rsidP="00C02667">
            <w:pPr>
              <w:keepNext/>
              <w:tabs>
                <w:tab w:val="left" w:pos="450"/>
                <w:tab w:val="left" w:pos="806"/>
                <w:tab w:val="left" w:pos="1224"/>
              </w:tabs>
              <w:jc w:val="center"/>
              <w:rPr>
                <w:rStyle w:val="Strong"/>
                <w:rFonts w:ascii="Arial" w:hAnsi="Arial" w:cs="Arial"/>
                <w:sz w:val="20"/>
                <w:lang w:val="es-MX"/>
              </w:rPr>
            </w:pPr>
            <w:r w:rsidRPr="00E84FCE">
              <w:rPr>
                <w:rStyle w:val="Strong"/>
                <w:rFonts w:ascii="Arial" w:hAnsi="Arial" w:cs="Arial"/>
                <w:sz w:val="20"/>
                <w:lang w:val="es-MX"/>
              </w:rPr>
              <w:t>De Consumo</w:t>
            </w:r>
          </w:p>
          <w:p w14:paraId="73D9FC9E" w14:textId="7C76AA70" w:rsidR="003B2D6F" w:rsidRPr="00E84FCE" w:rsidRDefault="00CC5245" w:rsidP="00C02667">
            <w:pPr>
              <w:keepNext/>
              <w:tabs>
                <w:tab w:val="left" w:pos="450"/>
                <w:tab w:val="left" w:pos="806"/>
                <w:tab w:val="left" w:pos="1224"/>
              </w:tabs>
              <w:jc w:val="center"/>
              <w:rPr>
                <w:rFonts w:ascii="Arial" w:hAnsi="Arial" w:cs="Arial"/>
                <w:sz w:val="20"/>
                <w:lang w:val="es-MX"/>
              </w:rPr>
            </w:pPr>
            <w:r w:rsidRPr="00E84FCE">
              <w:rPr>
                <w:rStyle w:val="Strong"/>
                <w:rFonts w:ascii="Arial" w:hAnsi="Arial" w:cs="Arial"/>
                <w:sz w:val="20"/>
                <w:lang w:val="es-MX"/>
              </w:rPr>
              <w:t>Máximo</w:t>
            </w:r>
            <w:r w:rsidR="003B2D6F" w:rsidRPr="00E84FCE">
              <w:rPr>
                <w:rStyle w:val="Strong"/>
                <w:rFonts w:ascii="Arial" w:hAnsi="Arial" w:cs="Arial"/>
                <w:sz w:val="20"/>
                <w:lang w:val="es-MX"/>
              </w:rPr>
              <w:t xml:space="preserve"> (µg/m</w:t>
            </w:r>
            <w:r w:rsidR="003B2D6F" w:rsidRPr="00E84FCE">
              <w:rPr>
                <w:rStyle w:val="Strong"/>
                <w:rFonts w:ascii="Arial" w:hAnsi="Arial" w:cs="Arial"/>
                <w:sz w:val="20"/>
                <w:vertAlign w:val="superscript"/>
                <w:lang w:val="es-MX"/>
              </w:rPr>
              <w:t>3</w:t>
            </w:r>
            <w:r w:rsidR="003B2D6F" w:rsidRPr="00E84FCE">
              <w:rPr>
                <w:rStyle w:val="Strong"/>
                <w:rFonts w:ascii="Arial" w:hAnsi="Arial" w:cs="Arial"/>
                <w:sz w:val="20"/>
                <w:lang w:val="es-MX"/>
              </w:rPr>
              <w:t>)</w:t>
            </w:r>
          </w:p>
        </w:tc>
        <w:tc>
          <w:tcPr>
            <w:tcW w:w="3120" w:type="dxa"/>
            <w:tcBorders>
              <w:top w:val="single" w:sz="6" w:space="0" w:color="000000"/>
              <w:left w:val="single" w:sz="6" w:space="0" w:color="000000"/>
              <w:bottom w:val="nil"/>
              <w:right w:val="single" w:sz="6" w:space="0" w:color="000000"/>
            </w:tcBorders>
            <w:vAlign w:val="bottom"/>
          </w:tcPr>
          <w:p w14:paraId="0CBD1E08" w14:textId="3DF583DF" w:rsidR="003B2D6F" w:rsidRPr="00E84FCE" w:rsidRDefault="003B2D6F" w:rsidP="00C02667">
            <w:pPr>
              <w:keepNext/>
              <w:tabs>
                <w:tab w:val="left" w:pos="450"/>
                <w:tab w:val="left" w:pos="806"/>
                <w:tab w:val="left" w:pos="1224"/>
              </w:tabs>
              <w:jc w:val="center"/>
              <w:rPr>
                <w:rStyle w:val="Strong"/>
                <w:rFonts w:ascii="Arial" w:hAnsi="Arial" w:cs="Arial"/>
                <w:sz w:val="20"/>
              </w:rPr>
            </w:pPr>
            <w:r w:rsidRPr="00E84FCE">
              <w:rPr>
                <w:rStyle w:val="Strong"/>
                <w:rFonts w:ascii="Arial" w:hAnsi="Arial" w:cs="Arial"/>
                <w:sz w:val="20"/>
              </w:rPr>
              <w:t>Incremento</w:t>
            </w:r>
          </w:p>
          <w:p w14:paraId="4E35CA49" w14:textId="6A7F6873" w:rsidR="003B2D6F" w:rsidRPr="00E84FCE" w:rsidRDefault="003B2D6F" w:rsidP="00C02667">
            <w:pPr>
              <w:keepNext/>
              <w:tabs>
                <w:tab w:val="left" w:pos="450"/>
                <w:tab w:val="left" w:pos="806"/>
                <w:tab w:val="left" w:pos="1224"/>
              </w:tabs>
              <w:jc w:val="center"/>
              <w:rPr>
                <w:rFonts w:ascii="Arial" w:hAnsi="Arial" w:cs="Arial"/>
                <w:sz w:val="20"/>
              </w:rPr>
            </w:pPr>
            <w:r w:rsidRPr="00E84FCE">
              <w:rPr>
                <w:rStyle w:val="Strong"/>
                <w:rFonts w:ascii="Arial" w:hAnsi="Arial" w:cs="Arial"/>
                <w:sz w:val="20"/>
              </w:rPr>
              <w:t>Permitido (µg/m</w:t>
            </w:r>
            <w:r w:rsidRPr="00E84FCE">
              <w:rPr>
                <w:rStyle w:val="Strong"/>
                <w:rFonts w:ascii="Arial" w:hAnsi="Arial" w:cs="Arial"/>
                <w:sz w:val="20"/>
                <w:vertAlign w:val="superscript"/>
              </w:rPr>
              <w:t>3</w:t>
            </w:r>
            <w:r w:rsidRPr="00E84FCE">
              <w:rPr>
                <w:rStyle w:val="Strong"/>
                <w:rFonts w:ascii="Arial" w:hAnsi="Arial" w:cs="Arial"/>
                <w:sz w:val="20"/>
              </w:rPr>
              <w:t>)</w:t>
            </w:r>
          </w:p>
        </w:tc>
      </w:tr>
      <w:tr w:rsidR="003B2D6F" w:rsidRPr="00E84FCE" w14:paraId="2A669E91" w14:textId="77777777" w:rsidTr="00C02667">
        <w:trPr>
          <w:cantSplit/>
        </w:trPr>
        <w:tc>
          <w:tcPr>
            <w:tcW w:w="3120" w:type="dxa"/>
            <w:tcBorders>
              <w:top w:val="single" w:sz="6" w:space="0" w:color="000000"/>
              <w:left w:val="single" w:sz="6" w:space="0" w:color="000000"/>
              <w:bottom w:val="nil"/>
              <w:right w:val="nil"/>
            </w:tcBorders>
          </w:tcPr>
          <w:p w14:paraId="4D60CAE1" w14:textId="6298AAAF" w:rsidR="003B2D6F" w:rsidRPr="00E84FCE" w:rsidRDefault="003B2D6F" w:rsidP="00C02667">
            <w:pPr>
              <w:keepNext/>
              <w:tabs>
                <w:tab w:val="left" w:pos="450"/>
                <w:tab w:val="left" w:pos="806"/>
                <w:tab w:val="left" w:pos="1224"/>
              </w:tabs>
              <w:jc w:val="center"/>
              <w:rPr>
                <w:rFonts w:ascii="Arial" w:hAnsi="Arial" w:cs="Arial"/>
                <w:sz w:val="20"/>
              </w:rPr>
            </w:pPr>
            <w:r w:rsidRPr="00E84FCE">
              <w:rPr>
                <w:rFonts w:ascii="Arial" w:hAnsi="Arial" w:cs="Arial"/>
                <w:sz w:val="20"/>
              </w:rPr>
              <w:t>24-horas</w:t>
            </w:r>
          </w:p>
        </w:tc>
        <w:tc>
          <w:tcPr>
            <w:tcW w:w="3120" w:type="dxa"/>
            <w:tcBorders>
              <w:top w:val="single" w:sz="6" w:space="0" w:color="000000"/>
              <w:left w:val="single" w:sz="6" w:space="0" w:color="000000"/>
              <w:bottom w:val="nil"/>
              <w:right w:val="nil"/>
            </w:tcBorders>
          </w:tcPr>
          <w:p w14:paraId="155403D7" w14:textId="77777777" w:rsidR="003B2D6F" w:rsidRPr="00E84FCE" w:rsidRDefault="003B2D6F" w:rsidP="00C02667">
            <w:pPr>
              <w:keepNext/>
              <w:tabs>
                <w:tab w:val="left" w:pos="450"/>
                <w:tab w:val="left" w:pos="806"/>
                <w:tab w:val="left" w:pos="1224"/>
              </w:tabs>
              <w:jc w:val="center"/>
              <w:rPr>
                <w:rFonts w:ascii="Arial" w:hAnsi="Arial" w:cs="Arial"/>
                <w:sz w:val="20"/>
              </w:rPr>
            </w:pPr>
            <w:r w:rsidRPr="00E84FCE">
              <w:rPr>
                <w:rFonts w:ascii="Arial" w:hAnsi="Arial" w:cs="Arial"/>
                <w:sz w:val="20"/>
              </w:rPr>
              <w:t>0.3</w:t>
            </w:r>
          </w:p>
        </w:tc>
        <w:tc>
          <w:tcPr>
            <w:tcW w:w="3120" w:type="dxa"/>
            <w:tcBorders>
              <w:top w:val="single" w:sz="6" w:space="0" w:color="000000"/>
              <w:left w:val="single" w:sz="6" w:space="0" w:color="000000"/>
              <w:bottom w:val="nil"/>
              <w:right w:val="single" w:sz="6" w:space="0" w:color="000000"/>
            </w:tcBorders>
          </w:tcPr>
          <w:p w14:paraId="532415D6" w14:textId="77777777" w:rsidR="003B2D6F" w:rsidRPr="00E84FCE" w:rsidRDefault="003B2D6F" w:rsidP="00C02667">
            <w:pPr>
              <w:keepNext/>
              <w:tabs>
                <w:tab w:val="left" w:pos="450"/>
                <w:tab w:val="left" w:pos="806"/>
                <w:tab w:val="left" w:pos="1224"/>
              </w:tabs>
              <w:jc w:val="center"/>
              <w:rPr>
                <w:rFonts w:ascii="Arial" w:hAnsi="Arial" w:cs="Arial"/>
                <w:sz w:val="20"/>
              </w:rPr>
            </w:pPr>
            <w:r w:rsidRPr="00E84FCE">
              <w:rPr>
                <w:rFonts w:ascii="Arial" w:hAnsi="Arial" w:cs="Arial"/>
                <w:sz w:val="20"/>
              </w:rPr>
              <w:t>9</w:t>
            </w:r>
          </w:p>
        </w:tc>
      </w:tr>
      <w:tr w:rsidR="003B2D6F" w:rsidRPr="00E84FCE" w14:paraId="0C86EFE8" w14:textId="77777777" w:rsidTr="00C02667">
        <w:trPr>
          <w:cantSplit/>
        </w:trPr>
        <w:tc>
          <w:tcPr>
            <w:tcW w:w="3120" w:type="dxa"/>
            <w:tcBorders>
              <w:top w:val="single" w:sz="6" w:space="0" w:color="000000"/>
              <w:left w:val="single" w:sz="6" w:space="0" w:color="000000"/>
              <w:bottom w:val="single" w:sz="6" w:space="0" w:color="000000"/>
              <w:right w:val="nil"/>
            </w:tcBorders>
          </w:tcPr>
          <w:p w14:paraId="3DDDE2C3" w14:textId="6E697BA1" w:rsidR="003B2D6F" w:rsidRPr="00E84FCE" w:rsidRDefault="003B2D6F" w:rsidP="00C02667">
            <w:pPr>
              <w:tabs>
                <w:tab w:val="left" w:pos="450"/>
                <w:tab w:val="left" w:pos="806"/>
                <w:tab w:val="left" w:pos="1224"/>
              </w:tabs>
              <w:jc w:val="center"/>
              <w:rPr>
                <w:rFonts w:ascii="Arial" w:hAnsi="Arial" w:cs="Arial"/>
                <w:sz w:val="20"/>
                <w:lang w:val="es-MX"/>
              </w:rPr>
            </w:pPr>
            <w:r w:rsidRPr="00E84FCE">
              <w:rPr>
                <w:rFonts w:ascii="Arial" w:hAnsi="Arial" w:cs="Arial"/>
                <w:sz w:val="20"/>
                <w:lang w:val="es-MX"/>
              </w:rPr>
              <w:t>Anual</w:t>
            </w:r>
          </w:p>
        </w:tc>
        <w:tc>
          <w:tcPr>
            <w:tcW w:w="3120" w:type="dxa"/>
            <w:tcBorders>
              <w:top w:val="single" w:sz="6" w:space="0" w:color="000000"/>
              <w:left w:val="single" w:sz="6" w:space="0" w:color="000000"/>
              <w:bottom w:val="single" w:sz="6" w:space="0" w:color="000000"/>
              <w:right w:val="nil"/>
            </w:tcBorders>
          </w:tcPr>
          <w:p w14:paraId="045134A0" w14:textId="77777777" w:rsidR="003B2D6F" w:rsidRPr="00E84FCE" w:rsidRDefault="003B2D6F" w:rsidP="00C02667">
            <w:pPr>
              <w:tabs>
                <w:tab w:val="left" w:pos="450"/>
                <w:tab w:val="left" w:pos="806"/>
                <w:tab w:val="left" w:pos="1224"/>
              </w:tabs>
              <w:jc w:val="center"/>
              <w:rPr>
                <w:rFonts w:ascii="Arial" w:hAnsi="Arial" w:cs="Arial"/>
                <w:sz w:val="20"/>
              </w:rPr>
            </w:pPr>
            <w:r w:rsidRPr="00E84FCE">
              <w:rPr>
                <w:rFonts w:ascii="Arial" w:hAnsi="Arial" w:cs="Arial"/>
                <w:sz w:val="20"/>
              </w:rPr>
              <w:t>0.05</w:t>
            </w:r>
          </w:p>
        </w:tc>
        <w:tc>
          <w:tcPr>
            <w:tcW w:w="3120" w:type="dxa"/>
            <w:tcBorders>
              <w:top w:val="single" w:sz="6" w:space="0" w:color="000000"/>
              <w:left w:val="single" w:sz="6" w:space="0" w:color="000000"/>
              <w:bottom w:val="single" w:sz="6" w:space="0" w:color="000000"/>
              <w:right w:val="single" w:sz="6" w:space="0" w:color="000000"/>
            </w:tcBorders>
          </w:tcPr>
          <w:p w14:paraId="3A5C932D" w14:textId="77777777" w:rsidR="003B2D6F" w:rsidRPr="00E84FCE" w:rsidRDefault="003B2D6F" w:rsidP="00C02667">
            <w:pPr>
              <w:tabs>
                <w:tab w:val="left" w:pos="450"/>
                <w:tab w:val="left" w:pos="806"/>
                <w:tab w:val="left" w:pos="1224"/>
              </w:tabs>
              <w:jc w:val="center"/>
              <w:rPr>
                <w:rFonts w:ascii="Arial" w:hAnsi="Arial" w:cs="Arial"/>
                <w:sz w:val="20"/>
              </w:rPr>
            </w:pPr>
            <w:r w:rsidRPr="00E84FCE">
              <w:rPr>
                <w:rFonts w:ascii="Arial" w:hAnsi="Arial" w:cs="Arial"/>
                <w:sz w:val="20"/>
              </w:rPr>
              <w:t>4</w:t>
            </w:r>
          </w:p>
        </w:tc>
      </w:tr>
    </w:tbl>
    <w:p w14:paraId="2187E486" w14:textId="77777777" w:rsidR="008469C7" w:rsidRPr="00E84FCE" w:rsidRDefault="008469C7" w:rsidP="00646B61">
      <w:pPr>
        <w:widowControl w:val="0"/>
        <w:spacing w:after="120"/>
        <w:outlineLvl w:val="1"/>
        <w:rPr>
          <w:rFonts w:ascii="Arial" w:hAnsi="Arial" w:cs="Arial"/>
          <w:sz w:val="20"/>
          <w:lang w:val="es-ES"/>
        </w:rPr>
      </w:pPr>
    </w:p>
    <w:p w14:paraId="3CC2E32E" w14:textId="48982EA9" w:rsidR="00116EF4" w:rsidRPr="00E84FCE" w:rsidRDefault="00765A1F" w:rsidP="003B2D6F">
      <w:pPr>
        <w:widowControl w:val="0"/>
        <w:spacing w:after="120"/>
        <w:outlineLvl w:val="1"/>
        <w:rPr>
          <w:rFonts w:ascii="Arial" w:hAnsi="Arial" w:cs="Arial"/>
          <w:sz w:val="20"/>
          <w:lang w:val="es-ES"/>
        </w:rPr>
      </w:pPr>
      <w:r w:rsidRPr="00E84FCE">
        <w:rPr>
          <w:rFonts w:ascii="Arial" w:hAnsi="Arial" w:cs="Arial"/>
          <w:sz w:val="20"/>
          <w:lang w:val="es-ES"/>
        </w:rPr>
        <w:t>E</w:t>
      </w:r>
      <w:bookmarkEnd w:id="0"/>
      <w:r w:rsidR="003B2D6F" w:rsidRPr="00E84FCE">
        <w:rPr>
          <w:rFonts w:ascii="Arial" w:hAnsi="Arial" w:cs="Arial"/>
          <w:sz w:val="20"/>
          <w:lang w:val="es-ES"/>
        </w:rPr>
        <w:t xml:space="preserve">sta aplicación fue sometida a la TCEQ el 16 de Noviembre del 2019. El director ejecutivo ha determinado que las emisiones de los contaminantes de aire del establecimiento existente, los cuales están sujetos a una </w:t>
      </w:r>
      <w:r w:rsidR="005A6D1E" w:rsidRPr="00E84FCE">
        <w:rPr>
          <w:rFonts w:ascii="Arial" w:hAnsi="Arial" w:cs="Arial"/>
          <w:sz w:val="20"/>
          <w:lang w:val="es-ES"/>
        </w:rPr>
        <w:t>revis</w:t>
      </w:r>
      <w:r w:rsidR="003B2D6F" w:rsidRPr="00E84FCE">
        <w:rPr>
          <w:rFonts w:ascii="Arial" w:hAnsi="Arial" w:cs="Arial"/>
          <w:sz w:val="20"/>
          <w:lang w:val="es-ES"/>
        </w:rPr>
        <w:t xml:space="preserve">ión de PSD, no </w:t>
      </w:r>
      <w:r w:rsidR="00CF6A33" w:rsidRPr="00E84FCE">
        <w:rPr>
          <w:rFonts w:ascii="Arial" w:hAnsi="Arial" w:cs="Arial"/>
          <w:sz w:val="20"/>
          <w:lang w:val="es-ES"/>
        </w:rPr>
        <w:t>violarán</w:t>
      </w:r>
      <w:r w:rsidR="003B2D6F" w:rsidRPr="00E84FCE">
        <w:rPr>
          <w:rFonts w:ascii="Arial" w:hAnsi="Arial" w:cs="Arial"/>
          <w:sz w:val="20"/>
          <w:lang w:val="es-ES"/>
        </w:rPr>
        <w:t xml:space="preserve"> ninguna </w:t>
      </w:r>
      <w:r w:rsidR="005A6D1E" w:rsidRPr="00E84FCE">
        <w:rPr>
          <w:rFonts w:ascii="Arial" w:hAnsi="Arial" w:cs="Arial"/>
          <w:sz w:val="20"/>
          <w:lang w:val="es-ES"/>
        </w:rPr>
        <w:t>ley federal o estatal de la Calidad de Aire</w:t>
      </w:r>
      <w:r w:rsidR="003B2D6F" w:rsidRPr="00E84FCE">
        <w:rPr>
          <w:rFonts w:ascii="Arial" w:hAnsi="Arial" w:cs="Arial"/>
          <w:sz w:val="20"/>
          <w:lang w:val="es-ES"/>
        </w:rPr>
        <w:t xml:space="preserve"> y no tendrán </w:t>
      </w:r>
      <w:r w:rsidR="00CF6A33" w:rsidRPr="00E84FCE">
        <w:rPr>
          <w:rFonts w:ascii="Arial" w:hAnsi="Arial" w:cs="Arial"/>
          <w:sz w:val="20"/>
          <w:lang w:val="es-ES"/>
        </w:rPr>
        <w:t>ningún</w:t>
      </w:r>
      <w:r w:rsidR="003B2D6F" w:rsidRPr="00E84FCE">
        <w:rPr>
          <w:rFonts w:ascii="Arial" w:hAnsi="Arial" w:cs="Arial"/>
          <w:sz w:val="20"/>
          <w:lang w:val="es-ES"/>
        </w:rPr>
        <w:t xml:space="preserve"> impacto </w:t>
      </w:r>
      <w:r w:rsidR="00CF6A33" w:rsidRPr="00E84FCE">
        <w:rPr>
          <w:rFonts w:ascii="Arial" w:hAnsi="Arial" w:cs="Arial"/>
          <w:sz w:val="20"/>
          <w:lang w:val="es-ES"/>
        </w:rPr>
        <w:t xml:space="preserve">significativo sobre </w:t>
      </w:r>
      <w:r w:rsidR="004F445D">
        <w:rPr>
          <w:rFonts w:ascii="Arial" w:hAnsi="Arial" w:cs="Arial"/>
          <w:sz w:val="20"/>
          <w:lang w:val="es-ES"/>
        </w:rPr>
        <w:t>los</w:t>
      </w:r>
      <w:r w:rsidR="00CF6A33" w:rsidRPr="00E84FCE">
        <w:rPr>
          <w:rFonts w:ascii="Arial" w:hAnsi="Arial" w:cs="Arial"/>
          <w:sz w:val="20"/>
          <w:lang w:val="es-ES"/>
        </w:rPr>
        <w:t xml:space="preserve"> </w:t>
      </w:r>
      <w:r w:rsidR="003B2D6F" w:rsidRPr="00E84FCE">
        <w:rPr>
          <w:rFonts w:ascii="Arial" w:hAnsi="Arial" w:cs="Arial"/>
          <w:sz w:val="20"/>
          <w:lang w:val="es-ES"/>
        </w:rPr>
        <w:t>suelo</w:t>
      </w:r>
      <w:r w:rsidR="004F445D">
        <w:rPr>
          <w:rFonts w:ascii="Arial" w:hAnsi="Arial" w:cs="Arial"/>
          <w:sz w:val="20"/>
          <w:lang w:val="es-ES"/>
        </w:rPr>
        <w:t>s</w:t>
      </w:r>
      <w:r w:rsidR="003B2D6F" w:rsidRPr="00E84FCE">
        <w:rPr>
          <w:rFonts w:ascii="Arial" w:hAnsi="Arial" w:cs="Arial"/>
          <w:sz w:val="20"/>
          <w:lang w:val="es-ES"/>
        </w:rPr>
        <w:t xml:space="preserve">, </w:t>
      </w:r>
      <w:r w:rsidR="00CF6A33" w:rsidRPr="00E84FCE">
        <w:rPr>
          <w:rFonts w:ascii="Arial" w:hAnsi="Arial" w:cs="Arial"/>
          <w:sz w:val="20"/>
          <w:lang w:val="es-ES"/>
        </w:rPr>
        <w:t xml:space="preserve">la </w:t>
      </w:r>
      <w:r w:rsidR="003B2D6F" w:rsidRPr="00E84FCE">
        <w:rPr>
          <w:rFonts w:ascii="Arial" w:hAnsi="Arial" w:cs="Arial"/>
          <w:sz w:val="20"/>
          <w:lang w:val="es-ES"/>
        </w:rPr>
        <w:t xml:space="preserve">vegetación, o visibilidad. Todos los contaminantes han sido evaluados y </w:t>
      </w:r>
      <w:r w:rsidR="00CF6A33" w:rsidRPr="00E84FCE">
        <w:rPr>
          <w:rFonts w:ascii="Arial" w:hAnsi="Arial" w:cs="Arial"/>
          <w:sz w:val="20"/>
          <w:lang w:val="es-ES"/>
        </w:rPr>
        <w:t xml:space="preserve">la </w:t>
      </w:r>
      <w:r w:rsidR="004F445D">
        <w:rPr>
          <w:rFonts w:ascii="Arial" w:hAnsi="Arial" w:cs="Arial"/>
          <w:sz w:val="20"/>
          <w:lang w:val="es-ES"/>
        </w:rPr>
        <w:t>“</w:t>
      </w:r>
      <w:r w:rsidR="00CF6A33" w:rsidRPr="00E84FCE">
        <w:rPr>
          <w:rFonts w:ascii="Arial" w:hAnsi="Arial" w:cs="Arial"/>
          <w:sz w:val="20"/>
          <w:lang w:val="es-ES"/>
        </w:rPr>
        <w:t>mejor tecnología de control disponible</w:t>
      </w:r>
      <w:r w:rsidR="004F445D">
        <w:rPr>
          <w:rFonts w:ascii="Arial" w:hAnsi="Arial" w:cs="Arial"/>
          <w:sz w:val="20"/>
          <w:lang w:val="es-ES"/>
        </w:rPr>
        <w:t>”</w:t>
      </w:r>
      <w:r w:rsidR="00CF6A33" w:rsidRPr="00E84FCE">
        <w:rPr>
          <w:rFonts w:ascii="Arial" w:hAnsi="Arial" w:cs="Arial"/>
          <w:sz w:val="20"/>
          <w:lang w:val="es-ES"/>
        </w:rPr>
        <w:t xml:space="preserve"> será usada para el control de estos contaminantes</w:t>
      </w:r>
      <w:r w:rsidR="00840593" w:rsidRPr="00E84FCE">
        <w:rPr>
          <w:rFonts w:ascii="Arial" w:hAnsi="Arial" w:cs="Arial"/>
          <w:sz w:val="20"/>
          <w:lang w:val="es-ES"/>
        </w:rPr>
        <w:t xml:space="preserve"> (</w:t>
      </w:r>
      <w:r w:rsidR="002D5677" w:rsidRPr="00CC5245">
        <w:rPr>
          <w:rFonts w:ascii="Arial" w:hAnsi="Arial" w:cs="Arial"/>
          <w:sz w:val="20"/>
          <w:lang w:val="es-ES"/>
        </w:rPr>
        <w:t>best available control technology</w:t>
      </w:r>
      <w:r w:rsidR="002D5677" w:rsidRPr="00E84FCE">
        <w:rPr>
          <w:rFonts w:ascii="Arial" w:hAnsi="Arial" w:cs="Arial"/>
          <w:sz w:val="20"/>
          <w:lang w:val="es-ES"/>
        </w:rPr>
        <w:t>,</w:t>
      </w:r>
      <w:r w:rsidR="00840593" w:rsidRPr="00E84FCE">
        <w:rPr>
          <w:rFonts w:ascii="Arial" w:hAnsi="Arial" w:cs="Arial"/>
          <w:sz w:val="20"/>
          <w:lang w:val="es-ES"/>
        </w:rPr>
        <w:t xml:space="preserve"> en </w:t>
      </w:r>
      <w:r w:rsidR="00CF6A33" w:rsidRPr="00E84FCE">
        <w:rPr>
          <w:rFonts w:ascii="Arial" w:hAnsi="Arial" w:cs="Arial"/>
          <w:sz w:val="20"/>
          <w:lang w:val="es-ES"/>
        </w:rPr>
        <w:t>inglés</w:t>
      </w:r>
      <w:r w:rsidR="00840593" w:rsidRPr="00E84FCE">
        <w:rPr>
          <w:rFonts w:ascii="Arial" w:hAnsi="Arial" w:cs="Arial"/>
          <w:sz w:val="20"/>
          <w:lang w:val="es-ES"/>
        </w:rPr>
        <w:t>).</w:t>
      </w:r>
    </w:p>
    <w:p w14:paraId="4916703F" w14:textId="7CDD00B7" w:rsidR="00605B01" w:rsidRPr="00E84FCE" w:rsidRDefault="00605B01" w:rsidP="003B2D6F">
      <w:pPr>
        <w:widowControl w:val="0"/>
        <w:spacing w:after="120"/>
        <w:outlineLvl w:val="1"/>
        <w:rPr>
          <w:rFonts w:ascii="Arial" w:hAnsi="Arial" w:cs="Arial"/>
          <w:sz w:val="20"/>
          <w:lang w:val="es-ES"/>
        </w:rPr>
      </w:pPr>
    </w:p>
    <w:p w14:paraId="457178E5" w14:textId="3B283882" w:rsidR="00605B01" w:rsidRPr="00E84FCE" w:rsidRDefault="0027266A" w:rsidP="003B2D6F">
      <w:pPr>
        <w:widowControl w:val="0"/>
        <w:spacing w:after="120"/>
        <w:outlineLvl w:val="1"/>
        <w:rPr>
          <w:rFonts w:ascii="Arial" w:hAnsi="Arial" w:cs="Arial"/>
          <w:sz w:val="20"/>
          <w:lang w:val="es-ES"/>
        </w:rPr>
      </w:pPr>
      <w:r w:rsidRPr="00E84FCE">
        <w:rPr>
          <w:rFonts w:ascii="Arial" w:hAnsi="Arial" w:cs="Arial"/>
          <w:sz w:val="20"/>
          <w:lang w:val="es-ES"/>
        </w:rPr>
        <w:t xml:space="preserve">El Condado de El Paso ha sido designado como </w:t>
      </w:r>
      <w:r w:rsidR="00CC5245">
        <w:rPr>
          <w:rFonts w:ascii="Arial" w:hAnsi="Arial" w:cs="Arial"/>
          <w:sz w:val="20"/>
          <w:lang w:val="es-ES"/>
        </w:rPr>
        <w:t>“</w:t>
      </w:r>
      <w:r w:rsidRPr="00E84FCE">
        <w:rPr>
          <w:rFonts w:ascii="Arial" w:hAnsi="Arial" w:cs="Arial"/>
          <w:sz w:val="20"/>
          <w:lang w:val="es-ES"/>
        </w:rPr>
        <w:t>nonattainment</w:t>
      </w:r>
      <w:r w:rsidR="00CC5245">
        <w:rPr>
          <w:rFonts w:ascii="Arial" w:hAnsi="Arial" w:cs="Arial"/>
          <w:sz w:val="20"/>
          <w:lang w:val="es-ES"/>
        </w:rPr>
        <w:t>”</w:t>
      </w:r>
      <w:r w:rsidRPr="00E84FCE">
        <w:rPr>
          <w:rFonts w:ascii="Arial" w:hAnsi="Arial" w:cs="Arial"/>
          <w:sz w:val="20"/>
          <w:lang w:val="es-ES"/>
        </w:rPr>
        <w:t xml:space="preserve"> para PM10 porque las </w:t>
      </w:r>
      <w:r w:rsidR="00CF6A33" w:rsidRPr="00E84FCE">
        <w:rPr>
          <w:rFonts w:ascii="Arial" w:hAnsi="Arial" w:cs="Arial"/>
          <w:sz w:val="20"/>
          <w:lang w:val="es-ES"/>
        </w:rPr>
        <w:t>E</w:t>
      </w:r>
      <w:r w:rsidRPr="00E84FCE">
        <w:rPr>
          <w:rFonts w:ascii="Arial" w:hAnsi="Arial" w:cs="Arial"/>
          <w:sz w:val="20"/>
          <w:lang w:val="es-ES"/>
        </w:rPr>
        <w:t xml:space="preserve">staciones de Monitoreo Continuo de Aire muestran que las concentraciones ambientales de PM10 exceden las </w:t>
      </w:r>
      <w:r w:rsidR="00CF6A33" w:rsidRPr="00E84FCE">
        <w:rPr>
          <w:rFonts w:ascii="Arial" w:hAnsi="Arial" w:cs="Arial"/>
          <w:sz w:val="20"/>
          <w:lang w:val="es-ES"/>
        </w:rPr>
        <w:t>Normas Nacionales de Calidad del Aire A</w:t>
      </w:r>
      <w:r w:rsidRPr="00E84FCE">
        <w:rPr>
          <w:rFonts w:ascii="Arial" w:hAnsi="Arial" w:cs="Arial"/>
          <w:sz w:val="20"/>
          <w:lang w:val="es-ES"/>
        </w:rPr>
        <w:t>mbiental (NAAQS, por s</w:t>
      </w:r>
      <w:r w:rsidR="005A6D1E" w:rsidRPr="00E84FCE">
        <w:rPr>
          <w:rFonts w:ascii="Arial" w:hAnsi="Arial" w:cs="Arial"/>
          <w:sz w:val="20"/>
          <w:lang w:val="es-ES"/>
        </w:rPr>
        <w:t xml:space="preserve">us siglas en </w:t>
      </w:r>
      <w:r w:rsidR="00CF6A33" w:rsidRPr="00E84FCE">
        <w:rPr>
          <w:rFonts w:ascii="Arial" w:hAnsi="Arial" w:cs="Arial"/>
          <w:sz w:val="20"/>
          <w:lang w:val="es-ES"/>
        </w:rPr>
        <w:t>inglés</w:t>
      </w:r>
      <w:r w:rsidR="005A6D1E" w:rsidRPr="00E84FCE">
        <w:rPr>
          <w:rFonts w:ascii="Arial" w:hAnsi="Arial" w:cs="Arial"/>
          <w:sz w:val="20"/>
          <w:lang w:val="es-ES"/>
        </w:rPr>
        <w:t>) para PM10. El Acto de Aire Limpio Federa</w:t>
      </w:r>
      <w:r w:rsidR="00224845" w:rsidRPr="00E84FCE">
        <w:rPr>
          <w:rFonts w:ascii="Arial" w:hAnsi="Arial" w:cs="Arial"/>
          <w:sz w:val="20"/>
          <w:lang w:val="es-ES"/>
        </w:rPr>
        <w:t>l</w:t>
      </w:r>
      <w:r w:rsidR="005A6D1E" w:rsidRPr="00E84FCE">
        <w:rPr>
          <w:rFonts w:ascii="Arial" w:hAnsi="Arial" w:cs="Arial"/>
          <w:sz w:val="20"/>
          <w:lang w:val="es-ES"/>
        </w:rPr>
        <w:t xml:space="preserve"> (FCAA, por sus siglas en </w:t>
      </w:r>
      <w:r w:rsidR="00CF6A33" w:rsidRPr="00E84FCE">
        <w:rPr>
          <w:rFonts w:ascii="Arial" w:hAnsi="Arial" w:cs="Arial"/>
          <w:sz w:val="20"/>
          <w:lang w:val="es-ES"/>
        </w:rPr>
        <w:t>inglés</w:t>
      </w:r>
      <w:r w:rsidR="005A6D1E" w:rsidRPr="00E84FCE">
        <w:rPr>
          <w:rFonts w:ascii="Arial" w:hAnsi="Arial" w:cs="Arial"/>
          <w:sz w:val="20"/>
          <w:lang w:val="es-ES"/>
        </w:rPr>
        <w:t>) requiere que las nuevas fuentes estacionarias principales</w:t>
      </w:r>
      <w:r w:rsidR="00224845" w:rsidRPr="00E84FCE">
        <w:rPr>
          <w:rFonts w:ascii="Arial" w:hAnsi="Arial" w:cs="Arial"/>
          <w:sz w:val="20"/>
          <w:lang w:val="es-ES"/>
        </w:rPr>
        <w:t xml:space="preserve"> y los cambios mayores a fu</w:t>
      </w:r>
      <w:r w:rsidR="00CC5245">
        <w:rPr>
          <w:rFonts w:ascii="Arial" w:hAnsi="Arial" w:cs="Arial"/>
          <w:sz w:val="20"/>
          <w:lang w:val="es-ES"/>
        </w:rPr>
        <w:t>entes en áreas designadas como “nonattainment”</w:t>
      </w:r>
      <w:r w:rsidR="00224845" w:rsidRPr="00E84FCE">
        <w:rPr>
          <w:rFonts w:ascii="Arial" w:hAnsi="Arial" w:cs="Arial"/>
          <w:sz w:val="20"/>
          <w:lang w:val="es-ES"/>
        </w:rPr>
        <w:t xml:space="preserve"> deberán satisfacer los requisitos de evaluación para nuevas fuentes de “nonattainment” antes del comienzo de construcción.</w:t>
      </w:r>
    </w:p>
    <w:p w14:paraId="344EC226" w14:textId="26A62F94" w:rsidR="00224845" w:rsidRPr="00E84FCE" w:rsidRDefault="00224845" w:rsidP="003B2D6F">
      <w:pPr>
        <w:widowControl w:val="0"/>
        <w:spacing w:after="120"/>
        <w:outlineLvl w:val="1"/>
        <w:rPr>
          <w:rFonts w:ascii="Arial" w:hAnsi="Arial" w:cs="Arial"/>
          <w:sz w:val="20"/>
          <w:lang w:val="es-ES"/>
        </w:rPr>
      </w:pPr>
    </w:p>
    <w:p w14:paraId="507C082C" w14:textId="3FD2C21E" w:rsidR="00224845" w:rsidRPr="00E84FCE" w:rsidRDefault="00224845" w:rsidP="003B2D6F">
      <w:pPr>
        <w:widowControl w:val="0"/>
        <w:spacing w:after="120"/>
        <w:outlineLvl w:val="1"/>
        <w:rPr>
          <w:rFonts w:ascii="Arial" w:hAnsi="Arial" w:cs="Arial"/>
          <w:sz w:val="20"/>
          <w:lang w:val="es-ES"/>
        </w:rPr>
      </w:pPr>
      <w:r w:rsidRPr="00E84FCE">
        <w:rPr>
          <w:rFonts w:ascii="Arial" w:hAnsi="Arial" w:cs="Arial"/>
          <w:sz w:val="20"/>
          <w:lang w:val="es-ES"/>
        </w:rPr>
        <w:t xml:space="preserve">Como es requerido por la </w:t>
      </w:r>
      <w:r w:rsidR="00B8293F" w:rsidRPr="00E84FCE">
        <w:rPr>
          <w:rFonts w:ascii="Arial" w:hAnsi="Arial" w:cs="Arial"/>
          <w:sz w:val="20"/>
          <w:lang w:val="es-ES"/>
        </w:rPr>
        <w:t>evaluación</w:t>
      </w:r>
      <w:r w:rsidRPr="00E84FCE">
        <w:rPr>
          <w:rFonts w:ascii="Arial" w:hAnsi="Arial" w:cs="Arial"/>
          <w:sz w:val="20"/>
          <w:lang w:val="es-ES"/>
        </w:rPr>
        <w:t xml:space="preserve"> “nonattainment,” todos los contaminantes de aire han sido evaluados y el nivel </w:t>
      </w:r>
      <w:r w:rsidR="00B8293F" w:rsidRPr="00E84FCE">
        <w:rPr>
          <w:rFonts w:ascii="Arial" w:hAnsi="Arial" w:cs="Arial"/>
          <w:sz w:val="20"/>
          <w:lang w:val="es-ES"/>
        </w:rPr>
        <w:t>más</w:t>
      </w:r>
      <w:r w:rsidRPr="00E84FCE">
        <w:rPr>
          <w:rFonts w:ascii="Arial" w:hAnsi="Arial" w:cs="Arial"/>
          <w:sz w:val="20"/>
          <w:lang w:val="es-ES"/>
        </w:rPr>
        <w:t xml:space="preserve"> bajo de emisión que se puede lograr (</w:t>
      </w:r>
      <w:r w:rsidRPr="002B5781">
        <w:rPr>
          <w:rFonts w:ascii="Arial" w:hAnsi="Arial" w:cs="Arial"/>
          <w:sz w:val="20"/>
          <w:lang w:val="es-ES"/>
        </w:rPr>
        <w:t>lowest achievable emission rate,</w:t>
      </w:r>
      <w:r w:rsidRPr="00E84FCE">
        <w:rPr>
          <w:rFonts w:ascii="Arial" w:hAnsi="Arial" w:cs="Arial"/>
          <w:i/>
          <w:sz w:val="20"/>
          <w:lang w:val="es-ES"/>
        </w:rPr>
        <w:t xml:space="preserve"> </w:t>
      </w:r>
      <w:r w:rsidRPr="00E84FCE">
        <w:rPr>
          <w:rFonts w:ascii="Arial" w:hAnsi="Arial" w:cs="Arial"/>
          <w:sz w:val="20"/>
          <w:lang w:val="es-ES"/>
        </w:rPr>
        <w:t xml:space="preserve">en </w:t>
      </w:r>
      <w:r w:rsidR="00B8293F" w:rsidRPr="00E84FCE">
        <w:rPr>
          <w:rFonts w:ascii="Arial" w:hAnsi="Arial" w:cs="Arial"/>
          <w:sz w:val="20"/>
          <w:lang w:val="es-ES"/>
        </w:rPr>
        <w:t>inglés</w:t>
      </w:r>
      <w:r w:rsidRPr="00E84FCE">
        <w:rPr>
          <w:rFonts w:ascii="Arial" w:hAnsi="Arial" w:cs="Arial"/>
          <w:sz w:val="20"/>
          <w:lang w:val="es-ES"/>
        </w:rPr>
        <w:t xml:space="preserve">) ha sido </w:t>
      </w:r>
      <w:r w:rsidR="00B67CA1" w:rsidRPr="00E84FCE">
        <w:rPr>
          <w:rFonts w:ascii="Arial" w:hAnsi="Arial" w:cs="Arial"/>
          <w:sz w:val="20"/>
          <w:lang w:val="es-ES"/>
        </w:rPr>
        <w:t xml:space="preserve">considerado </w:t>
      </w:r>
      <w:r w:rsidRPr="00E84FCE">
        <w:rPr>
          <w:rFonts w:ascii="Arial" w:hAnsi="Arial" w:cs="Arial"/>
          <w:sz w:val="20"/>
          <w:lang w:val="es-ES"/>
        </w:rPr>
        <w:t>para el control de estos contaminantes</w:t>
      </w:r>
      <w:r w:rsidR="00B67CA1" w:rsidRPr="00E84FCE">
        <w:rPr>
          <w:rFonts w:ascii="Arial" w:hAnsi="Arial" w:cs="Arial"/>
          <w:sz w:val="20"/>
          <w:lang w:val="es-ES"/>
        </w:rPr>
        <w:t xml:space="preserve">. </w:t>
      </w:r>
      <w:r w:rsidR="008B26DD" w:rsidRPr="00E84FCE">
        <w:rPr>
          <w:rFonts w:ascii="Arial" w:hAnsi="Arial" w:cs="Arial"/>
          <w:sz w:val="20"/>
          <w:lang w:val="es-ES"/>
        </w:rPr>
        <w:t>Los incrementos en emisiones de este proyecto serán compensad</w:t>
      </w:r>
      <w:r w:rsidR="00B8293F" w:rsidRPr="00E84FCE">
        <w:rPr>
          <w:rFonts w:ascii="Arial" w:hAnsi="Arial" w:cs="Arial"/>
          <w:sz w:val="20"/>
          <w:lang w:val="es-ES"/>
        </w:rPr>
        <w:t>o</w:t>
      </w:r>
      <w:r w:rsidR="008B26DD" w:rsidRPr="00E84FCE">
        <w:rPr>
          <w:rFonts w:ascii="Arial" w:hAnsi="Arial" w:cs="Arial"/>
          <w:sz w:val="20"/>
          <w:lang w:val="es-ES"/>
        </w:rPr>
        <w:t xml:space="preserve">s con disminuciones en emisiones en una proporción de 1 a 1. </w:t>
      </w:r>
      <w:r w:rsidR="00B8293F" w:rsidRPr="00E84FCE">
        <w:rPr>
          <w:rFonts w:ascii="Arial" w:hAnsi="Arial" w:cs="Arial"/>
          <w:sz w:val="20"/>
          <w:lang w:val="es-ES"/>
        </w:rPr>
        <w:t>Además</w:t>
      </w:r>
      <w:r w:rsidR="008B26DD" w:rsidRPr="00E84FCE">
        <w:rPr>
          <w:rFonts w:ascii="Arial" w:hAnsi="Arial" w:cs="Arial"/>
          <w:sz w:val="20"/>
          <w:lang w:val="es-ES"/>
        </w:rPr>
        <w:t xml:space="preserve">, el aplicante ha demostrado que los beneficios del establecimiento existente tienen </w:t>
      </w:r>
      <w:r w:rsidR="00B8293F" w:rsidRPr="00E84FCE">
        <w:rPr>
          <w:rFonts w:ascii="Arial" w:hAnsi="Arial" w:cs="Arial"/>
          <w:sz w:val="20"/>
          <w:lang w:val="es-ES"/>
        </w:rPr>
        <w:t>más</w:t>
      </w:r>
      <w:r w:rsidR="008B26DD" w:rsidRPr="00E84FCE">
        <w:rPr>
          <w:rFonts w:ascii="Arial" w:hAnsi="Arial" w:cs="Arial"/>
          <w:sz w:val="20"/>
          <w:lang w:val="es-ES"/>
        </w:rPr>
        <w:t xml:space="preserve"> valor que los costos ambientales y sociales impuestos como resultado de su ubicación, construcción, o modificación. Finalmente, el aplicante ha certificado que todas las fuentes estacionarias principales que son propiedad u operadas por el aplicante en el estado, están en cumplimiento o en un programa para cumplir con tod</w:t>
      </w:r>
      <w:r w:rsidR="00B8293F" w:rsidRPr="00E84FCE">
        <w:rPr>
          <w:rFonts w:ascii="Arial" w:hAnsi="Arial" w:cs="Arial"/>
          <w:sz w:val="20"/>
          <w:lang w:val="es-ES"/>
        </w:rPr>
        <w:t>o</w:t>
      </w:r>
      <w:r w:rsidR="008B26DD" w:rsidRPr="00E84FCE">
        <w:rPr>
          <w:rFonts w:ascii="Arial" w:hAnsi="Arial" w:cs="Arial"/>
          <w:sz w:val="20"/>
          <w:lang w:val="es-ES"/>
        </w:rPr>
        <w:t xml:space="preserve">s los </w:t>
      </w:r>
      <w:r w:rsidR="00B8293F" w:rsidRPr="00E84FCE">
        <w:rPr>
          <w:rFonts w:ascii="Arial" w:hAnsi="Arial" w:cs="Arial"/>
          <w:sz w:val="20"/>
          <w:lang w:val="es-ES"/>
        </w:rPr>
        <w:t>límites</w:t>
      </w:r>
      <w:r w:rsidR="008B26DD" w:rsidRPr="00E84FCE">
        <w:rPr>
          <w:rFonts w:ascii="Arial" w:hAnsi="Arial" w:cs="Arial"/>
          <w:sz w:val="20"/>
          <w:lang w:val="es-ES"/>
        </w:rPr>
        <w:t xml:space="preserve"> de emisiones correspondientes federales y estatales. Por eso, el director ejecutivo, ha tomado la decisión preliminar de otorgar este permiso. </w:t>
      </w:r>
    </w:p>
    <w:p w14:paraId="136DCEC5" w14:textId="76A2152F" w:rsidR="005E59D2" w:rsidRPr="00E84FCE" w:rsidRDefault="005E59D2" w:rsidP="003B2D6F">
      <w:pPr>
        <w:widowControl w:val="0"/>
        <w:spacing w:after="120"/>
        <w:outlineLvl w:val="1"/>
        <w:rPr>
          <w:rFonts w:ascii="Arial" w:hAnsi="Arial" w:cs="Arial"/>
          <w:sz w:val="20"/>
          <w:lang w:val="es-ES"/>
        </w:rPr>
      </w:pPr>
    </w:p>
    <w:p w14:paraId="4313A010" w14:textId="772E88BA" w:rsidR="005E59D2" w:rsidRPr="00E84FCE" w:rsidRDefault="005E59D2" w:rsidP="003B2D6F">
      <w:pPr>
        <w:widowControl w:val="0"/>
        <w:spacing w:after="120"/>
        <w:outlineLvl w:val="1"/>
        <w:rPr>
          <w:rStyle w:val="Hyperlink"/>
          <w:rFonts w:ascii="Arial" w:hAnsi="Arial" w:cs="Arial"/>
          <w:color w:val="auto"/>
          <w:sz w:val="20"/>
          <w:u w:val="none"/>
          <w:lang w:val="es-MX"/>
        </w:rPr>
      </w:pPr>
      <w:r w:rsidRPr="00E84FCE">
        <w:rPr>
          <w:rFonts w:ascii="Arial" w:hAnsi="Arial" w:cs="Arial"/>
          <w:sz w:val="20"/>
          <w:lang w:val="es-ES"/>
        </w:rPr>
        <w:t xml:space="preserve">El director ejecutivo ha terminado </w:t>
      </w:r>
      <w:r w:rsidR="00B10286" w:rsidRPr="00E84FCE">
        <w:rPr>
          <w:rFonts w:ascii="Arial" w:hAnsi="Arial" w:cs="Arial"/>
          <w:sz w:val="20"/>
          <w:lang w:val="es-ES"/>
        </w:rPr>
        <w:t xml:space="preserve">la revisión técnica de la aplicación y ha preparado un borrador del permiso, el cual, si es aprobado, establecería las condiciones bajo las cuales este establecimiento debe de operar. La aplicación del permiso, la decisión preliminar del director ejecutivo, el borrador del permiso, y el resumen de la determinación del director ejecutivo y el análisis de la calidad del aire del director ejecutivo estarán disponibles para ver y hacer </w:t>
      </w:r>
      <w:r w:rsidR="002B5781">
        <w:rPr>
          <w:rFonts w:ascii="Arial" w:hAnsi="Arial" w:cs="Arial"/>
          <w:sz w:val="20"/>
          <w:lang w:val="es-ES"/>
        </w:rPr>
        <w:t>copias en la oficina central de</w:t>
      </w:r>
      <w:r w:rsidR="00B10286" w:rsidRPr="00E84FCE">
        <w:rPr>
          <w:rFonts w:ascii="Arial" w:hAnsi="Arial" w:cs="Arial"/>
          <w:sz w:val="20"/>
          <w:lang w:val="es-ES"/>
        </w:rPr>
        <w:t xml:space="preserve"> TCEQ, la oficina regional de TCEQ en El Paso, y en línea en </w:t>
      </w:r>
      <w:hyperlink r:id="rId8" w:history="1">
        <w:r w:rsidR="00B10286" w:rsidRPr="00E84FCE">
          <w:rPr>
            <w:rStyle w:val="Hyperlink"/>
            <w:rFonts w:ascii="Arial" w:hAnsi="Arial" w:cs="Arial"/>
            <w:sz w:val="20"/>
            <w:lang w:val="es-MX"/>
          </w:rPr>
          <w:t>https://www.epelectric.com/company/public-notices/newman-generating-station-proposed-air-quality-permit-amendment</w:t>
        </w:r>
      </w:hyperlink>
      <w:r w:rsidR="00B10286" w:rsidRPr="00E84FCE">
        <w:rPr>
          <w:rStyle w:val="Hyperlink"/>
          <w:rFonts w:ascii="Arial" w:hAnsi="Arial" w:cs="Arial"/>
          <w:sz w:val="20"/>
          <w:lang w:val="es-MX"/>
        </w:rPr>
        <w:t xml:space="preserve"> </w:t>
      </w:r>
      <w:r w:rsidR="00B10286" w:rsidRPr="00E84FCE">
        <w:rPr>
          <w:rStyle w:val="Hyperlink"/>
          <w:rFonts w:ascii="Arial" w:hAnsi="Arial" w:cs="Arial"/>
          <w:color w:val="auto"/>
          <w:sz w:val="20"/>
          <w:u w:val="none"/>
          <w:lang w:val="es-MX"/>
        </w:rPr>
        <w:t>comenzando con el primer día de publicación de esta nota. El archivo de cumplimiento del establecimiento, si uno existe, estará disponible para evaluación del público en la Oficina Regional de TCEQ en El Paso, 401 East Franklin Avenue Suite 560, El Paso, Texas.</w:t>
      </w:r>
    </w:p>
    <w:p w14:paraId="47FB86E6" w14:textId="318319F3" w:rsidR="00B10286" w:rsidRPr="00E84FCE" w:rsidRDefault="00B10286" w:rsidP="003B2D6F">
      <w:pPr>
        <w:widowControl w:val="0"/>
        <w:spacing w:after="120"/>
        <w:outlineLvl w:val="1"/>
        <w:rPr>
          <w:rFonts w:ascii="Arial" w:hAnsi="Arial" w:cs="Arial"/>
          <w:sz w:val="20"/>
          <w:lang w:val="es-MX"/>
        </w:rPr>
      </w:pPr>
    </w:p>
    <w:p w14:paraId="0D875E5D" w14:textId="40B15560" w:rsidR="00B10286" w:rsidRPr="002B5781" w:rsidRDefault="00A003A7" w:rsidP="003B2D6F">
      <w:pPr>
        <w:widowControl w:val="0"/>
        <w:spacing w:after="120"/>
        <w:outlineLvl w:val="1"/>
        <w:rPr>
          <w:rFonts w:ascii="Arial" w:hAnsi="Arial" w:cs="Arial"/>
          <w:sz w:val="20"/>
        </w:rPr>
      </w:pPr>
      <w:r w:rsidRPr="00E84FCE">
        <w:rPr>
          <w:rFonts w:ascii="Arial" w:hAnsi="Arial" w:cs="Arial"/>
          <w:b/>
          <w:sz w:val="20"/>
          <w:lang w:val="es-MX"/>
        </w:rPr>
        <w:t>DISPONIBILIDAD ELECTRONICA DE INFORMACION.</w:t>
      </w:r>
      <w:r w:rsidR="00B10286" w:rsidRPr="00E84FCE">
        <w:rPr>
          <w:rFonts w:ascii="Arial" w:hAnsi="Arial" w:cs="Arial"/>
          <w:b/>
          <w:sz w:val="20"/>
          <w:lang w:val="es-MX"/>
        </w:rPr>
        <w:t xml:space="preserve"> </w:t>
      </w:r>
      <w:r w:rsidRPr="00E84FCE">
        <w:rPr>
          <w:rFonts w:ascii="Arial" w:hAnsi="Arial" w:cs="Arial"/>
          <w:sz w:val="20"/>
          <w:lang w:val="es-MX"/>
        </w:rPr>
        <w:t xml:space="preserve">Por medio del sitio web de la </w:t>
      </w:r>
      <w:r w:rsidR="00CE27DA" w:rsidRPr="00E84FCE">
        <w:rPr>
          <w:rFonts w:ascii="Arial" w:hAnsi="Arial" w:cs="Arial"/>
          <w:sz w:val="20"/>
          <w:lang w:val="es-MX"/>
        </w:rPr>
        <w:t>Comisión</w:t>
      </w:r>
      <w:r w:rsidRPr="00E84FCE">
        <w:rPr>
          <w:rFonts w:ascii="Arial" w:hAnsi="Arial" w:cs="Arial"/>
          <w:sz w:val="20"/>
          <w:lang w:val="es-MX"/>
        </w:rPr>
        <w:t xml:space="preserve">, en la </w:t>
      </w:r>
      <w:r w:rsidR="002B5781" w:rsidRPr="00E84FCE">
        <w:rPr>
          <w:rFonts w:ascii="Arial" w:hAnsi="Arial" w:cs="Arial"/>
          <w:sz w:val="20"/>
          <w:lang w:val="es-MX"/>
        </w:rPr>
        <w:t>página</w:t>
      </w:r>
      <w:r w:rsidR="00B10286" w:rsidRPr="00E84FCE">
        <w:rPr>
          <w:rFonts w:ascii="Arial" w:hAnsi="Arial" w:cs="Arial"/>
          <w:sz w:val="20"/>
          <w:lang w:val="es-MX"/>
        </w:rPr>
        <w:t xml:space="preserve"> </w:t>
      </w:r>
      <w:hyperlink r:id="rId9" w:history="1">
        <w:r w:rsidR="00B10286" w:rsidRPr="00E84FCE">
          <w:rPr>
            <w:rStyle w:val="Hyperlink"/>
            <w:rFonts w:ascii="Arial" w:hAnsi="Arial" w:cs="Arial"/>
            <w:sz w:val="20"/>
            <w:lang w:val="es-MX"/>
          </w:rPr>
          <w:t>www.tceq.texas.gov/goto/cid</w:t>
        </w:r>
      </w:hyperlink>
      <w:r w:rsidRPr="00E84FCE">
        <w:rPr>
          <w:rStyle w:val="Hyperlink"/>
          <w:rFonts w:ascii="Arial" w:hAnsi="Arial" w:cs="Arial"/>
          <w:sz w:val="20"/>
          <w:u w:val="none"/>
          <w:lang w:val="es-MX"/>
        </w:rPr>
        <w:t xml:space="preserve">, </w:t>
      </w:r>
      <w:r w:rsidRPr="00E84FCE">
        <w:rPr>
          <w:rStyle w:val="Hyperlink"/>
          <w:rFonts w:ascii="Arial" w:hAnsi="Arial" w:cs="Arial"/>
          <w:color w:val="auto"/>
          <w:sz w:val="20"/>
          <w:u w:val="none"/>
          <w:lang w:val="es-MX"/>
        </w:rPr>
        <w:t>se pueden obtener los siguientes documentos</w:t>
      </w:r>
      <w:r w:rsidR="00B10286" w:rsidRPr="00E84FCE">
        <w:rPr>
          <w:rStyle w:val="Hyperlink"/>
          <w:rFonts w:ascii="Arial" w:hAnsi="Arial" w:cs="Arial"/>
          <w:sz w:val="20"/>
          <w:u w:val="none"/>
          <w:lang w:val="es-MX"/>
        </w:rPr>
        <w:t xml:space="preserve">: </w:t>
      </w:r>
      <w:r w:rsidR="00B10286" w:rsidRPr="00E84FCE">
        <w:rPr>
          <w:rStyle w:val="Hyperlink"/>
          <w:rFonts w:ascii="Arial" w:hAnsi="Arial" w:cs="Arial"/>
          <w:color w:val="auto"/>
          <w:sz w:val="20"/>
          <w:u w:val="none"/>
          <w:lang w:val="es-MX"/>
        </w:rPr>
        <w:t xml:space="preserve">la decisión preliminar del director ejecutivo la cual incluye el borrador del permiso, </w:t>
      </w:r>
      <w:r w:rsidR="00D64754" w:rsidRPr="00E84FCE">
        <w:rPr>
          <w:rFonts w:ascii="Arial" w:hAnsi="Arial" w:cs="Arial"/>
          <w:sz w:val="20"/>
          <w:lang w:val="es-ES"/>
        </w:rPr>
        <w:t xml:space="preserve">el resumen de la determinación del director ejecutivo, el análisis de la calidad del aire y, una vez disponible, la respuesta del director ejecutivo a los comentarios y la decisión final </w:t>
      </w:r>
      <w:r w:rsidRPr="00E84FCE">
        <w:rPr>
          <w:rFonts w:ascii="Arial" w:hAnsi="Arial" w:cs="Arial"/>
          <w:sz w:val="20"/>
          <w:lang w:val="es-ES"/>
        </w:rPr>
        <w:t>sobre esta solicitud</w:t>
      </w:r>
      <w:r w:rsidR="00D64754" w:rsidRPr="00E84FCE">
        <w:rPr>
          <w:rFonts w:ascii="Arial" w:hAnsi="Arial" w:cs="Arial"/>
          <w:sz w:val="20"/>
          <w:lang w:val="es-ES"/>
        </w:rPr>
        <w:t xml:space="preserve">. </w:t>
      </w:r>
      <w:r w:rsidR="00CE27DA" w:rsidRPr="00E84FCE">
        <w:rPr>
          <w:rFonts w:ascii="Arial" w:hAnsi="Arial" w:cs="Arial"/>
          <w:sz w:val="20"/>
          <w:lang w:val="es-ES"/>
        </w:rPr>
        <w:t xml:space="preserve">Una vez que usted haya obtenido acceso a la Base de datos Integrada de los Comisionados (en </w:t>
      </w:r>
      <w:r w:rsidR="002B5781" w:rsidRPr="00E84FCE">
        <w:rPr>
          <w:rFonts w:ascii="Arial" w:hAnsi="Arial" w:cs="Arial"/>
          <w:sz w:val="20"/>
          <w:lang w:val="es-ES"/>
        </w:rPr>
        <w:t>inglés</w:t>
      </w:r>
      <w:r w:rsidR="00CE27DA" w:rsidRPr="00E84FCE">
        <w:rPr>
          <w:rFonts w:ascii="Arial" w:hAnsi="Arial" w:cs="Arial"/>
          <w:sz w:val="20"/>
          <w:lang w:val="es-ES"/>
        </w:rPr>
        <w:t xml:space="preserve">, </w:t>
      </w:r>
      <w:r w:rsidR="00CE27DA" w:rsidRPr="002B5781">
        <w:rPr>
          <w:rFonts w:ascii="Arial" w:hAnsi="Arial" w:cs="Arial"/>
          <w:sz w:val="20"/>
          <w:lang w:val="es-ES"/>
        </w:rPr>
        <w:t>Commissioners’ Integrated Database,</w:t>
      </w:r>
      <w:r w:rsidR="00CE27DA" w:rsidRPr="00E84FCE">
        <w:rPr>
          <w:rFonts w:ascii="Arial" w:hAnsi="Arial" w:cs="Arial"/>
          <w:i/>
          <w:sz w:val="20"/>
          <w:lang w:val="es-ES"/>
        </w:rPr>
        <w:t xml:space="preserve"> </w:t>
      </w:r>
      <w:r w:rsidR="00CE27DA" w:rsidRPr="00E84FCE">
        <w:rPr>
          <w:rFonts w:ascii="Arial" w:hAnsi="Arial" w:cs="Arial"/>
          <w:sz w:val="20"/>
          <w:lang w:val="es-ES"/>
        </w:rPr>
        <w:t xml:space="preserve">o CID) usando el enlace de arriba favor de poner el </w:t>
      </w:r>
      <w:r w:rsidR="002B5781" w:rsidRPr="00E84FCE">
        <w:rPr>
          <w:rFonts w:ascii="Arial" w:hAnsi="Arial" w:cs="Arial"/>
          <w:sz w:val="20"/>
          <w:lang w:val="es-ES"/>
        </w:rPr>
        <w:t>número</w:t>
      </w:r>
      <w:r w:rsidR="00CE27DA" w:rsidRPr="00E84FCE">
        <w:rPr>
          <w:rFonts w:ascii="Arial" w:hAnsi="Arial" w:cs="Arial"/>
          <w:sz w:val="20"/>
          <w:lang w:val="es-ES"/>
        </w:rPr>
        <w:t xml:space="preserve"> de permiso de esta solicitud</w:t>
      </w:r>
      <w:r w:rsidR="00D64754" w:rsidRPr="00E84FCE">
        <w:rPr>
          <w:rFonts w:ascii="Arial" w:hAnsi="Arial" w:cs="Arial"/>
          <w:sz w:val="20"/>
          <w:lang w:val="es-ES"/>
        </w:rPr>
        <w:t>.</w:t>
      </w:r>
      <w:r w:rsidR="00CE27DA" w:rsidRPr="00E84FCE">
        <w:rPr>
          <w:rFonts w:ascii="Arial" w:hAnsi="Arial" w:cs="Arial"/>
          <w:sz w:val="20"/>
          <w:lang w:val="es-ES"/>
        </w:rPr>
        <w:t xml:space="preserve"> Este enlace a</w:t>
      </w:r>
      <w:r w:rsidR="00D64754" w:rsidRPr="00E84FCE">
        <w:rPr>
          <w:rFonts w:ascii="Arial" w:hAnsi="Arial" w:cs="Arial"/>
          <w:sz w:val="20"/>
          <w:lang w:val="es-ES"/>
        </w:rPr>
        <w:t xml:space="preserve"> un mapa electrónico </w:t>
      </w:r>
      <w:r w:rsidR="00CE27DA" w:rsidRPr="00E84FCE">
        <w:rPr>
          <w:rFonts w:ascii="Arial" w:hAnsi="Arial" w:cs="Arial"/>
          <w:sz w:val="20"/>
          <w:lang w:val="es-ES"/>
        </w:rPr>
        <w:t xml:space="preserve">de la ubicación general del </w:t>
      </w:r>
      <w:r w:rsidR="00D64754" w:rsidRPr="00E84FCE">
        <w:rPr>
          <w:rFonts w:ascii="Arial" w:hAnsi="Arial" w:cs="Arial"/>
          <w:sz w:val="20"/>
          <w:lang w:val="es-ES"/>
        </w:rPr>
        <w:t xml:space="preserve">establecimiento es </w:t>
      </w:r>
      <w:r w:rsidR="00CE27DA" w:rsidRPr="00E84FCE">
        <w:rPr>
          <w:rFonts w:ascii="Arial" w:hAnsi="Arial" w:cs="Arial"/>
          <w:sz w:val="20"/>
          <w:lang w:val="es-ES"/>
        </w:rPr>
        <w:t>proporcionado como una</w:t>
      </w:r>
      <w:r w:rsidR="00D64754" w:rsidRPr="00E84FCE">
        <w:rPr>
          <w:rFonts w:ascii="Arial" w:hAnsi="Arial" w:cs="Arial"/>
          <w:sz w:val="20"/>
          <w:lang w:val="es-ES"/>
        </w:rPr>
        <w:t xml:space="preserve"> cortesía y no es parte de la </w:t>
      </w:r>
      <w:r w:rsidR="00CE27DA" w:rsidRPr="00E84FCE">
        <w:rPr>
          <w:rFonts w:ascii="Arial" w:hAnsi="Arial" w:cs="Arial"/>
          <w:sz w:val="20"/>
          <w:lang w:val="es-ES"/>
        </w:rPr>
        <w:t>solicitud</w:t>
      </w:r>
      <w:r w:rsidR="00D64754" w:rsidRPr="00E84FCE">
        <w:rPr>
          <w:rFonts w:ascii="Arial" w:hAnsi="Arial" w:cs="Arial"/>
          <w:sz w:val="20"/>
          <w:lang w:val="es-ES"/>
        </w:rPr>
        <w:t xml:space="preserve"> </w:t>
      </w:r>
      <w:r w:rsidR="00CE27DA" w:rsidRPr="00E84FCE">
        <w:rPr>
          <w:rFonts w:ascii="Arial" w:hAnsi="Arial" w:cs="Arial"/>
          <w:sz w:val="20"/>
          <w:lang w:val="es-ES"/>
        </w:rPr>
        <w:t>o del aviso. Para la ubicación exacta</w:t>
      </w:r>
      <w:r w:rsidR="00D64754" w:rsidRPr="00E84FCE">
        <w:rPr>
          <w:rFonts w:ascii="Arial" w:hAnsi="Arial" w:cs="Arial"/>
          <w:sz w:val="20"/>
          <w:lang w:val="es-ES"/>
        </w:rPr>
        <w:t xml:space="preserve">, consulte la </w:t>
      </w:r>
      <w:r w:rsidR="00CE27DA" w:rsidRPr="00E84FCE">
        <w:rPr>
          <w:rFonts w:ascii="Arial" w:hAnsi="Arial" w:cs="Arial"/>
          <w:sz w:val="20"/>
          <w:lang w:val="es-ES"/>
        </w:rPr>
        <w:t>solicitud</w:t>
      </w:r>
      <w:r w:rsidR="00D64754" w:rsidRPr="00E84FCE">
        <w:rPr>
          <w:rFonts w:ascii="Arial" w:hAnsi="Arial" w:cs="Arial"/>
          <w:sz w:val="20"/>
          <w:lang w:val="es-ES"/>
        </w:rPr>
        <w:t xml:space="preserve">. </w:t>
      </w:r>
      <w:hyperlink r:id="rId10" w:history="1">
        <w:r w:rsidR="00D64754" w:rsidRPr="002B5781">
          <w:rPr>
            <w:rStyle w:val="Hyperlink"/>
            <w:rFonts w:ascii="Arial" w:hAnsi="Arial" w:cs="Arial"/>
            <w:sz w:val="20"/>
          </w:rPr>
          <w:t>http://www.tceq.texas.gov/assets/public/hb610/index.html?lat=31.982222&amp;lng=-106.430555&amp;zoom=13&amp;type=r</w:t>
        </w:r>
      </w:hyperlink>
      <w:r w:rsidR="00D64754" w:rsidRPr="002B5781">
        <w:rPr>
          <w:rFonts w:ascii="Arial" w:hAnsi="Arial" w:cs="Arial"/>
          <w:sz w:val="20"/>
        </w:rPr>
        <w:t xml:space="preserve">. </w:t>
      </w:r>
    </w:p>
    <w:p w14:paraId="28C86022" w14:textId="1EB046F6" w:rsidR="00D64754" w:rsidRPr="002B5781" w:rsidRDefault="00D64754" w:rsidP="003B2D6F">
      <w:pPr>
        <w:widowControl w:val="0"/>
        <w:spacing w:after="120"/>
        <w:outlineLvl w:val="1"/>
        <w:rPr>
          <w:rFonts w:ascii="Arial" w:hAnsi="Arial" w:cs="Arial"/>
          <w:sz w:val="20"/>
        </w:rPr>
      </w:pPr>
    </w:p>
    <w:p w14:paraId="6B9F10D3" w14:textId="4C57496E" w:rsidR="00CE27DA" w:rsidRPr="00E84FCE" w:rsidRDefault="00CE27DA" w:rsidP="003B2D6F">
      <w:pPr>
        <w:widowControl w:val="0"/>
        <w:spacing w:after="120"/>
        <w:outlineLvl w:val="1"/>
        <w:rPr>
          <w:rFonts w:ascii="Arial" w:hAnsi="Arial" w:cs="Arial"/>
          <w:b/>
          <w:sz w:val="20"/>
          <w:lang w:val="es-MX"/>
        </w:rPr>
      </w:pPr>
      <w:r w:rsidRPr="00E84FCE">
        <w:rPr>
          <w:rFonts w:ascii="Arial" w:hAnsi="Arial" w:cs="Arial"/>
          <w:b/>
          <w:sz w:val="20"/>
          <w:lang w:val="es-MX"/>
        </w:rPr>
        <w:t>COMENTARIOS PUBLICOS/JUNTA PUBLICA. Usted puede presentar comentarios públicos o solicitar una junta p</w:t>
      </w:r>
      <w:r w:rsidR="002B5781">
        <w:rPr>
          <w:rFonts w:ascii="Arial" w:hAnsi="Arial" w:cs="Arial"/>
          <w:b/>
          <w:sz w:val="20"/>
          <w:lang w:val="es-MX"/>
        </w:rPr>
        <w:t>ú</w:t>
      </w:r>
      <w:r w:rsidRPr="00E84FCE">
        <w:rPr>
          <w:rFonts w:ascii="Arial" w:hAnsi="Arial" w:cs="Arial"/>
          <w:b/>
          <w:sz w:val="20"/>
          <w:lang w:val="es-MX"/>
        </w:rPr>
        <w:t>blica sobre esta solicitud</w:t>
      </w:r>
      <w:r w:rsidR="00C046D6" w:rsidRPr="00E84FCE">
        <w:rPr>
          <w:rFonts w:ascii="Arial" w:hAnsi="Arial" w:cs="Arial"/>
          <w:b/>
          <w:sz w:val="20"/>
          <w:lang w:val="es-MX"/>
        </w:rPr>
        <w:t xml:space="preserve"> a la Oficina </w:t>
      </w:r>
      <w:r w:rsidRPr="00E84FCE">
        <w:rPr>
          <w:rFonts w:ascii="Arial" w:hAnsi="Arial" w:cs="Arial"/>
          <w:b/>
          <w:sz w:val="20"/>
          <w:lang w:val="es-MX"/>
        </w:rPr>
        <w:t xml:space="preserve">del </w:t>
      </w:r>
      <w:r w:rsidR="00C046D6" w:rsidRPr="00E84FCE">
        <w:rPr>
          <w:rFonts w:ascii="Arial" w:hAnsi="Arial" w:cs="Arial"/>
          <w:b/>
          <w:sz w:val="20"/>
          <w:lang w:val="es-MX"/>
        </w:rPr>
        <w:t xml:space="preserve">Secretario Oficial </w:t>
      </w:r>
      <w:r w:rsidR="00C046D6" w:rsidRPr="00E84FCE">
        <w:rPr>
          <w:rFonts w:ascii="Arial" w:hAnsi="Arial" w:cs="Arial"/>
          <w:b/>
          <w:i/>
          <w:sz w:val="20"/>
          <w:lang w:val="es-MX"/>
        </w:rPr>
        <w:t>(</w:t>
      </w:r>
      <w:r w:rsidR="00C046D6" w:rsidRPr="002B5781">
        <w:rPr>
          <w:rFonts w:ascii="Arial" w:hAnsi="Arial" w:cs="Arial"/>
          <w:b/>
          <w:sz w:val="20"/>
          <w:lang w:val="es-MX"/>
        </w:rPr>
        <w:t>Office of the Chief Clerk</w:t>
      </w:r>
      <w:r w:rsidR="00C046D6" w:rsidRPr="00E84FCE">
        <w:rPr>
          <w:rFonts w:ascii="Arial" w:hAnsi="Arial" w:cs="Arial"/>
          <w:b/>
          <w:i/>
          <w:sz w:val="20"/>
          <w:lang w:val="es-MX"/>
        </w:rPr>
        <w:t>)</w:t>
      </w:r>
      <w:r w:rsidR="00C046D6" w:rsidRPr="00E84FCE">
        <w:rPr>
          <w:rFonts w:ascii="Arial" w:hAnsi="Arial" w:cs="Arial"/>
          <w:b/>
          <w:sz w:val="20"/>
          <w:lang w:val="es-MX"/>
        </w:rPr>
        <w:t xml:space="preserve"> </w:t>
      </w:r>
      <w:r w:rsidRPr="00E84FCE">
        <w:rPr>
          <w:rFonts w:ascii="Arial" w:hAnsi="Arial" w:cs="Arial"/>
          <w:b/>
          <w:sz w:val="20"/>
          <w:lang w:val="es-MX"/>
        </w:rPr>
        <w:t xml:space="preserve">que se presenta abajo. </w:t>
      </w:r>
      <w:r w:rsidRPr="00E84FCE">
        <w:rPr>
          <w:rFonts w:ascii="Arial" w:hAnsi="Arial" w:cs="Arial"/>
          <w:sz w:val="20"/>
          <w:lang w:val="es-MX"/>
        </w:rPr>
        <w:t>El propósito de la junta publica es el proveer la oportunidad de someter comentarios o hacer preguntas sobre esta solicitud. La TCEQ tendrá una junta p</w:t>
      </w:r>
      <w:r w:rsidR="002B5781">
        <w:rPr>
          <w:rFonts w:ascii="Arial" w:hAnsi="Arial" w:cs="Arial"/>
          <w:sz w:val="20"/>
          <w:lang w:val="es-MX"/>
        </w:rPr>
        <w:t>ú</w:t>
      </w:r>
      <w:r w:rsidRPr="00E84FCE">
        <w:rPr>
          <w:rFonts w:ascii="Arial" w:hAnsi="Arial" w:cs="Arial"/>
          <w:sz w:val="20"/>
          <w:lang w:val="es-MX"/>
        </w:rPr>
        <w:t xml:space="preserve">blica si el director ejecutivo determina </w:t>
      </w:r>
      <w:r w:rsidR="00C046D6" w:rsidRPr="00E84FCE">
        <w:rPr>
          <w:rFonts w:ascii="Arial" w:hAnsi="Arial" w:cs="Arial"/>
          <w:sz w:val="20"/>
          <w:lang w:val="es-MX"/>
        </w:rPr>
        <w:t xml:space="preserve">que hay suficiente interés de parte del </w:t>
      </w:r>
      <w:r w:rsidR="002B5781" w:rsidRPr="00E84FCE">
        <w:rPr>
          <w:rFonts w:ascii="Arial" w:hAnsi="Arial" w:cs="Arial"/>
          <w:sz w:val="20"/>
          <w:lang w:val="es-MX"/>
        </w:rPr>
        <w:t>público</w:t>
      </w:r>
      <w:r w:rsidR="00C046D6" w:rsidRPr="00E84FCE">
        <w:rPr>
          <w:rFonts w:ascii="Arial" w:hAnsi="Arial" w:cs="Arial"/>
          <w:sz w:val="20"/>
          <w:lang w:val="es-MX"/>
        </w:rPr>
        <w:t xml:space="preserve"> en esta solicitud, si es solicitada por una persona interesada, o si es solicitada por un legislador local. Una junta p</w:t>
      </w:r>
      <w:r w:rsidR="002B5781">
        <w:rPr>
          <w:rFonts w:ascii="Arial" w:hAnsi="Arial" w:cs="Arial"/>
          <w:sz w:val="20"/>
          <w:lang w:val="es-MX"/>
        </w:rPr>
        <w:t>ú</w:t>
      </w:r>
      <w:r w:rsidR="00C046D6" w:rsidRPr="00E84FCE">
        <w:rPr>
          <w:rFonts w:ascii="Arial" w:hAnsi="Arial" w:cs="Arial"/>
          <w:sz w:val="20"/>
          <w:lang w:val="es-MX"/>
        </w:rPr>
        <w:t xml:space="preserve">blica no es una audiencia de </w:t>
      </w:r>
      <w:r w:rsidR="005D245C">
        <w:rPr>
          <w:rFonts w:ascii="Arial" w:hAnsi="Arial" w:cs="Arial"/>
          <w:sz w:val="20"/>
          <w:lang w:val="es-MX"/>
        </w:rPr>
        <w:t>caso impugnado</w:t>
      </w:r>
      <w:r w:rsidR="00C046D6" w:rsidRPr="00E84FCE">
        <w:rPr>
          <w:rFonts w:ascii="Arial" w:hAnsi="Arial" w:cs="Arial"/>
          <w:sz w:val="20"/>
          <w:lang w:val="es-MX"/>
        </w:rPr>
        <w:t xml:space="preserve">. </w:t>
      </w:r>
      <w:r w:rsidR="00C046D6" w:rsidRPr="00E84FCE">
        <w:rPr>
          <w:rFonts w:ascii="Arial" w:hAnsi="Arial" w:cs="Arial"/>
          <w:b/>
          <w:sz w:val="20"/>
          <w:lang w:val="es-MX"/>
        </w:rPr>
        <w:t xml:space="preserve">Comentarios por escrito podrán ser sometidos dentro de 30 </w:t>
      </w:r>
      <w:r w:rsidR="002B5781" w:rsidRPr="00E84FCE">
        <w:rPr>
          <w:rFonts w:ascii="Arial" w:hAnsi="Arial" w:cs="Arial"/>
          <w:b/>
          <w:sz w:val="20"/>
          <w:lang w:val="es-MX"/>
        </w:rPr>
        <w:t>días</w:t>
      </w:r>
      <w:r w:rsidR="00C046D6" w:rsidRPr="00E84FCE">
        <w:rPr>
          <w:rFonts w:ascii="Arial" w:hAnsi="Arial" w:cs="Arial"/>
          <w:b/>
          <w:sz w:val="20"/>
          <w:lang w:val="es-MX"/>
        </w:rPr>
        <w:t xml:space="preserve"> después de la publicación de este aviso en la manera como se solicita en el párrafo</w:t>
      </w:r>
      <w:r w:rsidR="002B5781">
        <w:rPr>
          <w:rFonts w:ascii="Arial" w:hAnsi="Arial" w:cs="Arial"/>
          <w:b/>
          <w:sz w:val="20"/>
          <w:lang w:val="es-MX"/>
        </w:rPr>
        <w:t xml:space="preserve"> adjunto titulado </w:t>
      </w:r>
      <w:r w:rsidR="00C046D6" w:rsidRPr="00E84FCE">
        <w:rPr>
          <w:rFonts w:ascii="Arial" w:hAnsi="Arial" w:cs="Arial"/>
          <w:b/>
          <w:sz w:val="20"/>
          <w:lang w:val="es-MX"/>
        </w:rPr>
        <w:t>CONTACTOS DE LA AGENCIA</w:t>
      </w:r>
      <w:r w:rsidR="002B5781">
        <w:rPr>
          <w:rFonts w:ascii="Arial" w:hAnsi="Arial" w:cs="Arial"/>
          <w:b/>
          <w:sz w:val="20"/>
          <w:lang w:val="es-MX"/>
        </w:rPr>
        <w:t xml:space="preserve"> E INFORMACION</w:t>
      </w:r>
      <w:r w:rsidR="00C046D6" w:rsidRPr="00E84FCE">
        <w:rPr>
          <w:rFonts w:ascii="Arial" w:hAnsi="Arial" w:cs="Arial"/>
          <w:b/>
          <w:sz w:val="20"/>
          <w:lang w:val="es-MX"/>
        </w:rPr>
        <w:t xml:space="preserve">. </w:t>
      </w:r>
    </w:p>
    <w:p w14:paraId="53EC4D95" w14:textId="2B693385" w:rsidR="000C00FD" w:rsidRPr="00E84FCE" w:rsidRDefault="000C00FD" w:rsidP="003B2D6F">
      <w:pPr>
        <w:widowControl w:val="0"/>
        <w:spacing w:after="120"/>
        <w:outlineLvl w:val="1"/>
        <w:rPr>
          <w:rFonts w:ascii="Arial" w:hAnsi="Arial" w:cs="Arial"/>
          <w:b/>
          <w:sz w:val="20"/>
          <w:lang w:val="es-MX"/>
        </w:rPr>
      </w:pPr>
    </w:p>
    <w:p w14:paraId="7DEA4423" w14:textId="1535E4DF" w:rsidR="000C00FD" w:rsidRPr="00E84FCE" w:rsidRDefault="000C00FD" w:rsidP="003B2D6F">
      <w:pPr>
        <w:widowControl w:val="0"/>
        <w:spacing w:after="120"/>
        <w:outlineLvl w:val="1"/>
        <w:rPr>
          <w:rFonts w:ascii="Arial" w:hAnsi="Arial" w:cs="Arial"/>
          <w:b/>
          <w:sz w:val="20"/>
          <w:lang w:val="es-MX"/>
        </w:rPr>
      </w:pPr>
      <w:r w:rsidRPr="00E84FCE">
        <w:rPr>
          <w:rFonts w:ascii="Arial" w:hAnsi="Arial" w:cs="Arial"/>
          <w:sz w:val="20"/>
          <w:lang w:val="es-MX"/>
        </w:rPr>
        <w:t xml:space="preserve">Después del plazo final para someter comentarios públicos, el director ejecutivo considerará los </w:t>
      </w:r>
      <w:r w:rsidRPr="00E84FCE">
        <w:rPr>
          <w:rFonts w:ascii="Arial" w:hAnsi="Arial" w:cs="Arial"/>
          <w:sz w:val="20"/>
          <w:lang w:val="es-MX"/>
        </w:rPr>
        <w:lastRenderedPageBreak/>
        <w:t xml:space="preserve">comentarios y preparará una respuesta a todos los comentarios públicos relevantes y materiales, o de otro modo significativos. </w:t>
      </w:r>
      <w:r w:rsidRPr="00E84FCE">
        <w:rPr>
          <w:rFonts w:ascii="Arial" w:hAnsi="Arial" w:cs="Arial"/>
          <w:b/>
          <w:sz w:val="20"/>
          <w:lang w:val="es-MX"/>
        </w:rPr>
        <w:t>La respuesta a los comentarios, junto con la decisión del director ejecutivo sobre la solicitud, serán enviada</w:t>
      </w:r>
      <w:r w:rsidR="005D245C">
        <w:rPr>
          <w:rFonts w:ascii="Arial" w:hAnsi="Arial" w:cs="Arial"/>
          <w:b/>
          <w:sz w:val="20"/>
          <w:lang w:val="es-MX"/>
        </w:rPr>
        <w:t>s</w:t>
      </w:r>
      <w:r w:rsidRPr="00E84FCE">
        <w:rPr>
          <w:rFonts w:ascii="Arial" w:hAnsi="Arial" w:cs="Arial"/>
          <w:b/>
          <w:sz w:val="20"/>
          <w:lang w:val="es-MX"/>
        </w:rPr>
        <w:t xml:space="preserve"> por </w:t>
      </w:r>
      <w:r w:rsidR="002B5781">
        <w:rPr>
          <w:rFonts w:ascii="Arial" w:hAnsi="Arial" w:cs="Arial"/>
          <w:b/>
          <w:sz w:val="20"/>
          <w:lang w:val="es-MX"/>
        </w:rPr>
        <w:t>correo a todos aquellos que hay</w:t>
      </w:r>
      <w:r w:rsidRPr="00E84FCE">
        <w:rPr>
          <w:rFonts w:ascii="Arial" w:hAnsi="Arial" w:cs="Arial"/>
          <w:b/>
          <w:sz w:val="20"/>
          <w:lang w:val="es-MX"/>
        </w:rPr>
        <w:t xml:space="preserve">an sometido comentarios públicos o que </w:t>
      </w:r>
      <w:r w:rsidR="002B5781" w:rsidRPr="00E84FCE">
        <w:rPr>
          <w:rFonts w:ascii="Arial" w:hAnsi="Arial" w:cs="Arial"/>
          <w:b/>
          <w:sz w:val="20"/>
          <w:lang w:val="es-MX"/>
        </w:rPr>
        <w:t>hayan</w:t>
      </w:r>
      <w:r w:rsidRPr="00E84FCE">
        <w:rPr>
          <w:rFonts w:ascii="Arial" w:hAnsi="Arial" w:cs="Arial"/>
          <w:b/>
          <w:sz w:val="20"/>
          <w:lang w:val="es-MX"/>
        </w:rPr>
        <w:t xml:space="preserve"> peticionado para estar en la lista de correo sobre esta solicitud.</w:t>
      </w:r>
      <w:r w:rsidR="005D245C">
        <w:rPr>
          <w:rFonts w:ascii="Arial" w:hAnsi="Arial" w:cs="Arial"/>
          <w:b/>
          <w:sz w:val="20"/>
          <w:lang w:val="es-MX"/>
        </w:rPr>
        <w:t xml:space="preserve"> La correspondencia también incluirá instrucciones para solicitar una audiencia de caso impugnado o reevaluación de la decisión que otorgo el director ejecutivo. </w:t>
      </w:r>
    </w:p>
    <w:p w14:paraId="738A7DF3" w14:textId="230ECAA4" w:rsidR="00833B44" w:rsidRPr="00E84FCE" w:rsidRDefault="00833B44" w:rsidP="003B2D6F">
      <w:pPr>
        <w:widowControl w:val="0"/>
        <w:spacing w:after="120"/>
        <w:outlineLvl w:val="1"/>
        <w:rPr>
          <w:rFonts w:ascii="Arial" w:hAnsi="Arial" w:cs="Arial"/>
          <w:b/>
          <w:sz w:val="20"/>
          <w:lang w:val="es-MX"/>
        </w:rPr>
      </w:pPr>
    </w:p>
    <w:p w14:paraId="38C10903" w14:textId="5DE8537A" w:rsidR="006E091B" w:rsidRPr="00E852B7" w:rsidRDefault="00833B44" w:rsidP="003B2D6F">
      <w:pPr>
        <w:widowControl w:val="0"/>
        <w:spacing w:after="120"/>
        <w:outlineLvl w:val="1"/>
        <w:rPr>
          <w:rFonts w:ascii="Arial" w:hAnsi="Arial" w:cs="Arial"/>
          <w:b/>
          <w:sz w:val="20"/>
          <w:lang w:val="es-MX"/>
        </w:rPr>
      </w:pPr>
      <w:r w:rsidRPr="00E84FCE">
        <w:rPr>
          <w:rFonts w:ascii="Arial" w:hAnsi="Arial" w:cs="Arial"/>
          <w:b/>
          <w:sz w:val="20"/>
          <w:lang w:val="es-MX"/>
        </w:rPr>
        <w:t xml:space="preserve">OPORTUNIDAD PARA UNA AUDIENCIA </w:t>
      </w:r>
      <w:r w:rsidR="005D245C">
        <w:rPr>
          <w:rFonts w:ascii="Arial" w:hAnsi="Arial" w:cs="Arial"/>
          <w:b/>
          <w:sz w:val="20"/>
          <w:lang w:val="es-MX"/>
        </w:rPr>
        <w:t>DE CASO IMPUGNADO</w:t>
      </w:r>
      <w:r w:rsidRPr="00E84FCE">
        <w:rPr>
          <w:rFonts w:ascii="Arial" w:hAnsi="Arial" w:cs="Arial"/>
          <w:sz w:val="20"/>
          <w:lang w:val="es-MX"/>
        </w:rPr>
        <w:t xml:space="preserve"> </w:t>
      </w:r>
      <w:r w:rsidRPr="00E852B7">
        <w:rPr>
          <w:rFonts w:ascii="Arial" w:hAnsi="Arial" w:cs="Arial"/>
          <w:b/>
          <w:sz w:val="20"/>
          <w:lang w:val="es-MX"/>
        </w:rPr>
        <w:t xml:space="preserve">Usted puede peticionar una audiencia </w:t>
      </w:r>
      <w:r w:rsidR="005D245C" w:rsidRPr="00E852B7">
        <w:rPr>
          <w:rFonts w:ascii="Arial" w:hAnsi="Arial" w:cs="Arial"/>
          <w:b/>
          <w:sz w:val="20"/>
          <w:lang w:val="es-MX"/>
        </w:rPr>
        <w:t xml:space="preserve">de caso </w:t>
      </w:r>
      <w:r w:rsidR="002B5781" w:rsidRPr="00E852B7">
        <w:rPr>
          <w:rFonts w:ascii="Arial" w:hAnsi="Arial" w:cs="Arial"/>
          <w:b/>
          <w:sz w:val="20"/>
          <w:lang w:val="es-MX"/>
        </w:rPr>
        <w:t>impugnado relacionada</w:t>
      </w:r>
      <w:r w:rsidRPr="00E852B7">
        <w:rPr>
          <w:rFonts w:ascii="Arial" w:hAnsi="Arial" w:cs="Arial"/>
          <w:b/>
          <w:sz w:val="20"/>
          <w:lang w:val="es-MX"/>
        </w:rPr>
        <w:t xml:space="preserve"> con porciones de la solicitud del Permiso de Calidad del Aire Estatal N</w:t>
      </w:r>
      <w:r w:rsidR="002B5781" w:rsidRPr="00E852B7">
        <w:rPr>
          <w:rFonts w:ascii="Arial" w:hAnsi="Arial" w:cs="Arial"/>
          <w:b/>
          <w:sz w:val="20"/>
          <w:lang w:val="es-MX"/>
        </w:rPr>
        <w:t>ú</w:t>
      </w:r>
      <w:r w:rsidRPr="00E852B7">
        <w:rPr>
          <w:rFonts w:ascii="Arial" w:hAnsi="Arial" w:cs="Arial"/>
          <w:b/>
          <w:sz w:val="20"/>
          <w:lang w:val="es-MX"/>
        </w:rPr>
        <w:t>mero 1467, Permiso de Calidad del Aire PSD N</w:t>
      </w:r>
      <w:r w:rsidR="002B5781" w:rsidRPr="00E852B7">
        <w:rPr>
          <w:rFonts w:ascii="Arial" w:hAnsi="Arial" w:cs="Arial"/>
          <w:b/>
          <w:sz w:val="20"/>
          <w:lang w:val="es-MX"/>
        </w:rPr>
        <w:t>ú</w:t>
      </w:r>
      <w:r w:rsidRPr="00E852B7">
        <w:rPr>
          <w:rFonts w:ascii="Arial" w:hAnsi="Arial" w:cs="Arial"/>
          <w:b/>
          <w:sz w:val="20"/>
          <w:lang w:val="es-MX"/>
        </w:rPr>
        <w:t>mero PSDTX1090M1, y Permiso de Calidad del Aire Nonattainment N</w:t>
      </w:r>
      <w:r w:rsidR="002B5781" w:rsidRPr="00E852B7">
        <w:rPr>
          <w:rFonts w:ascii="Arial" w:hAnsi="Arial" w:cs="Arial"/>
          <w:b/>
          <w:sz w:val="20"/>
          <w:lang w:val="es-MX"/>
        </w:rPr>
        <w:t>ú</w:t>
      </w:r>
      <w:r w:rsidRPr="00E852B7">
        <w:rPr>
          <w:rFonts w:ascii="Arial" w:hAnsi="Arial" w:cs="Arial"/>
          <w:b/>
          <w:sz w:val="20"/>
          <w:lang w:val="es-MX"/>
        </w:rPr>
        <w:t xml:space="preserve">mero N284. No hay oportunidad para pedir una audiencia </w:t>
      </w:r>
      <w:r w:rsidR="002B5781" w:rsidRPr="00E852B7">
        <w:rPr>
          <w:rFonts w:ascii="Arial" w:hAnsi="Arial" w:cs="Arial"/>
          <w:b/>
          <w:sz w:val="20"/>
          <w:lang w:val="es-MX"/>
        </w:rPr>
        <w:t>de caso impugnado</w:t>
      </w:r>
      <w:r w:rsidRPr="00E852B7">
        <w:rPr>
          <w:rFonts w:ascii="Arial" w:hAnsi="Arial" w:cs="Arial"/>
          <w:b/>
          <w:sz w:val="20"/>
          <w:lang w:val="es-MX"/>
        </w:rPr>
        <w:t xml:space="preserve"> relacionada a las porciones de la solicitud del Permiso de Calidad del Aire GHG PSD N</w:t>
      </w:r>
      <w:r w:rsidR="002B5781" w:rsidRPr="00E852B7">
        <w:rPr>
          <w:rFonts w:ascii="Arial" w:hAnsi="Arial" w:cs="Arial"/>
          <w:b/>
          <w:sz w:val="20"/>
          <w:lang w:val="es-MX"/>
        </w:rPr>
        <w:t>ú</w:t>
      </w:r>
      <w:r w:rsidRPr="00E852B7">
        <w:rPr>
          <w:rFonts w:ascii="Arial" w:hAnsi="Arial" w:cs="Arial"/>
          <w:b/>
          <w:sz w:val="20"/>
          <w:lang w:val="es-MX"/>
        </w:rPr>
        <w:t xml:space="preserve">mero GHGPSDTX199. Una audiencia </w:t>
      </w:r>
      <w:r w:rsidR="005D245C" w:rsidRPr="00E852B7">
        <w:rPr>
          <w:rFonts w:ascii="Arial" w:hAnsi="Arial" w:cs="Arial"/>
          <w:b/>
          <w:sz w:val="20"/>
          <w:lang w:val="es-MX"/>
        </w:rPr>
        <w:t>de caso impugnado</w:t>
      </w:r>
      <w:r w:rsidRPr="00E852B7">
        <w:rPr>
          <w:rFonts w:ascii="Arial" w:hAnsi="Arial" w:cs="Arial"/>
          <w:b/>
          <w:sz w:val="20"/>
          <w:lang w:val="es-MX"/>
        </w:rPr>
        <w:t xml:space="preserve"> es un proceso legal semejante a un juicio civil en una corte de distrito estatal. </w:t>
      </w:r>
      <w:r w:rsidR="00363CD2" w:rsidRPr="00E852B7">
        <w:rPr>
          <w:rFonts w:ascii="Arial" w:hAnsi="Arial" w:cs="Arial"/>
          <w:b/>
          <w:sz w:val="20"/>
          <w:lang w:val="es-MX"/>
        </w:rPr>
        <w:t xml:space="preserve">Una persona que se pueda ver afectada a causa de las emisiones de los contaminantes de aire, que no sean GHGs, del establecimiento tiene derecho a pedir una audiencia. </w:t>
      </w:r>
      <w:r w:rsidRPr="00E852B7">
        <w:rPr>
          <w:rFonts w:ascii="Arial" w:hAnsi="Arial" w:cs="Arial"/>
          <w:b/>
          <w:sz w:val="20"/>
          <w:lang w:val="es-MX"/>
        </w:rPr>
        <w:t>Una audiencia</w:t>
      </w:r>
      <w:r w:rsidR="005D245C" w:rsidRPr="00E852B7">
        <w:rPr>
          <w:rFonts w:ascii="Arial" w:hAnsi="Arial" w:cs="Arial"/>
          <w:b/>
          <w:sz w:val="20"/>
          <w:lang w:val="es-MX"/>
        </w:rPr>
        <w:t xml:space="preserve"> de caso impugnado</w:t>
      </w:r>
      <w:r w:rsidRPr="00E852B7">
        <w:rPr>
          <w:rFonts w:ascii="Arial" w:hAnsi="Arial" w:cs="Arial"/>
          <w:b/>
          <w:sz w:val="20"/>
          <w:lang w:val="es-MX"/>
        </w:rPr>
        <w:t xml:space="preserve"> </w:t>
      </w:r>
      <w:r w:rsidR="00EF68BF" w:rsidRPr="00E852B7">
        <w:rPr>
          <w:rFonts w:ascii="Arial" w:hAnsi="Arial" w:cs="Arial"/>
          <w:b/>
          <w:sz w:val="20"/>
          <w:lang w:val="es-MX"/>
        </w:rPr>
        <w:t>d</w:t>
      </w:r>
      <w:r w:rsidR="00363CD2" w:rsidRPr="00E852B7">
        <w:rPr>
          <w:rFonts w:ascii="Arial" w:hAnsi="Arial" w:cs="Arial"/>
          <w:b/>
          <w:sz w:val="20"/>
          <w:lang w:val="es-MX"/>
        </w:rPr>
        <w:t xml:space="preserve">eberá incluir lo siguiente: </w:t>
      </w:r>
      <w:r w:rsidR="006E091B" w:rsidRPr="00E852B7">
        <w:rPr>
          <w:rFonts w:ascii="Arial" w:hAnsi="Arial" w:cs="Arial"/>
          <w:b/>
          <w:sz w:val="20"/>
          <w:lang w:val="es-MX"/>
        </w:rPr>
        <w:t>(1) su nombre (o para un grupo o asociación, un representante oficial), dirección y número de teléfono; (2) el nombre del solicitante y número del permiso; (3) la declaración “[yo/nosotros] solicito/solicitamos una audiencia de un caso impugnado”; (4) una descripción específica de cómo se vería adversamente afectado por la solicitud y emisiones atmosféricas de la planta de manera que no es común para el público en general; (5) la ubicación y la distancia de su propiedad con relación a la planta; y (6) una descripción de cómo usa la propiedad que pueda ser afectada por la planta; y (7) una lista de todas las cuestiones de hecho en disputa que usted presente durante el período de comentarios. Si la petición la hace un grupo o asociación, uno o más miembros que tienen derecho a solicitar una audiencia deben ser identificados por su nombre y dirección física. Los intereses que el grupo o la asociación busca proteger también se deben identificar. También puede presentar sus modificaciones propuestas a la solicitud</w:t>
      </w:r>
      <w:r w:rsidR="00E852B7" w:rsidRPr="00E852B7">
        <w:rPr>
          <w:rFonts w:ascii="Arial" w:hAnsi="Arial" w:cs="Arial"/>
          <w:b/>
          <w:sz w:val="20"/>
          <w:lang w:val="es-MX"/>
        </w:rPr>
        <w:t>/</w:t>
      </w:r>
      <w:r w:rsidR="006E091B" w:rsidRPr="00E852B7">
        <w:rPr>
          <w:rFonts w:ascii="Arial" w:hAnsi="Arial" w:cs="Arial"/>
          <w:b/>
          <w:sz w:val="20"/>
          <w:lang w:val="es-MX"/>
        </w:rPr>
        <w:t xml:space="preserve">permiso que </w:t>
      </w:r>
      <w:r w:rsidR="00F00455">
        <w:rPr>
          <w:rFonts w:ascii="Arial" w:hAnsi="Arial" w:cs="Arial"/>
          <w:b/>
          <w:sz w:val="20"/>
          <w:lang w:val="es-MX"/>
        </w:rPr>
        <w:t>satisfagan</w:t>
      </w:r>
      <w:r w:rsidR="00E852B7" w:rsidRPr="00E852B7">
        <w:rPr>
          <w:rFonts w:ascii="Arial" w:hAnsi="Arial" w:cs="Arial"/>
          <w:b/>
          <w:sz w:val="20"/>
          <w:lang w:val="es-MX"/>
        </w:rPr>
        <w:t xml:space="preserve"> </w:t>
      </w:r>
      <w:r w:rsidR="006E091B" w:rsidRPr="00E852B7">
        <w:rPr>
          <w:rFonts w:ascii="Arial" w:hAnsi="Arial" w:cs="Arial"/>
          <w:b/>
          <w:sz w:val="20"/>
          <w:lang w:val="es-MX"/>
        </w:rPr>
        <w:t xml:space="preserve">sus inquietudes. Las peticiones para una audiencia de caso impugnado se deben presentar por escrito dentro de 30 días después de este aviso a la Oficina del Secretario Oficial, a la dirección a continuación. </w:t>
      </w:r>
    </w:p>
    <w:p w14:paraId="3103DA56" w14:textId="77777777" w:rsidR="006E091B" w:rsidRPr="00E84FCE" w:rsidRDefault="006E091B" w:rsidP="003B2D6F">
      <w:pPr>
        <w:widowControl w:val="0"/>
        <w:spacing w:after="120"/>
        <w:outlineLvl w:val="1"/>
        <w:rPr>
          <w:rFonts w:ascii="Arial" w:hAnsi="Arial" w:cs="Arial"/>
          <w:sz w:val="20"/>
          <w:lang w:val="es-MX"/>
        </w:rPr>
      </w:pPr>
    </w:p>
    <w:p w14:paraId="0980B6B2" w14:textId="63BA46A1" w:rsidR="00833B44" w:rsidRPr="00E84FCE" w:rsidRDefault="006E091B" w:rsidP="003B2D6F">
      <w:pPr>
        <w:widowControl w:val="0"/>
        <w:spacing w:after="120"/>
        <w:outlineLvl w:val="1"/>
        <w:rPr>
          <w:rFonts w:ascii="Arial" w:hAnsi="Arial" w:cs="Arial"/>
          <w:sz w:val="20"/>
          <w:lang w:val="es-MX"/>
        </w:rPr>
      </w:pPr>
      <w:r w:rsidRPr="00E84FCE">
        <w:rPr>
          <w:rFonts w:ascii="Arial" w:hAnsi="Arial" w:cs="Arial"/>
          <w:sz w:val="20"/>
          <w:lang w:val="es-MX"/>
        </w:rPr>
        <w:t>Si se concede una audiencia, el tema de la audiencia estará limitado a cuestiones de hecho en disputa o cuestiones mixt</w:t>
      </w:r>
      <w:r w:rsidR="00C30EA0" w:rsidRPr="00E84FCE">
        <w:rPr>
          <w:rFonts w:ascii="Arial" w:hAnsi="Arial" w:cs="Arial"/>
          <w:sz w:val="20"/>
          <w:lang w:val="es-MX"/>
        </w:rPr>
        <w:t xml:space="preserve">as de hecho y de derecho que son relevantes a las decisiones de la </w:t>
      </w:r>
      <w:r w:rsidR="00445760" w:rsidRPr="00E84FCE">
        <w:rPr>
          <w:rFonts w:ascii="Arial" w:hAnsi="Arial" w:cs="Arial"/>
          <w:sz w:val="20"/>
          <w:lang w:val="es-MX"/>
        </w:rPr>
        <w:t>Comisión</w:t>
      </w:r>
      <w:r w:rsidR="00C30EA0" w:rsidRPr="00E84FCE">
        <w:rPr>
          <w:rFonts w:ascii="Arial" w:hAnsi="Arial" w:cs="Arial"/>
          <w:sz w:val="20"/>
          <w:lang w:val="es-MX"/>
        </w:rPr>
        <w:t xml:space="preserve"> en la solicitud. </w:t>
      </w:r>
      <w:r w:rsidRPr="00E84FCE">
        <w:rPr>
          <w:rFonts w:ascii="Arial" w:hAnsi="Arial" w:cs="Arial"/>
          <w:sz w:val="20"/>
          <w:lang w:val="es-MX"/>
        </w:rPr>
        <w:t>La Comisión sólo puede conceder una solicitud de una audiencia de caso impugnado sobre los temas que el solicitante haya presentado en sus comentarios oportunos que no fueron retirados posteriormente</w:t>
      </w:r>
      <w:r w:rsidR="005F7892" w:rsidRPr="00E84FCE">
        <w:rPr>
          <w:rFonts w:ascii="Arial" w:hAnsi="Arial" w:cs="Arial"/>
          <w:sz w:val="20"/>
          <w:lang w:val="es-MX"/>
        </w:rPr>
        <w:t xml:space="preserve">. Cuestiones que no sean incluidas en los comentarios públicos no serán consideradas durante la audiencia. </w:t>
      </w:r>
    </w:p>
    <w:p w14:paraId="7C347536" w14:textId="3EE3CF16" w:rsidR="005F7892" w:rsidRPr="00E84FCE" w:rsidRDefault="005F7892" w:rsidP="003B2D6F">
      <w:pPr>
        <w:widowControl w:val="0"/>
        <w:spacing w:after="120"/>
        <w:outlineLvl w:val="1"/>
        <w:rPr>
          <w:rFonts w:ascii="Arial" w:hAnsi="Arial" w:cs="Arial"/>
          <w:sz w:val="20"/>
          <w:lang w:val="es-MX"/>
        </w:rPr>
      </w:pPr>
    </w:p>
    <w:p w14:paraId="448C41C1" w14:textId="34D7627C" w:rsidR="003B0234" w:rsidRPr="00E84FCE" w:rsidRDefault="003B0234" w:rsidP="003B2D6F">
      <w:pPr>
        <w:widowControl w:val="0"/>
        <w:spacing w:after="120"/>
        <w:outlineLvl w:val="1"/>
        <w:rPr>
          <w:rFonts w:ascii="Arial" w:hAnsi="Arial" w:cs="Arial"/>
          <w:sz w:val="20"/>
          <w:lang w:val="es-MX"/>
        </w:rPr>
      </w:pPr>
      <w:r w:rsidRPr="00E84FCE">
        <w:rPr>
          <w:rFonts w:ascii="Arial" w:hAnsi="Arial" w:cs="Arial"/>
          <w:b/>
          <w:sz w:val="20"/>
          <w:lang w:val="es-MX"/>
        </w:rPr>
        <w:t xml:space="preserve">ACCION DEL DIRECTOR EJECUTIVO. </w:t>
      </w:r>
      <w:r w:rsidRPr="00E84FCE">
        <w:rPr>
          <w:rFonts w:ascii="Arial" w:hAnsi="Arial" w:cs="Arial"/>
          <w:sz w:val="20"/>
          <w:lang w:val="es-MX"/>
        </w:rPr>
        <w:t>El director ejecutivo puede conceder aprobación final a la solicitud para la porción de la solicitud del Permiso de Calidad de</w:t>
      </w:r>
      <w:r w:rsidR="00E852B7">
        <w:rPr>
          <w:rFonts w:ascii="Arial" w:hAnsi="Arial" w:cs="Arial"/>
          <w:sz w:val="20"/>
          <w:lang w:val="es-MX"/>
        </w:rPr>
        <w:t>l</w:t>
      </w:r>
      <w:r w:rsidRPr="00E84FCE">
        <w:rPr>
          <w:rFonts w:ascii="Arial" w:hAnsi="Arial" w:cs="Arial"/>
          <w:sz w:val="20"/>
          <w:lang w:val="es-MX"/>
        </w:rPr>
        <w:t xml:space="preserve"> Aire GHG PSD N</w:t>
      </w:r>
      <w:r w:rsidR="00E852B7">
        <w:rPr>
          <w:rFonts w:ascii="Arial" w:hAnsi="Arial" w:cs="Arial"/>
          <w:sz w:val="20"/>
          <w:lang w:val="es-MX"/>
        </w:rPr>
        <w:t>ú</w:t>
      </w:r>
      <w:r w:rsidRPr="00E84FCE">
        <w:rPr>
          <w:rFonts w:ascii="Arial" w:hAnsi="Arial" w:cs="Arial"/>
          <w:sz w:val="20"/>
          <w:lang w:val="es-MX"/>
        </w:rPr>
        <w:t xml:space="preserve">mero GHGPSDTX199. Si no se recibe una petición para una audiencia en controversia dentro del tiempo solicitado, o si la petición es retirada en relación con el Permiso </w:t>
      </w:r>
      <w:r w:rsidR="00E852B7">
        <w:rPr>
          <w:rFonts w:ascii="Arial" w:hAnsi="Arial" w:cs="Arial"/>
          <w:sz w:val="20"/>
          <w:lang w:val="es-MX"/>
        </w:rPr>
        <w:t xml:space="preserve">Estatal de Calidad </w:t>
      </w:r>
      <w:r w:rsidRPr="00E84FCE">
        <w:rPr>
          <w:rFonts w:ascii="Arial" w:hAnsi="Arial" w:cs="Arial"/>
          <w:sz w:val="20"/>
          <w:lang w:val="es-MX"/>
        </w:rPr>
        <w:t>de</w:t>
      </w:r>
      <w:r w:rsidR="00E852B7">
        <w:rPr>
          <w:rFonts w:ascii="Arial" w:hAnsi="Arial" w:cs="Arial"/>
          <w:sz w:val="20"/>
          <w:lang w:val="es-MX"/>
        </w:rPr>
        <w:t>l</w:t>
      </w:r>
      <w:r w:rsidRPr="00E84FCE">
        <w:rPr>
          <w:rFonts w:ascii="Arial" w:hAnsi="Arial" w:cs="Arial"/>
          <w:sz w:val="20"/>
          <w:lang w:val="es-MX"/>
        </w:rPr>
        <w:t xml:space="preserve"> Aire N</w:t>
      </w:r>
      <w:r w:rsidR="00E852B7">
        <w:rPr>
          <w:rFonts w:ascii="Arial" w:hAnsi="Arial" w:cs="Arial"/>
          <w:sz w:val="20"/>
          <w:lang w:val="es-MX"/>
        </w:rPr>
        <w:t>ú</w:t>
      </w:r>
      <w:r w:rsidRPr="00E84FCE">
        <w:rPr>
          <w:rFonts w:ascii="Arial" w:hAnsi="Arial" w:cs="Arial"/>
          <w:sz w:val="20"/>
          <w:lang w:val="es-MX"/>
        </w:rPr>
        <w:t>mero 1467, Permiso de Calidad de</w:t>
      </w:r>
      <w:r w:rsidR="00E852B7">
        <w:rPr>
          <w:rFonts w:ascii="Arial" w:hAnsi="Arial" w:cs="Arial"/>
          <w:sz w:val="20"/>
          <w:lang w:val="es-MX"/>
        </w:rPr>
        <w:t>l</w:t>
      </w:r>
      <w:r w:rsidRPr="00E84FCE">
        <w:rPr>
          <w:rFonts w:ascii="Arial" w:hAnsi="Arial" w:cs="Arial"/>
          <w:sz w:val="20"/>
          <w:lang w:val="es-MX"/>
        </w:rPr>
        <w:t xml:space="preserve"> Aire PSD N</w:t>
      </w:r>
      <w:r w:rsidR="00E852B7">
        <w:rPr>
          <w:rFonts w:ascii="Arial" w:hAnsi="Arial" w:cs="Arial"/>
          <w:sz w:val="20"/>
          <w:lang w:val="es-MX"/>
        </w:rPr>
        <w:t>ú</w:t>
      </w:r>
      <w:r w:rsidRPr="00E84FCE">
        <w:rPr>
          <w:rFonts w:ascii="Arial" w:hAnsi="Arial" w:cs="Arial"/>
          <w:sz w:val="20"/>
          <w:lang w:val="es-MX"/>
        </w:rPr>
        <w:t>mero PSDTX1090M1, y Permiso de Calidad de</w:t>
      </w:r>
      <w:r w:rsidR="00F00455">
        <w:rPr>
          <w:rFonts w:ascii="Arial" w:hAnsi="Arial" w:cs="Arial"/>
          <w:sz w:val="20"/>
          <w:lang w:val="es-MX"/>
        </w:rPr>
        <w:t>l</w:t>
      </w:r>
      <w:r w:rsidRPr="00E84FCE">
        <w:rPr>
          <w:rFonts w:ascii="Arial" w:hAnsi="Arial" w:cs="Arial"/>
          <w:sz w:val="20"/>
          <w:lang w:val="es-MX"/>
        </w:rPr>
        <w:t xml:space="preserve"> Aire Nonattainment N</w:t>
      </w:r>
      <w:r w:rsidR="00E852B7">
        <w:rPr>
          <w:rFonts w:ascii="Arial" w:hAnsi="Arial" w:cs="Arial"/>
          <w:sz w:val="20"/>
          <w:lang w:val="es-MX"/>
        </w:rPr>
        <w:t>ú</w:t>
      </w:r>
      <w:r w:rsidRPr="00E84FCE">
        <w:rPr>
          <w:rFonts w:ascii="Arial" w:hAnsi="Arial" w:cs="Arial"/>
          <w:sz w:val="20"/>
          <w:lang w:val="es-MX"/>
        </w:rPr>
        <w:t xml:space="preserve">mero N284, el director ejecutivo podrá conceder aprobación final a la solicitud. La respuesta a los comentarios junto con la decisión del director ejecutivo respecto a la solicitud será enviada por correo a todos los que sometieron comentarios públicos o que se anotaron en la lista de correo de la solicitud, y será </w:t>
      </w:r>
      <w:r w:rsidR="00003392" w:rsidRPr="00E84FCE">
        <w:rPr>
          <w:rFonts w:ascii="Arial" w:hAnsi="Arial" w:cs="Arial"/>
          <w:sz w:val="20"/>
          <w:lang w:val="es-MX"/>
        </w:rPr>
        <w:t>publicada de manera electrónica en el CID. Si se reciben a tiempo peticiones para una audiencia en controversia y no se retiran, el director ejecutivo no otorgar</w:t>
      </w:r>
      <w:r w:rsidR="00E852B7">
        <w:rPr>
          <w:rFonts w:ascii="Arial" w:hAnsi="Arial" w:cs="Arial"/>
          <w:sz w:val="20"/>
          <w:lang w:val="es-MX"/>
        </w:rPr>
        <w:t>á</w:t>
      </w:r>
      <w:r w:rsidR="00003392" w:rsidRPr="00E84FCE">
        <w:rPr>
          <w:rFonts w:ascii="Arial" w:hAnsi="Arial" w:cs="Arial"/>
          <w:sz w:val="20"/>
          <w:lang w:val="es-MX"/>
        </w:rPr>
        <w:t xml:space="preserve"> una decisión final de aprobació</w:t>
      </w:r>
      <w:r w:rsidR="00E852B7">
        <w:rPr>
          <w:rFonts w:ascii="Arial" w:hAnsi="Arial" w:cs="Arial"/>
          <w:sz w:val="20"/>
          <w:lang w:val="es-MX"/>
        </w:rPr>
        <w:t xml:space="preserve">n al Permiso Estatal de Calidad </w:t>
      </w:r>
      <w:r w:rsidR="00003392" w:rsidRPr="00E84FCE">
        <w:rPr>
          <w:rFonts w:ascii="Arial" w:hAnsi="Arial" w:cs="Arial"/>
          <w:sz w:val="20"/>
          <w:lang w:val="es-MX"/>
        </w:rPr>
        <w:t>de</w:t>
      </w:r>
      <w:r w:rsidR="00E852B7">
        <w:rPr>
          <w:rFonts w:ascii="Arial" w:hAnsi="Arial" w:cs="Arial"/>
          <w:sz w:val="20"/>
          <w:lang w:val="es-MX"/>
        </w:rPr>
        <w:t>l</w:t>
      </w:r>
      <w:r w:rsidR="00003392" w:rsidRPr="00E84FCE">
        <w:rPr>
          <w:rFonts w:ascii="Arial" w:hAnsi="Arial" w:cs="Arial"/>
          <w:sz w:val="20"/>
          <w:lang w:val="es-MX"/>
        </w:rPr>
        <w:t xml:space="preserve"> Aire N</w:t>
      </w:r>
      <w:r w:rsidR="00E852B7">
        <w:rPr>
          <w:rFonts w:ascii="Arial" w:hAnsi="Arial" w:cs="Arial"/>
          <w:sz w:val="20"/>
          <w:lang w:val="es-MX"/>
        </w:rPr>
        <w:t>ú</w:t>
      </w:r>
      <w:r w:rsidR="00003392" w:rsidRPr="00E84FCE">
        <w:rPr>
          <w:rFonts w:ascii="Arial" w:hAnsi="Arial" w:cs="Arial"/>
          <w:sz w:val="20"/>
          <w:lang w:val="es-MX"/>
        </w:rPr>
        <w:t>mer</w:t>
      </w:r>
      <w:r w:rsidR="00E852B7">
        <w:rPr>
          <w:rFonts w:ascii="Arial" w:hAnsi="Arial" w:cs="Arial"/>
          <w:sz w:val="20"/>
          <w:lang w:val="es-MX"/>
        </w:rPr>
        <w:t>o</w:t>
      </w:r>
      <w:r w:rsidR="00003392" w:rsidRPr="00E84FCE">
        <w:rPr>
          <w:rFonts w:ascii="Arial" w:hAnsi="Arial" w:cs="Arial"/>
          <w:sz w:val="20"/>
          <w:lang w:val="es-MX"/>
        </w:rPr>
        <w:t xml:space="preserve"> 1467, Permiso de Calidad de</w:t>
      </w:r>
      <w:r w:rsidR="00E852B7">
        <w:rPr>
          <w:rFonts w:ascii="Arial" w:hAnsi="Arial" w:cs="Arial"/>
          <w:sz w:val="20"/>
          <w:lang w:val="es-MX"/>
        </w:rPr>
        <w:t>l</w:t>
      </w:r>
      <w:r w:rsidR="00003392" w:rsidRPr="00E84FCE">
        <w:rPr>
          <w:rFonts w:ascii="Arial" w:hAnsi="Arial" w:cs="Arial"/>
          <w:sz w:val="20"/>
          <w:lang w:val="es-MX"/>
        </w:rPr>
        <w:t xml:space="preserve"> Aire PSD N</w:t>
      </w:r>
      <w:r w:rsidR="00E852B7">
        <w:rPr>
          <w:rFonts w:ascii="Arial" w:hAnsi="Arial" w:cs="Arial"/>
          <w:sz w:val="20"/>
          <w:lang w:val="es-MX"/>
        </w:rPr>
        <w:t>ú</w:t>
      </w:r>
      <w:r w:rsidR="00003392" w:rsidRPr="00E84FCE">
        <w:rPr>
          <w:rFonts w:ascii="Arial" w:hAnsi="Arial" w:cs="Arial"/>
          <w:sz w:val="20"/>
          <w:lang w:val="es-MX"/>
        </w:rPr>
        <w:t>mero PSDTX1090M1, y Permiso de Calidad de</w:t>
      </w:r>
      <w:r w:rsidR="00E852B7">
        <w:rPr>
          <w:rFonts w:ascii="Arial" w:hAnsi="Arial" w:cs="Arial"/>
          <w:sz w:val="20"/>
          <w:lang w:val="es-MX"/>
        </w:rPr>
        <w:t>l</w:t>
      </w:r>
      <w:r w:rsidR="00003392" w:rsidRPr="00E84FCE">
        <w:rPr>
          <w:rFonts w:ascii="Arial" w:hAnsi="Arial" w:cs="Arial"/>
          <w:sz w:val="20"/>
          <w:lang w:val="es-MX"/>
        </w:rPr>
        <w:t xml:space="preserve"> Aire Nonattainment N</w:t>
      </w:r>
      <w:r w:rsidR="00E852B7">
        <w:rPr>
          <w:rFonts w:ascii="Arial" w:hAnsi="Arial" w:cs="Arial"/>
          <w:sz w:val="20"/>
          <w:lang w:val="es-MX"/>
        </w:rPr>
        <w:t>ú</w:t>
      </w:r>
      <w:r w:rsidR="00003392" w:rsidRPr="00E84FCE">
        <w:rPr>
          <w:rFonts w:ascii="Arial" w:hAnsi="Arial" w:cs="Arial"/>
          <w:sz w:val="20"/>
          <w:lang w:val="es-MX"/>
        </w:rPr>
        <w:t>mero N284, y enviar</w:t>
      </w:r>
      <w:r w:rsidR="00E852B7">
        <w:rPr>
          <w:rFonts w:ascii="Arial" w:hAnsi="Arial" w:cs="Arial"/>
          <w:sz w:val="20"/>
          <w:lang w:val="es-MX"/>
        </w:rPr>
        <w:t>á</w:t>
      </w:r>
      <w:r w:rsidR="00003392" w:rsidRPr="00E84FCE">
        <w:rPr>
          <w:rFonts w:ascii="Arial" w:hAnsi="Arial" w:cs="Arial"/>
          <w:sz w:val="20"/>
          <w:lang w:val="es-MX"/>
        </w:rPr>
        <w:t xml:space="preserve"> la solicitud y las peticiones a los Comisionados para su consideración en una junta </w:t>
      </w:r>
      <w:r w:rsidR="0079396A" w:rsidRPr="00E84FCE">
        <w:rPr>
          <w:rFonts w:ascii="Arial" w:hAnsi="Arial" w:cs="Arial"/>
          <w:sz w:val="20"/>
          <w:lang w:val="es-MX"/>
        </w:rPr>
        <w:t xml:space="preserve">programada de la comisión. </w:t>
      </w:r>
      <w:r w:rsidR="00003392" w:rsidRPr="00E84FCE">
        <w:rPr>
          <w:rFonts w:ascii="Arial" w:hAnsi="Arial" w:cs="Arial"/>
          <w:sz w:val="20"/>
          <w:lang w:val="es-MX"/>
        </w:rPr>
        <w:t xml:space="preserve"> </w:t>
      </w:r>
      <w:r w:rsidRPr="00E84FCE">
        <w:rPr>
          <w:rFonts w:ascii="Arial" w:hAnsi="Arial" w:cs="Arial"/>
          <w:sz w:val="20"/>
          <w:lang w:val="es-MX"/>
        </w:rPr>
        <w:t xml:space="preserve"> </w:t>
      </w:r>
    </w:p>
    <w:p w14:paraId="25C6643B" w14:textId="732C3093" w:rsidR="00A027FE" w:rsidRPr="00E84FCE" w:rsidRDefault="00A027FE" w:rsidP="00646B61">
      <w:pPr>
        <w:widowControl w:val="0"/>
        <w:spacing w:after="240"/>
        <w:outlineLvl w:val="1"/>
        <w:rPr>
          <w:rFonts w:ascii="Arial" w:hAnsi="Arial" w:cs="Arial"/>
          <w:sz w:val="20"/>
          <w:lang w:val="fr-FR"/>
        </w:rPr>
      </w:pPr>
      <w:r w:rsidRPr="00E84FCE">
        <w:rPr>
          <w:rFonts w:ascii="Arial" w:hAnsi="Arial" w:cs="Arial"/>
          <w:b/>
          <w:sz w:val="20"/>
          <w:lang w:val="es-MX"/>
        </w:rPr>
        <w:t xml:space="preserve">LISTA PARA ENVÍO DE CORREO. </w:t>
      </w:r>
      <w:r w:rsidR="0079396A" w:rsidRPr="00E84FCE">
        <w:rPr>
          <w:rFonts w:ascii="Arial" w:hAnsi="Arial" w:cs="Arial"/>
          <w:sz w:val="20"/>
          <w:lang w:val="es-MX"/>
        </w:rPr>
        <w:t>Uste</w:t>
      </w:r>
      <w:r w:rsidR="004153B2">
        <w:rPr>
          <w:rFonts w:ascii="Arial" w:hAnsi="Arial" w:cs="Arial"/>
          <w:sz w:val="20"/>
          <w:lang w:val="es-MX"/>
        </w:rPr>
        <w:t>d</w:t>
      </w:r>
      <w:r w:rsidR="0079396A" w:rsidRPr="00E84FCE">
        <w:rPr>
          <w:rFonts w:ascii="Arial" w:hAnsi="Arial" w:cs="Arial"/>
          <w:sz w:val="20"/>
          <w:lang w:val="es-MX"/>
        </w:rPr>
        <w:t xml:space="preserve"> </w:t>
      </w:r>
      <w:r w:rsidRPr="00E84FCE">
        <w:rPr>
          <w:rFonts w:ascii="Arial" w:hAnsi="Arial" w:cs="Arial"/>
          <w:sz w:val="20"/>
          <w:lang w:val="es-MX"/>
        </w:rPr>
        <w:t xml:space="preserve">puede solicitar ser incluido en una lista para envío de correo </w:t>
      </w:r>
      <w:r w:rsidR="0079396A" w:rsidRPr="00E84FCE">
        <w:rPr>
          <w:rFonts w:ascii="Arial" w:hAnsi="Arial" w:cs="Arial"/>
          <w:sz w:val="20"/>
          <w:lang w:val="es-MX"/>
        </w:rPr>
        <w:t xml:space="preserve">para obtener información adicional respecto a esta solicitud enviando la petición a la oficina del </w:t>
      </w:r>
      <w:r w:rsidRPr="00E84FCE">
        <w:rPr>
          <w:rFonts w:ascii="Arial" w:hAnsi="Arial" w:cs="Arial"/>
          <w:sz w:val="20"/>
          <w:lang w:val="es-MX"/>
        </w:rPr>
        <w:t xml:space="preserve">Secretario </w:t>
      </w:r>
      <w:r w:rsidR="00F12FBA" w:rsidRPr="00E84FCE">
        <w:rPr>
          <w:rFonts w:ascii="Arial" w:hAnsi="Arial" w:cs="Arial"/>
          <w:sz w:val="20"/>
          <w:lang w:val="fr-FR"/>
        </w:rPr>
        <w:t xml:space="preserve">Oficial </w:t>
      </w:r>
      <w:r w:rsidR="0079396A" w:rsidRPr="00E84FCE">
        <w:rPr>
          <w:rFonts w:ascii="Arial" w:hAnsi="Arial" w:cs="Arial"/>
          <w:sz w:val="20"/>
          <w:lang w:val="fr-FR"/>
        </w:rPr>
        <w:t>(Office of Chief Clerk) en</w:t>
      </w:r>
      <w:r w:rsidRPr="00E84FCE">
        <w:rPr>
          <w:rFonts w:ascii="Arial" w:hAnsi="Arial" w:cs="Arial"/>
          <w:sz w:val="20"/>
          <w:lang w:val="fr-FR"/>
        </w:rPr>
        <w:t xml:space="preserve"> la dirección</w:t>
      </w:r>
      <w:r w:rsidR="00E852B7">
        <w:rPr>
          <w:rFonts w:ascii="Arial" w:hAnsi="Arial" w:cs="Arial"/>
          <w:sz w:val="20"/>
          <w:lang w:val="fr-FR"/>
        </w:rPr>
        <w:t xml:space="preserve"> </w:t>
      </w:r>
      <w:r w:rsidR="004153B2">
        <w:rPr>
          <w:rFonts w:ascii="Arial" w:hAnsi="Arial" w:cs="Arial"/>
          <w:sz w:val="20"/>
          <w:lang w:val="fr-FR"/>
        </w:rPr>
        <w:t>a continuaci</w:t>
      </w:r>
      <w:r w:rsidR="00E852B7">
        <w:rPr>
          <w:rFonts w:ascii="Arial" w:hAnsi="Arial" w:cs="Arial"/>
          <w:sz w:val="20"/>
          <w:lang w:val="fr-FR"/>
        </w:rPr>
        <w:t>ó</w:t>
      </w:r>
      <w:r w:rsidR="004153B2">
        <w:rPr>
          <w:rFonts w:ascii="Arial" w:hAnsi="Arial" w:cs="Arial"/>
          <w:sz w:val="20"/>
          <w:lang w:val="fr-FR"/>
        </w:rPr>
        <w:t>n</w:t>
      </w:r>
      <w:r w:rsidR="0079396A" w:rsidRPr="00E84FCE">
        <w:rPr>
          <w:rFonts w:ascii="Arial" w:hAnsi="Arial" w:cs="Arial"/>
          <w:sz w:val="20"/>
          <w:lang w:val="fr-FR"/>
        </w:rPr>
        <w:t xml:space="preserve">. </w:t>
      </w:r>
    </w:p>
    <w:p w14:paraId="76AF17D0" w14:textId="3B9A67D7" w:rsidR="00E84FCE" w:rsidRPr="00E84FCE" w:rsidRDefault="004F17B4" w:rsidP="00D16777">
      <w:pPr>
        <w:widowControl w:val="0"/>
        <w:spacing w:after="240"/>
        <w:outlineLvl w:val="1"/>
        <w:rPr>
          <w:rFonts w:ascii="Arial" w:hAnsi="Arial" w:cs="Arial"/>
          <w:sz w:val="20"/>
          <w:lang w:val="es-MX"/>
        </w:rPr>
      </w:pPr>
      <w:r w:rsidRPr="00E84FCE">
        <w:rPr>
          <w:rFonts w:ascii="Arial" w:hAnsi="Arial" w:cs="Arial"/>
          <w:b/>
          <w:sz w:val="20"/>
          <w:lang w:val="fr-FR"/>
        </w:rPr>
        <w:lastRenderedPageBreak/>
        <w:t xml:space="preserve">CONTACTOS DE </w:t>
      </w:r>
      <w:r w:rsidR="002B5781">
        <w:rPr>
          <w:rFonts w:ascii="Arial" w:hAnsi="Arial" w:cs="Arial"/>
          <w:b/>
          <w:sz w:val="20"/>
          <w:lang w:val="fr-FR"/>
        </w:rPr>
        <w:t xml:space="preserve">LA </w:t>
      </w:r>
      <w:r w:rsidRPr="00E84FCE">
        <w:rPr>
          <w:rFonts w:ascii="Arial" w:hAnsi="Arial" w:cs="Arial"/>
          <w:b/>
          <w:sz w:val="20"/>
          <w:lang w:val="fr-FR"/>
        </w:rPr>
        <w:t xml:space="preserve">AGENCIA E </w:t>
      </w:r>
      <w:r w:rsidR="00116EF4" w:rsidRPr="00E84FCE">
        <w:rPr>
          <w:rFonts w:ascii="Arial" w:hAnsi="Arial" w:cs="Arial"/>
          <w:b/>
          <w:sz w:val="20"/>
          <w:lang w:val="fr-FR"/>
        </w:rPr>
        <w:t xml:space="preserve">INFORMACIÓN. </w:t>
      </w:r>
      <w:r w:rsidR="00D16777" w:rsidRPr="00E84FCE">
        <w:rPr>
          <w:rFonts w:ascii="Arial" w:hAnsi="Arial" w:cs="Arial"/>
          <w:sz w:val="20"/>
          <w:lang w:val="es-MX"/>
        </w:rPr>
        <w:t>Los comentarios públicos o peticiones se debe</w:t>
      </w:r>
      <w:r w:rsidR="00E84FCE" w:rsidRPr="00E84FCE">
        <w:rPr>
          <w:rFonts w:ascii="Arial" w:hAnsi="Arial" w:cs="Arial"/>
          <w:sz w:val="20"/>
          <w:lang w:val="es-MX"/>
        </w:rPr>
        <w:t xml:space="preserve">n solicitar de manera electrónica al </w:t>
      </w:r>
      <w:hyperlink r:id="rId11" w:history="1">
        <w:r w:rsidR="00E84FCE" w:rsidRPr="00E84FCE">
          <w:rPr>
            <w:rStyle w:val="Hyperlink"/>
            <w:rFonts w:ascii="Arial" w:hAnsi="Arial" w:cs="Arial"/>
            <w:sz w:val="20"/>
            <w:lang w:val="es-MX"/>
          </w:rPr>
          <w:t>www14.tceq.texas.gov/epic/eComment/</w:t>
        </w:r>
      </w:hyperlink>
      <w:r w:rsidR="00E84FCE" w:rsidRPr="00E84FCE">
        <w:rPr>
          <w:rFonts w:ascii="Arial" w:hAnsi="Arial" w:cs="Arial"/>
          <w:sz w:val="20"/>
          <w:lang w:val="es-MX"/>
        </w:rPr>
        <w:t xml:space="preserve">  o por escrito </w:t>
      </w:r>
      <w:r w:rsidR="00D16777" w:rsidRPr="00E84FCE">
        <w:rPr>
          <w:rFonts w:ascii="Arial" w:hAnsi="Arial" w:cs="Arial"/>
          <w:sz w:val="20"/>
          <w:lang w:val="es-MX"/>
        </w:rPr>
        <w:t>a la Oficina del Secretario Oficial, MC-105, TCEQ, P.O. Box</w:t>
      </w:r>
      <w:r w:rsidR="00E84FCE" w:rsidRPr="00E84FCE">
        <w:rPr>
          <w:rFonts w:ascii="Arial" w:hAnsi="Arial" w:cs="Arial"/>
          <w:sz w:val="20"/>
          <w:lang w:val="es-MX"/>
        </w:rPr>
        <w:t xml:space="preserve"> 13087, Austin, Texas 78711-3087</w:t>
      </w:r>
      <w:r w:rsidR="00D16777" w:rsidRPr="00E84FCE">
        <w:rPr>
          <w:rFonts w:ascii="Arial" w:hAnsi="Arial" w:cs="Arial"/>
          <w:sz w:val="20"/>
          <w:lang w:val="es-MX"/>
        </w:rPr>
        <w:t xml:space="preserve">. Tenga en cuenta que cualquier información de contacto que proporcione, incluyendo su nombre, número de teléfono, dirección de correo electrónico y dirección física, se agregará al registro público de la agencia. Para </w:t>
      </w:r>
      <w:r w:rsidR="00DA40ED" w:rsidRPr="00E84FCE">
        <w:rPr>
          <w:rFonts w:ascii="Arial" w:hAnsi="Arial" w:cs="Arial"/>
          <w:sz w:val="20"/>
          <w:lang w:val="es-MX"/>
        </w:rPr>
        <w:t>m</w:t>
      </w:r>
      <w:r w:rsidR="00DA40ED">
        <w:rPr>
          <w:rFonts w:ascii="Arial" w:hAnsi="Arial" w:cs="Arial"/>
          <w:sz w:val="20"/>
          <w:lang w:val="es-MX"/>
        </w:rPr>
        <w:t>ás</w:t>
      </w:r>
      <w:r w:rsidR="00D16777" w:rsidRPr="00E84FCE">
        <w:rPr>
          <w:rFonts w:ascii="Arial" w:hAnsi="Arial" w:cs="Arial"/>
          <w:sz w:val="20"/>
          <w:lang w:val="es-MX"/>
        </w:rPr>
        <w:t xml:space="preserve"> información acerca de esta solicitud para permiso o el proceso para permisos, por favor llame </w:t>
      </w:r>
      <w:r w:rsidR="00E84FCE" w:rsidRPr="00E84FCE">
        <w:rPr>
          <w:rFonts w:ascii="Arial" w:hAnsi="Arial" w:cs="Arial"/>
          <w:sz w:val="20"/>
          <w:lang w:val="es-MX"/>
        </w:rPr>
        <w:t xml:space="preserve">gratis </w:t>
      </w:r>
      <w:r w:rsidR="00D16777" w:rsidRPr="00E84FCE">
        <w:rPr>
          <w:rFonts w:ascii="Arial" w:hAnsi="Arial" w:cs="Arial"/>
          <w:sz w:val="20"/>
          <w:lang w:val="es-MX"/>
        </w:rPr>
        <w:t>a El Programa de Educación Pública de la TCEQ, al 1-800-687-4040.</w:t>
      </w:r>
    </w:p>
    <w:p w14:paraId="25CF5628" w14:textId="48C25CB2" w:rsidR="00E84FCE" w:rsidRPr="00E84FCE" w:rsidRDefault="00E84FCE" w:rsidP="00D16777">
      <w:pPr>
        <w:widowControl w:val="0"/>
        <w:spacing w:after="240"/>
        <w:outlineLvl w:val="1"/>
        <w:rPr>
          <w:rFonts w:ascii="Arial" w:hAnsi="Arial" w:cs="Arial"/>
          <w:sz w:val="20"/>
          <w:lang w:val="es-MX"/>
        </w:rPr>
      </w:pPr>
      <w:r w:rsidRPr="00E84FCE">
        <w:rPr>
          <w:rFonts w:ascii="Arial" w:hAnsi="Arial" w:cs="Arial"/>
          <w:sz w:val="20"/>
          <w:lang w:val="es-MX"/>
        </w:rPr>
        <w:t>M</w:t>
      </w:r>
      <w:r w:rsidR="00713D35">
        <w:rPr>
          <w:rFonts w:ascii="Arial" w:hAnsi="Arial" w:cs="Arial"/>
          <w:sz w:val="20"/>
          <w:lang w:val="es-MX"/>
        </w:rPr>
        <w:t>á</w:t>
      </w:r>
      <w:r w:rsidRPr="00E84FCE">
        <w:rPr>
          <w:rFonts w:ascii="Arial" w:hAnsi="Arial" w:cs="Arial"/>
          <w:sz w:val="20"/>
          <w:lang w:val="es-MX"/>
        </w:rPr>
        <w:t xml:space="preserve">s información podrá ser obtenida a través de El Paso Electric Company, a la dirección proporcionada arriba o llamando al Sr. Daniel Perez, Supervisor </w:t>
      </w:r>
      <w:r w:rsidR="00713D35">
        <w:rPr>
          <w:rFonts w:ascii="Arial" w:hAnsi="Arial" w:cs="Arial"/>
          <w:sz w:val="20"/>
          <w:lang w:val="es-MX"/>
        </w:rPr>
        <w:t xml:space="preserve">de </w:t>
      </w:r>
      <w:r w:rsidRPr="00E84FCE">
        <w:rPr>
          <w:rFonts w:ascii="Arial" w:hAnsi="Arial" w:cs="Arial"/>
          <w:sz w:val="20"/>
          <w:lang w:val="es-MX"/>
        </w:rPr>
        <w:t>Ambiental al (915)</w:t>
      </w:r>
      <w:r w:rsidR="00713D35">
        <w:rPr>
          <w:rFonts w:ascii="Arial" w:hAnsi="Arial" w:cs="Arial"/>
          <w:sz w:val="20"/>
          <w:lang w:val="es-MX"/>
        </w:rPr>
        <w:t xml:space="preserve"> </w:t>
      </w:r>
      <w:r w:rsidRPr="00E84FCE">
        <w:rPr>
          <w:rFonts w:ascii="Arial" w:hAnsi="Arial" w:cs="Arial"/>
          <w:sz w:val="20"/>
          <w:lang w:val="es-MX"/>
        </w:rPr>
        <w:t>543-4166.</w:t>
      </w:r>
    </w:p>
    <w:p w14:paraId="2C4E7249" w14:textId="0AF01D12" w:rsidR="00E84FCE" w:rsidRPr="00E84FCE" w:rsidRDefault="00E84FCE" w:rsidP="00D16777">
      <w:pPr>
        <w:widowControl w:val="0"/>
        <w:spacing w:after="240"/>
        <w:outlineLvl w:val="1"/>
        <w:rPr>
          <w:rFonts w:ascii="Arial" w:hAnsi="Arial" w:cs="Arial"/>
          <w:sz w:val="20"/>
          <w:lang w:val="es-MX"/>
        </w:rPr>
      </w:pPr>
      <w:r w:rsidRPr="00E84FCE">
        <w:rPr>
          <w:rFonts w:ascii="Arial" w:hAnsi="Arial" w:cs="Arial"/>
          <w:sz w:val="20"/>
          <w:lang w:val="es-MX"/>
        </w:rPr>
        <w:t>Fecha de emisión: Agosto 26, 2020</w:t>
      </w:r>
    </w:p>
    <w:p w14:paraId="0E5F56CE" w14:textId="40207AF9" w:rsidR="00247330" w:rsidRPr="00DA40ED" w:rsidRDefault="00E84FCE" w:rsidP="00E84FCE">
      <w:pPr>
        <w:widowControl w:val="0"/>
        <w:spacing w:after="240"/>
        <w:outlineLvl w:val="1"/>
        <w:rPr>
          <w:rFonts w:ascii="Arial" w:hAnsi="Arial" w:cs="Arial"/>
          <w:lang w:val="es-MX"/>
        </w:rPr>
      </w:pPr>
      <w:r w:rsidRPr="00DA40ED">
        <w:rPr>
          <w:rFonts w:ascii="Arial" w:hAnsi="Arial" w:cs="Arial"/>
          <w:lang w:val="es-MX"/>
        </w:rPr>
        <w:t xml:space="preserve"> </w:t>
      </w:r>
    </w:p>
    <w:p w14:paraId="391A7375" w14:textId="46CC108B" w:rsidR="00E84FCE" w:rsidRPr="00DA40ED" w:rsidRDefault="00E84FCE" w:rsidP="00E84FCE">
      <w:pPr>
        <w:widowControl w:val="0"/>
        <w:spacing w:after="240"/>
        <w:outlineLvl w:val="1"/>
        <w:rPr>
          <w:rFonts w:ascii="Arial" w:hAnsi="Arial" w:cs="Arial"/>
          <w:lang w:val="es-MX"/>
        </w:rPr>
      </w:pPr>
    </w:p>
    <w:p w14:paraId="1DA37173" w14:textId="22441129" w:rsidR="00E84FCE" w:rsidRPr="00DA40ED" w:rsidRDefault="00E84FCE" w:rsidP="00E84FCE">
      <w:pPr>
        <w:widowControl w:val="0"/>
        <w:spacing w:after="240"/>
        <w:outlineLvl w:val="1"/>
        <w:rPr>
          <w:rFonts w:ascii="Arial" w:hAnsi="Arial" w:cs="Arial"/>
          <w:lang w:val="es-MX"/>
        </w:rPr>
      </w:pPr>
    </w:p>
    <w:p w14:paraId="28531734" w14:textId="16AE0068" w:rsidR="00E84FCE" w:rsidRPr="00DA40ED" w:rsidRDefault="00E84FCE" w:rsidP="00E84FCE">
      <w:pPr>
        <w:widowControl w:val="0"/>
        <w:spacing w:after="240"/>
        <w:outlineLvl w:val="1"/>
        <w:rPr>
          <w:rFonts w:ascii="Arial" w:hAnsi="Arial" w:cs="Arial"/>
          <w:lang w:val="es-MX"/>
        </w:rPr>
      </w:pPr>
    </w:p>
    <w:p w14:paraId="2C525971" w14:textId="6E3E1EB6" w:rsidR="00E84FCE" w:rsidRPr="00DA40ED" w:rsidRDefault="00E84FCE" w:rsidP="00E84FCE">
      <w:pPr>
        <w:widowControl w:val="0"/>
        <w:spacing w:after="240"/>
        <w:outlineLvl w:val="1"/>
        <w:rPr>
          <w:rFonts w:ascii="Arial" w:hAnsi="Arial" w:cs="Arial"/>
          <w:lang w:val="es-MX"/>
        </w:rPr>
      </w:pPr>
    </w:p>
    <w:p w14:paraId="602D2413" w14:textId="3ECDE5C3" w:rsidR="00E84FCE" w:rsidRPr="00DA40ED" w:rsidRDefault="00E84FCE" w:rsidP="00E84FCE">
      <w:pPr>
        <w:widowControl w:val="0"/>
        <w:spacing w:after="240"/>
        <w:outlineLvl w:val="1"/>
        <w:rPr>
          <w:rFonts w:ascii="Arial" w:hAnsi="Arial" w:cs="Arial"/>
          <w:lang w:val="es-MX"/>
        </w:rPr>
      </w:pPr>
    </w:p>
    <w:p w14:paraId="7BF44327" w14:textId="64C11CC9" w:rsidR="00E84FCE" w:rsidRPr="00DA40ED" w:rsidRDefault="00E84FCE" w:rsidP="00E84FCE">
      <w:pPr>
        <w:widowControl w:val="0"/>
        <w:spacing w:after="240"/>
        <w:outlineLvl w:val="1"/>
        <w:rPr>
          <w:rFonts w:ascii="Arial" w:hAnsi="Arial" w:cs="Arial"/>
          <w:lang w:val="es-MX"/>
        </w:rPr>
      </w:pPr>
    </w:p>
    <w:p w14:paraId="5F7A4154" w14:textId="70292C73" w:rsidR="00E84FCE" w:rsidRPr="00DA40ED" w:rsidRDefault="00E84FCE" w:rsidP="00E84FCE">
      <w:pPr>
        <w:widowControl w:val="0"/>
        <w:spacing w:after="240"/>
        <w:outlineLvl w:val="1"/>
        <w:rPr>
          <w:rFonts w:ascii="Arial" w:hAnsi="Arial" w:cs="Arial"/>
          <w:lang w:val="es-MX"/>
        </w:rPr>
      </w:pPr>
    </w:p>
    <w:p w14:paraId="769B180F" w14:textId="36F6E106" w:rsidR="00E84FCE" w:rsidRPr="00DA40ED" w:rsidRDefault="00E84FCE" w:rsidP="00E84FCE">
      <w:pPr>
        <w:widowControl w:val="0"/>
        <w:spacing w:after="240"/>
        <w:outlineLvl w:val="1"/>
        <w:rPr>
          <w:rFonts w:ascii="Arial" w:hAnsi="Arial" w:cs="Arial"/>
          <w:lang w:val="es-MX"/>
        </w:rPr>
      </w:pPr>
    </w:p>
    <w:p w14:paraId="38237A79" w14:textId="441E3EE3" w:rsidR="00E84FCE" w:rsidRPr="00DA40ED" w:rsidRDefault="00E84FCE" w:rsidP="00E84FCE">
      <w:pPr>
        <w:widowControl w:val="0"/>
        <w:spacing w:after="240"/>
        <w:outlineLvl w:val="1"/>
        <w:rPr>
          <w:rFonts w:ascii="Arial" w:hAnsi="Arial" w:cs="Arial"/>
          <w:lang w:val="es-MX"/>
        </w:rPr>
      </w:pPr>
    </w:p>
    <w:p w14:paraId="575F5684" w14:textId="7F86EDCD" w:rsidR="00E84FCE" w:rsidRPr="00DA40ED" w:rsidRDefault="00E84FCE" w:rsidP="00E84FCE">
      <w:pPr>
        <w:widowControl w:val="0"/>
        <w:spacing w:after="240"/>
        <w:outlineLvl w:val="1"/>
        <w:rPr>
          <w:rFonts w:ascii="Arial" w:hAnsi="Arial" w:cs="Arial"/>
          <w:lang w:val="es-MX"/>
        </w:rPr>
      </w:pPr>
    </w:p>
    <w:p w14:paraId="765DC83B" w14:textId="06D77BE5" w:rsidR="00E84FCE" w:rsidRPr="00DA40ED" w:rsidRDefault="00E84FCE" w:rsidP="00E84FCE">
      <w:pPr>
        <w:widowControl w:val="0"/>
        <w:spacing w:after="240"/>
        <w:outlineLvl w:val="1"/>
        <w:rPr>
          <w:rFonts w:ascii="Arial" w:hAnsi="Arial" w:cs="Arial"/>
          <w:lang w:val="es-MX"/>
        </w:rPr>
      </w:pPr>
    </w:p>
    <w:p w14:paraId="13B8A86E" w14:textId="2E224C31" w:rsidR="00E84FCE" w:rsidRPr="00DA40ED" w:rsidRDefault="00E84FCE" w:rsidP="00E84FCE">
      <w:pPr>
        <w:widowControl w:val="0"/>
        <w:spacing w:after="240"/>
        <w:outlineLvl w:val="1"/>
        <w:rPr>
          <w:rFonts w:ascii="Arial" w:hAnsi="Arial" w:cs="Arial"/>
          <w:lang w:val="es-MX"/>
        </w:rPr>
      </w:pPr>
    </w:p>
    <w:p w14:paraId="74D1D188" w14:textId="30605787" w:rsidR="00E84FCE" w:rsidRPr="00DA40ED" w:rsidRDefault="00E84FCE" w:rsidP="00E84FCE">
      <w:pPr>
        <w:widowControl w:val="0"/>
        <w:spacing w:after="240"/>
        <w:outlineLvl w:val="1"/>
        <w:rPr>
          <w:rFonts w:ascii="Arial" w:hAnsi="Arial" w:cs="Arial"/>
          <w:lang w:val="es-MX"/>
        </w:rPr>
      </w:pPr>
    </w:p>
    <w:p w14:paraId="7B0A991A" w14:textId="60A06A16" w:rsidR="00E84FCE" w:rsidRPr="00DA40ED" w:rsidRDefault="00E84FCE" w:rsidP="00E84FCE">
      <w:pPr>
        <w:widowControl w:val="0"/>
        <w:spacing w:after="240"/>
        <w:outlineLvl w:val="1"/>
        <w:rPr>
          <w:rFonts w:ascii="Arial" w:hAnsi="Arial" w:cs="Arial"/>
          <w:lang w:val="es-MX"/>
        </w:rPr>
      </w:pPr>
    </w:p>
    <w:p w14:paraId="0512C0B6" w14:textId="3B77BD1D" w:rsidR="00E84FCE" w:rsidRPr="00DA40ED" w:rsidRDefault="00E84FCE" w:rsidP="00E84FCE">
      <w:pPr>
        <w:widowControl w:val="0"/>
        <w:spacing w:after="240"/>
        <w:outlineLvl w:val="1"/>
        <w:rPr>
          <w:rFonts w:ascii="Arial" w:hAnsi="Arial" w:cs="Arial"/>
          <w:lang w:val="es-MX"/>
        </w:rPr>
      </w:pPr>
    </w:p>
    <w:p w14:paraId="7B9EE7CF" w14:textId="1A2FEE15" w:rsidR="00E84FCE" w:rsidRPr="00DA40ED" w:rsidRDefault="00E84FCE" w:rsidP="00E84FCE">
      <w:pPr>
        <w:widowControl w:val="0"/>
        <w:spacing w:after="240"/>
        <w:outlineLvl w:val="1"/>
        <w:rPr>
          <w:rFonts w:ascii="Arial" w:hAnsi="Arial" w:cs="Arial"/>
          <w:lang w:val="es-MX"/>
        </w:rPr>
      </w:pPr>
    </w:p>
    <w:p w14:paraId="3BCD5519" w14:textId="4F468622" w:rsidR="00E84FCE" w:rsidRPr="00DA40ED" w:rsidRDefault="00E84FCE" w:rsidP="00E84FCE">
      <w:pPr>
        <w:widowControl w:val="0"/>
        <w:spacing w:after="240"/>
        <w:outlineLvl w:val="1"/>
        <w:rPr>
          <w:rFonts w:ascii="Arial" w:hAnsi="Arial" w:cs="Arial"/>
          <w:lang w:val="es-MX"/>
        </w:rPr>
      </w:pPr>
    </w:p>
    <w:p w14:paraId="5F94AF53" w14:textId="6616EF59" w:rsidR="00E84FCE" w:rsidRPr="00DA40ED" w:rsidRDefault="00E84FCE" w:rsidP="00E84FCE">
      <w:pPr>
        <w:widowControl w:val="0"/>
        <w:spacing w:after="240"/>
        <w:outlineLvl w:val="1"/>
        <w:rPr>
          <w:rFonts w:ascii="Arial" w:hAnsi="Arial" w:cs="Arial"/>
          <w:lang w:val="es-MX"/>
        </w:rPr>
      </w:pPr>
    </w:p>
    <w:p w14:paraId="18E90E43" w14:textId="3FD4ED84" w:rsidR="00E84FCE" w:rsidRPr="00DA40ED" w:rsidRDefault="00E84FCE" w:rsidP="00E84FCE">
      <w:pPr>
        <w:widowControl w:val="0"/>
        <w:spacing w:after="240"/>
        <w:outlineLvl w:val="1"/>
        <w:rPr>
          <w:rFonts w:ascii="Arial" w:hAnsi="Arial" w:cs="Arial"/>
          <w:lang w:val="es-MX"/>
        </w:rPr>
      </w:pPr>
    </w:p>
    <w:p w14:paraId="66A8BE3D" w14:textId="72970977" w:rsidR="00E84FCE" w:rsidRPr="00DA40ED" w:rsidRDefault="00E84FCE" w:rsidP="00E84FCE">
      <w:pPr>
        <w:widowControl w:val="0"/>
        <w:spacing w:after="240"/>
        <w:outlineLvl w:val="1"/>
        <w:rPr>
          <w:rFonts w:ascii="Arial" w:hAnsi="Arial" w:cs="Arial"/>
          <w:lang w:val="es-MX"/>
        </w:rPr>
      </w:pPr>
    </w:p>
    <w:p w14:paraId="27531C3C" w14:textId="3A6EE2F8" w:rsidR="00E84FCE" w:rsidRPr="00DA40ED" w:rsidRDefault="00E84FCE" w:rsidP="00E84FCE">
      <w:pPr>
        <w:widowControl w:val="0"/>
        <w:spacing w:after="240"/>
        <w:outlineLvl w:val="1"/>
        <w:rPr>
          <w:rFonts w:ascii="Arial" w:hAnsi="Arial" w:cs="Arial"/>
          <w:lang w:val="es-MX"/>
        </w:rPr>
      </w:pPr>
    </w:p>
    <w:p w14:paraId="4B060E46" w14:textId="425E6686" w:rsidR="00E84FCE" w:rsidRPr="00DA40ED" w:rsidRDefault="00E84FCE" w:rsidP="00E84FCE">
      <w:pPr>
        <w:widowControl w:val="0"/>
        <w:spacing w:after="240"/>
        <w:outlineLvl w:val="1"/>
        <w:rPr>
          <w:rFonts w:ascii="Arial" w:hAnsi="Arial" w:cs="Arial"/>
          <w:lang w:val="es-MX"/>
        </w:rPr>
      </w:pPr>
    </w:p>
    <w:p w14:paraId="3A900D61" w14:textId="435E0EE4" w:rsidR="00E84FCE" w:rsidRPr="00DA40ED" w:rsidRDefault="00E84FCE" w:rsidP="00E84FCE">
      <w:pPr>
        <w:widowControl w:val="0"/>
        <w:spacing w:after="240"/>
        <w:outlineLvl w:val="1"/>
        <w:rPr>
          <w:rFonts w:ascii="Arial" w:hAnsi="Arial" w:cs="Arial"/>
          <w:lang w:val="es-MX"/>
        </w:rPr>
      </w:pPr>
    </w:p>
    <w:p w14:paraId="0A6E13B4" w14:textId="2CF86C09" w:rsidR="00E84FCE" w:rsidRPr="00E06E36" w:rsidRDefault="00E84FCE" w:rsidP="00E84FCE">
      <w:pPr>
        <w:widowControl w:val="0"/>
        <w:spacing w:after="240"/>
        <w:outlineLvl w:val="1"/>
        <w:rPr>
          <w:rFonts w:ascii="Arial" w:hAnsi="Arial" w:cs="Arial"/>
          <w:sz w:val="20"/>
          <w:lang w:val="es-MX"/>
        </w:rPr>
      </w:pPr>
      <w:r w:rsidRPr="00E06E36">
        <w:rPr>
          <w:rFonts w:ascii="Arial" w:hAnsi="Arial" w:cs="Arial"/>
          <w:sz w:val="20"/>
          <w:lang w:val="es-MX"/>
        </w:rPr>
        <w:t>A TODAS LAS PERSONAS Y ENTIDADES INTERESADAS:</w:t>
      </w:r>
    </w:p>
    <w:p w14:paraId="51555BB4" w14:textId="0164A411" w:rsidR="00E84FCE" w:rsidRPr="00E06E36" w:rsidRDefault="00E84FCE" w:rsidP="00E84FCE">
      <w:pPr>
        <w:widowControl w:val="0"/>
        <w:spacing w:after="240"/>
        <w:outlineLvl w:val="1"/>
        <w:rPr>
          <w:rFonts w:ascii="Arial" w:hAnsi="Arial" w:cs="Arial"/>
          <w:sz w:val="20"/>
          <w:lang w:val="es-MX"/>
        </w:rPr>
      </w:pPr>
      <w:r w:rsidRPr="00E06E36">
        <w:rPr>
          <w:rFonts w:ascii="Arial" w:hAnsi="Arial" w:cs="Arial"/>
          <w:sz w:val="20"/>
          <w:lang w:val="es-MX"/>
        </w:rPr>
        <w:t>El Paso Electric Company ha</w:t>
      </w:r>
      <w:r w:rsidR="004153B2">
        <w:rPr>
          <w:rFonts w:ascii="Arial" w:hAnsi="Arial" w:cs="Arial"/>
          <w:sz w:val="20"/>
          <w:lang w:val="es-MX"/>
        </w:rPr>
        <w:t xml:space="preserve"> solicitado</w:t>
      </w:r>
      <w:r w:rsidRPr="00E06E36">
        <w:rPr>
          <w:rFonts w:ascii="Arial" w:hAnsi="Arial" w:cs="Arial"/>
          <w:sz w:val="20"/>
          <w:lang w:val="es-MX"/>
        </w:rPr>
        <w:t xml:space="preserve"> a la Comisión de Calidad Ambiental de Texas (TCEQ o Texas Commission on Environmental Quality) </w:t>
      </w:r>
      <w:r w:rsidRPr="00E06E36">
        <w:rPr>
          <w:rFonts w:ascii="Arial" w:hAnsi="Arial" w:cs="Arial"/>
          <w:sz w:val="20"/>
          <w:lang w:val="es-ES"/>
        </w:rPr>
        <w:t xml:space="preserve">para una enmienda del Permiso Estatal de Calidad del Aire </w:t>
      </w:r>
      <w:r w:rsidR="00DA40ED" w:rsidRPr="00E06E36">
        <w:rPr>
          <w:rFonts w:ascii="Arial" w:hAnsi="Arial" w:cs="Arial"/>
          <w:sz w:val="20"/>
          <w:lang w:val="es-ES"/>
        </w:rPr>
        <w:t>N</w:t>
      </w:r>
      <w:r w:rsidR="00DA40ED">
        <w:rPr>
          <w:rFonts w:ascii="Arial" w:hAnsi="Arial" w:cs="Arial"/>
          <w:sz w:val="20"/>
          <w:lang w:val="es-ES"/>
        </w:rPr>
        <w:t>ú</w:t>
      </w:r>
      <w:r w:rsidR="00DA40ED" w:rsidRPr="00E06E36">
        <w:rPr>
          <w:rFonts w:ascii="Arial" w:hAnsi="Arial" w:cs="Arial"/>
          <w:sz w:val="20"/>
          <w:lang w:val="es-ES"/>
        </w:rPr>
        <w:t>mero</w:t>
      </w:r>
      <w:r w:rsidR="00DA40ED" w:rsidRPr="00E06E36">
        <w:rPr>
          <w:rFonts w:ascii="Arial" w:hAnsi="Arial" w:cs="Arial"/>
          <w:sz w:val="20"/>
          <w:lang w:val="es-ES"/>
        </w:rPr>
        <w:t xml:space="preserve"> </w:t>
      </w:r>
      <w:r w:rsidRPr="00E06E36">
        <w:rPr>
          <w:rFonts w:ascii="Arial" w:hAnsi="Arial" w:cs="Arial"/>
          <w:sz w:val="20"/>
          <w:lang w:val="es-ES"/>
        </w:rPr>
        <w:t>1467, modificación al Permiso de Calidad de</w:t>
      </w:r>
      <w:r w:rsidR="00DA40ED">
        <w:rPr>
          <w:rFonts w:ascii="Arial" w:hAnsi="Arial" w:cs="Arial"/>
          <w:sz w:val="20"/>
          <w:lang w:val="es-ES"/>
        </w:rPr>
        <w:t>l</w:t>
      </w:r>
      <w:r w:rsidRPr="00E06E36">
        <w:rPr>
          <w:rFonts w:ascii="Arial" w:hAnsi="Arial" w:cs="Arial"/>
          <w:sz w:val="20"/>
          <w:lang w:val="es-ES"/>
        </w:rPr>
        <w:t xml:space="preserve"> Aire para Prevención de Deterioro Significativo (PSD, por sus siglas en </w:t>
      </w:r>
      <w:r w:rsidR="00DA40ED" w:rsidRPr="00E06E36">
        <w:rPr>
          <w:rFonts w:ascii="Arial" w:hAnsi="Arial" w:cs="Arial"/>
          <w:sz w:val="20"/>
          <w:lang w:val="es-ES"/>
        </w:rPr>
        <w:t>inglés</w:t>
      </w:r>
      <w:r w:rsidRPr="00E06E36">
        <w:rPr>
          <w:rFonts w:ascii="Arial" w:hAnsi="Arial" w:cs="Arial"/>
          <w:sz w:val="20"/>
          <w:lang w:val="es-ES"/>
        </w:rPr>
        <w:t>)</w:t>
      </w:r>
      <w:r w:rsidR="00DA40ED">
        <w:rPr>
          <w:rFonts w:ascii="Arial" w:hAnsi="Arial" w:cs="Arial"/>
          <w:sz w:val="20"/>
          <w:lang w:val="es-ES"/>
        </w:rPr>
        <w:t xml:space="preserve"> </w:t>
      </w:r>
      <w:r w:rsidR="00DA40ED" w:rsidRPr="00E06E36">
        <w:rPr>
          <w:rFonts w:ascii="Arial" w:hAnsi="Arial" w:cs="Arial"/>
          <w:sz w:val="20"/>
          <w:lang w:val="es-ES"/>
        </w:rPr>
        <w:t>N</w:t>
      </w:r>
      <w:r w:rsidR="00DA40ED">
        <w:rPr>
          <w:rFonts w:ascii="Arial" w:hAnsi="Arial" w:cs="Arial"/>
          <w:sz w:val="20"/>
          <w:lang w:val="es-ES"/>
        </w:rPr>
        <w:t>ú</w:t>
      </w:r>
      <w:r w:rsidR="00DA40ED" w:rsidRPr="00E06E36">
        <w:rPr>
          <w:rFonts w:ascii="Arial" w:hAnsi="Arial" w:cs="Arial"/>
          <w:sz w:val="20"/>
          <w:lang w:val="es-ES"/>
        </w:rPr>
        <w:t>mero PSDTX1090M1</w:t>
      </w:r>
      <w:r w:rsidRPr="00E06E36">
        <w:rPr>
          <w:rFonts w:ascii="Arial" w:hAnsi="Arial" w:cs="Arial"/>
          <w:sz w:val="20"/>
          <w:lang w:val="es-ES"/>
        </w:rPr>
        <w:t xml:space="preserve">, la expedición del Permiso de </w:t>
      </w:r>
      <w:r w:rsidR="00713D35">
        <w:rPr>
          <w:rFonts w:ascii="Arial" w:hAnsi="Arial" w:cs="Arial"/>
          <w:sz w:val="20"/>
          <w:lang w:val="es-ES"/>
        </w:rPr>
        <w:t xml:space="preserve">Area de </w:t>
      </w:r>
      <w:bookmarkStart w:id="1" w:name="_GoBack"/>
      <w:bookmarkEnd w:id="1"/>
      <w:r w:rsidR="00DA40ED">
        <w:rPr>
          <w:rFonts w:ascii="Arial" w:hAnsi="Arial" w:cs="Arial"/>
          <w:sz w:val="20"/>
          <w:lang w:val="es-ES"/>
        </w:rPr>
        <w:t>Incumplimiento (Nonattainment)</w:t>
      </w:r>
      <w:r w:rsidRPr="00E06E36">
        <w:rPr>
          <w:rFonts w:ascii="Arial" w:hAnsi="Arial" w:cs="Arial"/>
          <w:sz w:val="20"/>
          <w:lang w:val="es-ES"/>
        </w:rPr>
        <w:t xml:space="preserve"> Número N284, y la expedición del Permiso de Gases de Invernadero (GHG, por sus siglas en inglés) PSD de Calidad del Aire </w:t>
      </w:r>
      <w:r w:rsidR="00DA40ED">
        <w:rPr>
          <w:rFonts w:ascii="Arial" w:hAnsi="Arial" w:cs="Arial"/>
          <w:sz w:val="20"/>
          <w:lang w:val="es-ES"/>
        </w:rPr>
        <w:t xml:space="preserve">Número </w:t>
      </w:r>
      <w:r w:rsidRPr="00E06E36">
        <w:rPr>
          <w:rFonts w:ascii="Arial" w:hAnsi="Arial" w:cs="Arial"/>
          <w:sz w:val="20"/>
          <w:lang w:val="es-ES"/>
        </w:rPr>
        <w:t>GHGPSDTX199 para las emisiones de GHGs. Esta solicitud autorizar</w:t>
      </w:r>
      <w:r w:rsidR="00DA40ED">
        <w:rPr>
          <w:rFonts w:ascii="Arial" w:hAnsi="Arial" w:cs="Arial"/>
          <w:sz w:val="20"/>
          <w:lang w:val="es-ES"/>
        </w:rPr>
        <w:t>á</w:t>
      </w:r>
      <w:r w:rsidRPr="00E06E36">
        <w:rPr>
          <w:rFonts w:ascii="Arial" w:hAnsi="Arial" w:cs="Arial"/>
          <w:sz w:val="20"/>
          <w:lang w:val="es-ES"/>
        </w:rPr>
        <w:t xml:space="preserve"> la modificación de la Planta Generadora de Electricidad Newman localizada en el 4900 Stan Roberts Senior A</w:t>
      </w:r>
      <w:r w:rsidR="00E06E36" w:rsidRPr="00E06E36">
        <w:rPr>
          <w:rFonts w:ascii="Arial" w:hAnsi="Arial" w:cs="Arial"/>
          <w:sz w:val="20"/>
          <w:lang w:val="es-ES"/>
        </w:rPr>
        <w:t>v</w:t>
      </w:r>
      <w:r w:rsidRPr="00E06E36">
        <w:rPr>
          <w:rFonts w:ascii="Arial" w:hAnsi="Arial" w:cs="Arial"/>
          <w:sz w:val="20"/>
          <w:lang w:val="es-ES"/>
        </w:rPr>
        <w:t xml:space="preserve">enue, El Paso, Condado de El Paso, Texas 79934. </w:t>
      </w:r>
      <w:r w:rsidRPr="00E06E36">
        <w:rPr>
          <w:rFonts w:ascii="Arial" w:hAnsi="Arial" w:cs="Arial"/>
          <w:sz w:val="20"/>
          <w:lang w:val="es-MX"/>
        </w:rPr>
        <w:t>Más información con respecto a esta solicitud se encuentra en la sección de avisos públicos de esta publicación.</w:t>
      </w:r>
    </w:p>
    <w:sectPr w:rsidR="00E84FCE" w:rsidRPr="00E06E36" w:rsidSect="00DD1AD5">
      <w:footerReference w:type="default" r:id="rId12"/>
      <w:footerReference w:type="first" r:id="rId13"/>
      <w:footnotePr>
        <w:numFmt w:val="lowerLetter"/>
      </w:footnotePr>
      <w:endnotePr>
        <w:numFmt w:val="lowerLetter"/>
      </w:endnotePr>
      <w:pgSz w:w="12240" w:h="15840"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2C95" w14:textId="77777777" w:rsidR="00267F90" w:rsidRDefault="00267F90">
      <w:r>
        <w:separator/>
      </w:r>
    </w:p>
  </w:endnote>
  <w:endnote w:type="continuationSeparator" w:id="0">
    <w:p w14:paraId="040F8994" w14:textId="77777777" w:rsidR="00267F90" w:rsidRDefault="0026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870E" w14:textId="67804B39" w:rsidR="00CC6038" w:rsidRPr="00867149" w:rsidRDefault="00CC6038" w:rsidP="00CC6038">
    <w:pPr>
      <w:pStyle w:val="Footer"/>
      <w:tabs>
        <w:tab w:val="clear" w:pos="4320"/>
        <w:tab w:val="clear" w:pos="8640"/>
        <w:tab w:val="right" w:pos="9270"/>
      </w:tabs>
      <w:rPr>
        <w:rFonts w:ascii="Arial" w:hAnsi="Arial" w:cs="Arial"/>
        <w:b/>
        <w:sz w:val="16"/>
        <w:szCs w:val="16"/>
      </w:rPr>
    </w:pPr>
    <w:r w:rsidRPr="00867149">
      <w:rPr>
        <w:rFonts w:ascii="Arial" w:hAnsi="Arial" w:cs="Arial"/>
        <w:b/>
        <w:sz w:val="16"/>
        <w:szCs w:val="16"/>
      </w:rPr>
      <w:tab/>
    </w:r>
  </w:p>
  <w:p w14:paraId="2B90F7B5" w14:textId="77777777" w:rsidR="00CC6038" w:rsidRPr="00867149" w:rsidRDefault="00CC6038" w:rsidP="00CC603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9007" w14:textId="74980323" w:rsidR="00CC6038" w:rsidRPr="003B1188" w:rsidRDefault="00CC6038" w:rsidP="00CC6038">
    <w:pPr>
      <w:pStyle w:val="Footer"/>
      <w:tabs>
        <w:tab w:val="clear" w:pos="4320"/>
        <w:tab w:val="clear" w:pos="8640"/>
        <w:tab w:val="right" w:pos="9270"/>
      </w:tabs>
      <w:rPr>
        <w:rFonts w:ascii="Arial" w:hAnsi="Arial" w:cs="Arial"/>
        <w:b/>
        <w:sz w:val="16"/>
        <w:szCs w:val="16"/>
      </w:rPr>
    </w:pPr>
    <w:r w:rsidRPr="003B1188">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9661" w14:textId="77777777" w:rsidR="00267F90" w:rsidRDefault="00267F90">
      <w:r>
        <w:separator/>
      </w:r>
    </w:p>
  </w:footnote>
  <w:footnote w:type="continuationSeparator" w:id="0">
    <w:p w14:paraId="19EDE41D" w14:textId="77777777" w:rsidR="00267F90" w:rsidRDefault="00267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44"/>
    <w:rsid w:val="000008FB"/>
    <w:rsid w:val="00003392"/>
    <w:rsid w:val="000229A5"/>
    <w:rsid w:val="00025676"/>
    <w:rsid w:val="0003406A"/>
    <w:rsid w:val="000367E7"/>
    <w:rsid w:val="00041136"/>
    <w:rsid w:val="000441D4"/>
    <w:rsid w:val="00067F78"/>
    <w:rsid w:val="000739A3"/>
    <w:rsid w:val="000802C6"/>
    <w:rsid w:val="00081C74"/>
    <w:rsid w:val="00084EF1"/>
    <w:rsid w:val="00086181"/>
    <w:rsid w:val="00090EC3"/>
    <w:rsid w:val="00094151"/>
    <w:rsid w:val="000A559A"/>
    <w:rsid w:val="000A55F9"/>
    <w:rsid w:val="000C00FD"/>
    <w:rsid w:val="000C655D"/>
    <w:rsid w:val="000D3042"/>
    <w:rsid w:val="000E127D"/>
    <w:rsid w:val="000E3369"/>
    <w:rsid w:val="00100668"/>
    <w:rsid w:val="0010415E"/>
    <w:rsid w:val="001069A1"/>
    <w:rsid w:val="00116EF4"/>
    <w:rsid w:val="001217B3"/>
    <w:rsid w:val="00130086"/>
    <w:rsid w:val="001327BB"/>
    <w:rsid w:val="00132946"/>
    <w:rsid w:val="001440CF"/>
    <w:rsid w:val="00146BB0"/>
    <w:rsid w:val="00146BF3"/>
    <w:rsid w:val="001620C8"/>
    <w:rsid w:val="00165117"/>
    <w:rsid w:val="00165CA7"/>
    <w:rsid w:val="00171881"/>
    <w:rsid w:val="00171CCD"/>
    <w:rsid w:val="00176402"/>
    <w:rsid w:val="00177728"/>
    <w:rsid w:val="00182524"/>
    <w:rsid w:val="00185762"/>
    <w:rsid w:val="0019619A"/>
    <w:rsid w:val="001A126E"/>
    <w:rsid w:val="001A537C"/>
    <w:rsid w:val="001A538E"/>
    <w:rsid w:val="001A6733"/>
    <w:rsid w:val="001B1931"/>
    <w:rsid w:val="001B3395"/>
    <w:rsid w:val="001B6606"/>
    <w:rsid w:val="001C4FD4"/>
    <w:rsid w:val="001D615B"/>
    <w:rsid w:val="001D6ECB"/>
    <w:rsid w:val="001E16C2"/>
    <w:rsid w:val="001E59E4"/>
    <w:rsid w:val="001E6227"/>
    <w:rsid w:val="001E7F2D"/>
    <w:rsid w:val="001F274D"/>
    <w:rsid w:val="002103BA"/>
    <w:rsid w:val="00212407"/>
    <w:rsid w:val="00220E59"/>
    <w:rsid w:val="00224845"/>
    <w:rsid w:val="00227355"/>
    <w:rsid w:val="002357B0"/>
    <w:rsid w:val="00235A9E"/>
    <w:rsid w:val="002403D3"/>
    <w:rsid w:val="002406AE"/>
    <w:rsid w:val="002430EB"/>
    <w:rsid w:val="00247330"/>
    <w:rsid w:val="002524CD"/>
    <w:rsid w:val="0025686D"/>
    <w:rsid w:val="0026121D"/>
    <w:rsid w:val="00267F90"/>
    <w:rsid w:val="0027266A"/>
    <w:rsid w:val="002A3B39"/>
    <w:rsid w:val="002A519D"/>
    <w:rsid w:val="002B5781"/>
    <w:rsid w:val="002D3573"/>
    <w:rsid w:val="002D3BBA"/>
    <w:rsid w:val="002D5677"/>
    <w:rsid w:val="002D5D1E"/>
    <w:rsid w:val="002D6302"/>
    <w:rsid w:val="002E2172"/>
    <w:rsid w:val="002E38B4"/>
    <w:rsid w:val="00304588"/>
    <w:rsid w:val="00331492"/>
    <w:rsid w:val="00344759"/>
    <w:rsid w:val="003627FF"/>
    <w:rsid w:val="00363CD2"/>
    <w:rsid w:val="00366C57"/>
    <w:rsid w:val="00370A57"/>
    <w:rsid w:val="003862E6"/>
    <w:rsid w:val="00390A97"/>
    <w:rsid w:val="003A7C3B"/>
    <w:rsid w:val="003B0234"/>
    <w:rsid w:val="003B1188"/>
    <w:rsid w:val="003B2D6F"/>
    <w:rsid w:val="003B5D89"/>
    <w:rsid w:val="003B6816"/>
    <w:rsid w:val="003D12BE"/>
    <w:rsid w:val="003E55F2"/>
    <w:rsid w:val="003E5D79"/>
    <w:rsid w:val="00402726"/>
    <w:rsid w:val="0040447A"/>
    <w:rsid w:val="004044A3"/>
    <w:rsid w:val="00411A8B"/>
    <w:rsid w:val="00413D7D"/>
    <w:rsid w:val="004153B2"/>
    <w:rsid w:val="00423E2D"/>
    <w:rsid w:val="00437B97"/>
    <w:rsid w:val="00445760"/>
    <w:rsid w:val="004462D5"/>
    <w:rsid w:val="0045151A"/>
    <w:rsid w:val="00452E2F"/>
    <w:rsid w:val="0045618D"/>
    <w:rsid w:val="00457F93"/>
    <w:rsid w:val="00462A77"/>
    <w:rsid w:val="00463D5A"/>
    <w:rsid w:val="00464E7C"/>
    <w:rsid w:val="0046730E"/>
    <w:rsid w:val="00471256"/>
    <w:rsid w:val="004720A3"/>
    <w:rsid w:val="0049234D"/>
    <w:rsid w:val="0049646D"/>
    <w:rsid w:val="004A3F6A"/>
    <w:rsid w:val="004A6227"/>
    <w:rsid w:val="004B2F63"/>
    <w:rsid w:val="004D3F2F"/>
    <w:rsid w:val="004E4CB6"/>
    <w:rsid w:val="004F17B4"/>
    <w:rsid w:val="004F3ED4"/>
    <w:rsid w:val="004F445D"/>
    <w:rsid w:val="005051E2"/>
    <w:rsid w:val="00531DAF"/>
    <w:rsid w:val="00542069"/>
    <w:rsid w:val="00546268"/>
    <w:rsid w:val="005544C5"/>
    <w:rsid w:val="00562BDC"/>
    <w:rsid w:val="0057379B"/>
    <w:rsid w:val="00573EAB"/>
    <w:rsid w:val="005763FF"/>
    <w:rsid w:val="00590286"/>
    <w:rsid w:val="005913E7"/>
    <w:rsid w:val="005A0D49"/>
    <w:rsid w:val="005A1336"/>
    <w:rsid w:val="005A2DF4"/>
    <w:rsid w:val="005A6D1E"/>
    <w:rsid w:val="005A7C46"/>
    <w:rsid w:val="005D245C"/>
    <w:rsid w:val="005E59D2"/>
    <w:rsid w:val="005F46AB"/>
    <w:rsid w:val="005F4FB3"/>
    <w:rsid w:val="005F72D8"/>
    <w:rsid w:val="005F7892"/>
    <w:rsid w:val="00605B01"/>
    <w:rsid w:val="006258FF"/>
    <w:rsid w:val="00646B61"/>
    <w:rsid w:val="006550FA"/>
    <w:rsid w:val="0066119C"/>
    <w:rsid w:val="00666804"/>
    <w:rsid w:val="00671ABF"/>
    <w:rsid w:val="00673F95"/>
    <w:rsid w:val="00674FA2"/>
    <w:rsid w:val="00677645"/>
    <w:rsid w:val="0068707D"/>
    <w:rsid w:val="0069092F"/>
    <w:rsid w:val="00694CB7"/>
    <w:rsid w:val="006B2D78"/>
    <w:rsid w:val="006B4969"/>
    <w:rsid w:val="006B705F"/>
    <w:rsid w:val="006B7379"/>
    <w:rsid w:val="006C0919"/>
    <w:rsid w:val="006E091B"/>
    <w:rsid w:val="006F5193"/>
    <w:rsid w:val="00703C3E"/>
    <w:rsid w:val="00713D35"/>
    <w:rsid w:val="00714C0D"/>
    <w:rsid w:val="007168AF"/>
    <w:rsid w:val="00717534"/>
    <w:rsid w:val="007203FD"/>
    <w:rsid w:val="00725DAC"/>
    <w:rsid w:val="00725F58"/>
    <w:rsid w:val="00730464"/>
    <w:rsid w:val="007333EC"/>
    <w:rsid w:val="00740E97"/>
    <w:rsid w:val="00741305"/>
    <w:rsid w:val="00745C56"/>
    <w:rsid w:val="007631DF"/>
    <w:rsid w:val="0076362A"/>
    <w:rsid w:val="00765A1F"/>
    <w:rsid w:val="00773130"/>
    <w:rsid w:val="0078656E"/>
    <w:rsid w:val="00787A02"/>
    <w:rsid w:val="0079396A"/>
    <w:rsid w:val="00793DCE"/>
    <w:rsid w:val="007942D8"/>
    <w:rsid w:val="00794607"/>
    <w:rsid w:val="00795B17"/>
    <w:rsid w:val="007A0B4A"/>
    <w:rsid w:val="007A75AB"/>
    <w:rsid w:val="007B0784"/>
    <w:rsid w:val="007B23D0"/>
    <w:rsid w:val="007B7E3F"/>
    <w:rsid w:val="007C0043"/>
    <w:rsid w:val="007C65C3"/>
    <w:rsid w:val="007D02BF"/>
    <w:rsid w:val="007D63DA"/>
    <w:rsid w:val="007D68D2"/>
    <w:rsid w:val="00805AE8"/>
    <w:rsid w:val="0080674F"/>
    <w:rsid w:val="00820E38"/>
    <w:rsid w:val="008218C7"/>
    <w:rsid w:val="0082617B"/>
    <w:rsid w:val="0082640F"/>
    <w:rsid w:val="00826B31"/>
    <w:rsid w:val="00831E63"/>
    <w:rsid w:val="00833B44"/>
    <w:rsid w:val="00840593"/>
    <w:rsid w:val="008469C7"/>
    <w:rsid w:val="00847CED"/>
    <w:rsid w:val="0085103D"/>
    <w:rsid w:val="008522A6"/>
    <w:rsid w:val="00854CBB"/>
    <w:rsid w:val="00855D96"/>
    <w:rsid w:val="00860658"/>
    <w:rsid w:val="00867149"/>
    <w:rsid w:val="00871146"/>
    <w:rsid w:val="008907F3"/>
    <w:rsid w:val="00895A5A"/>
    <w:rsid w:val="008A3F14"/>
    <w:rsid w:val="008B26DD"/>
    <w:rsid w:val="008B3DB9"/>
    <w:rsid w:val="008C1C4E"/>
    <w:rsid w:val="008C3D25"/>
    <w:rsid w:val="008C3F45"/>
    <w:rsid w:val="008E1E2A"/>
    <w:rsid w:val="008E3A40"/>
    <w:rsid w:val="008F0D4D"/>
    <w:rsid w:val="009006BD"/>
    <w:rsid w:val="00900CEF"/>
    <w:rsid w:val="00907DB3"/>
    <w:rsid w:val="00927309"/>
    <w:rsid w:val="00940170"/>
    <w:rsid w:val="00946393"/>
    <w:rsid w:val="009576BE"/>
    <w:rsid w:val="0096314A"/>
    <w:rsid w:val="00971DCC"/>
    <w:rsid w:val="009919B1"/>
    <w:rsid w:val="00992E31"/>
    <w:rsid w:val="009A2C5F"/>
    <w:rsid w:val="009A3E32"/>
    <w:rsid w:val="009A69E7"/>
    <w:rsid w:val="009C784E"/>
    <w:rsid w:val="009C7C5B"/>
    <w:rsid w:val="009D0856"/>
    <w:rsid w:val="009D4FDF"/>
    <w:rsid w:val="009E0C36"/>
    <w:rsid w:val="009E11DB"/>
    <w:rsid w:val="009E5DF5"/>
    <w:rsid w:val="009E6B8C"/>
    <w:rsid w:val="00A003A7"/>
    <w:rsid w:val="00A027FE"/>
    <w:rsid w:val="00A04136"/>
    <w:rsid w:val="00A149CF"/>
    <w:rsid w:val="00A25870"/>
    <w:rsid w:val="00A320EA"/>
    <w:rsid w:val="00A326BA"/>
    <w:rsid w:val="00A558C7"/>
    <w:rsid w:val="00A60B59"/>
    <w:rsid w:val="00A75058"/>
    <w:rsid w:val="00A76442"/>
    <w:rsid w:val="00A77CAA"/>
    <w:rsid w:val="00A85B08"/>
    <w:rsid w:val="00A95445"/>
    <w:rsid w:val="00AA3B6B"/>
    <w:rsid w:val="00AA5B07"/>
    <w:rsid w:val="00AB1938"/>
    <w:rsid w:val="00AB7304"/>
    <w:rsid w:val="00AC0316"/>
    <w:rsid w:val="00AC0FEC"/>
    <w:rsid w:val="00AC7DAF"/>
    <w:rsid w:val="00AD3A32"/>
    <w:rsid w:val="00AD7B36"/>
    <w:rsid w:val="00AD7EF6"/>
    <w:rsid w:val="00AE0B52"/>
    <w:rsid w:val="00AE1E81"/>
    <w:rsid w:val="00AE7990"/>
    <w:rsid w:val="00AF613D"/>
    <w:rsid w:val="00B10006"/>
    <w:rsid w:val="00B10286"/>
    <w:rsid w:val="00B20752"/>
    <w:rsid w:val="00B35E63"/>
    <w:rsid w:val="00B44563"/>
    <w:rsid w:val="00B4492B"/>
    <w:rsid w:val="00B44D91"/>
    <w:rsid w:val="00B46023"/>
    <w:rsid w:val="00B55C7E"/>
    <w:rsid w:val="00B67CA1"/>
    <w:rsid w:val="00B70C90"/>
    <w:rsid w:val="00B718F4"/>
    <w:rsid w:val="00B7777D"/>
    <w:rsid w:val="00B8293F"/>
    <w:rsid w:val="00B86FCD"/>
    <w:rsid w:val="00B92A24"/>
    <w:rsid w:val="00B9493C"/>
    <w:rsid w:val="00BB2A0A"/>
    <w:rsid w:val="00BC414C"/>
    <w:rsid w:val="00BC5510"/>
    <w:rsid w:val="00BD187B"/>
    <w:rsid w:val="00BD2A67"/>
    <w:rsid w:val="00BD3525"/>
    <w:rsid w:val="00BE6DED"/>
    <w:rsid w:val="00BF1811"/>
    <w:rsid w:val="00BF2E29"/>
    <w:rsid w:val="00C046D6"/>
    <w:rsid w:val="00C06866"/>
    <w:rsid w:val="00C22945"/>
    <w:rsid w:val="00C30EA0"/>
    <w:rsid w:val="00C5534F"/>
    <w:rsid w:val="00C64CB6"/>
    <w:rsid w:val="00C769BD"/>
    <w:rsid w:val="00C801EA"/>
    <w:rsid w:val="00C80D59"/>
    <w:rsid w:val="00C80FFB"/>
    <w:rsid w:val="00C83037"/>
    <w:rsid w:val="00C94D4B"/>
    <w:rsid w:val="00CA027A"/>
    <w:rsid w:val="00CA7B5F"/>
    <w:rsid w:val="00CB2392"/>
    <w:rsid w:val="00CC2483"/>
    <w:rsid w:val="00CC3C42"/>
    <w:rsid w:val="00CC5245"/>
    <w:rsid w:val="00CC6038"/>
    <w:rsid w:val="00CE27DA"/>
    <w:rsid w:val="00CF4274"/>
    <w:rsid w:val="00CF427E"/>
    <w:rsid w:val="00CF6A33"/>
    <w:rsid w:val="00D00EA5"/>
    <w:rsid w:val="00D02197"/>
    <w:rsid w:val="00D04F17"/>
    <w:rsid w:val="00D05661"/>
    <w:rsid w:val="00D11272"/>
    <w:rsid w:val="00D1511B"/>
    <w:rsid w:val="00D15A79"/>
    <w:rsid w:val="00D16777"/>
    <w:rsid w:val="00D214C6"/>
    <w:rsid w:val="00D36B5D"/>
    <w:rsid w:val="00D37960"/>
    <w:rsid w:val="00D4648B"/>
    <w:rsid w:val="00D60214"/>
    <w:rsid w:val="00D61F0F"/>
    <w:rsid w:val="00D64754"/>
    <w:rsid w:val="00D64BFA"/>
    <w:rsid w:val="00D909B1"/>
    <w:rsid w:val="00DA359D"/>
    <w:rsid w:val="00DA40ED"/>
    <w:rsid w:val="00DB3440"/>
    <w:rsid w:val="00DB45B5"/>
    <w:rsid w:val="00DB7E1E"/>
    <w:rsid w:val="00DC193F"/>
    <w:rsid w:val="00DC2081"/>
    <w:rsid w:val="00DC6B69"/>
    <w:rsid w:val="00DD165F"/>
    <w:rsid w:val="00DD1AD5"/>
    <w:rsid w:val="00DD4CB8"/>
    <w:rsid w:val="00DE268E"/>
    <w:rsid w:val="00DF5086"/>
    <w:rsid w:val="00E009AA"/>
    <w:rsid w:val="00E05B1D"/>
    <w:rsid w:val="00E06E36"/>
    <w:rsid w:val="00E118F1"/>
    <w:rsid w:val="00E12109"/>
    <w:rsid w:val="00E25CF8"/>
    <w:rsid w:val="00E3111D"/>
    <w:rsid w:val="00E40B68"/>
    <w:rsid w:val="00E52E0E"/>
    <w:rsid w:val="00E55FAD"/>
    <w:rsid w:val="00E663FE"/>
    <w:rsid w:val="00E678AF"/>
    <w:rsid w:val="00E84FCE"/>
    <w:rsid w:val="00E852B7"/>
    <w:rsid w:val="00E93EBF"/>
    <w:rsid w:val="00E9577A"/>
    <w:rsid w:val="00E95A48"/>
    <w:rsid w:val="00EB35E3"/>
    <w:rsid w:val="00EB6C3C"/>
    <w:rsid w:val="00EB6FD1"/>
    <w:rsid w:val="00EC1F5F"/>
    <w:rsid w:val="00EC2B80"/>
    <w:rsid w:val="00ED2E16"/>
    <w:rsid w:val="00EE068D"/>
    <w:rsid w:val="00EE382C"/>
    <w:rsid w:val="00EF364C"/>
    <w:rsid w:val="00EF4C6D"/>
    <w:rsid w:val="00EF68BF"/>
    <w:rsid w:val="00F00455"/>
    <w:rsid w:val="00F00D92"/>
    <w:rsid w:val="00F01099"/>
    <w:rsid w:val="00F10644"/>
    <w:rsid w:val="00F12FBA"/>
    <w:rsid w:val="00F321FD"/>
    <w:rsid w:val="00F34CDC"/>
    <w:rsid w:val="00F60AFC"/>
    <w:rsid w:val="00F6750C"/>
    <w:rsid w:val="00F83375"/>
    <w:rsid w:val="00F849FD"/>
    <w:rsid w:val="00F96B8F"/>
    <w:rsid w:val="00F97E1F"/>
    <w:rsid w:val="00FA1796"/>
    <w:rsid w:val="00FB6366"/>
    <w:rsid w:val="00FC23D1"/>
    <w:rsid w:val="00FD7792"/>
    <w:rsid w:val="00FE12F5"/>
    <w:rsid w:val="00FF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B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30EB"/>
    <w:rPr>
      <w:sz w:val="24"/>
    </w:rPr>
  </w:style>
  <w:style w:type="paragraph" w:styleId="Heading1">
    <w:name w:val="heading 1"/>
    <w:basedOn w:val="Normal"/>
    <w:next w:val="Normal"/>
    <w:link w:val="Heading1Char"/>
    <w:qFormat/>
    <w:rsid w:val="00177728"/>
    <w:pPr>
      <w:widowControl w:val="0"/>
      <w:jc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39A3"/>
    <w:pPr>
      <w:tabs>
        <w:tab w:val="center" w:pos="4320"/>
        <w:tab w:val="right" w:pos="8640"/>
      </w:tabs>
    </w:pPr>
  </w:style>
  <w:style w:type="paragraph" w:styleId="Footer">
    <w:name w:val="footer"/>
    <w:basedOn w:val="Normal"/>
    <w:link w:val="FooterChar"/>
    <w:rsid w:val="000739A3"/>
    <w:pPr>
      <w:tabs>
        <w:tab w:val="center" w:pos="4320"/>
        <w:tab w:val="right" w:pos="8640"/>
      </w:tabs>
    </w:pPr>
  </w:style>
  <w:style w:type="character" w:styleId="Hyperlink">
    <w:name w:val="Hyperlink"/>
    <w:rsid w:val="000739A3"/>
    <w:rPr>
      <w:color w:val="0000FF"/>
      <w:u w:val="single"/>
    </w:rPr>
  </w:style>
  <w:style w:type="character" w:styleId="FollowedHyperlink">
    <w:name w:val="FollowedHyperlink"/>
    <w:rsid w:val="000739A3"/>
    <w:rPr>
      <w:color w:val="800080"/>
      <w:u w:val="single"/>
    </w:rPr>
  </w:style>
  <w:style w:type="paragraph" w:styleId="BalloonText">
    <w:name w:val="Balloon Text"/>
    <w:basedOn w:val="Normal"/>
    <w:semiHidden/>
    <w:rsid w:val="00A027FE"/>
    <w:rPr>
      <w:rFonts w:ascii="Tahoma" w:hAnsi="Tahoma" w:cs="Tahoma"/>
      <w:sz w:val="16"/>
      <w:szCs w:val="16"/>
    </w:rPr>
  </w:style>
  <w:style w:type="paragraph" w:styleId="DocumentMap">
    <w:name w:val="Document Map"/>
    <w:basedOn w:val="Normal"/>
    <w:link w:val="DocumentMapChar"/>
    <w:rsid w:val="006258FF"/>
    <w:rPr>
      <w:rFonts w:ascii="Tahoma" w:hAnsi="Tahoma" w:cs="Tahoma"/>
      <w:sz w:val="16"/>
      <w:szCs w:val="16"/>
    </w:rPr>
  </w:style>
  <w:style w:type="character" w:customStyle="1" w:styleId="DocumentMapChar">
    <w:name w:val="Document Map Char"/>
    <w:link w:val="DocumentMap"/>
    <w:rsid w:val="006258FF"/>
    <w:rPr>
      <w:rFonts w:ascii="Tahoma" w:hAnsi="Tahoma" w:cs="Tahoma"/>
      <w:sz w:val="16"/>
      <w:szCs w:val="16"/>
    </w:rPr>
  </w:style>
  <w:style w:type="character" w:customStyle="1" w:styleId="Heading1Char">
    <w:name w:val="Heading 1 Char"/>
    <w:link w:val="Heading1"/>
    <w:rsid w:val="00177728"/>
    <w:rPr>
      <w:b/>
      <w:noProof/>
      <w:sz w:val="24"/>
    </w:rPr>
  </w:style>
  <w:style w:type="paragraph" w:customStyle="1" w:styleId="APDHeading">
    <w:name w:val="APD Heading"/>
    <w:basedOn w:val="Heading1"/>
    <w:qFormat/>
    <w:rsid w:val="007333EC"/>
    <w:pPr>
      <w:spacing w:before="120"/>
    </w:pPr>
    <w:rPr>
      <w:sz w:val="36"/>
    </w:rPr>
  </w:style>
  <w:style w:type="character" w:customStyle="1" w:styleId="FooterChar">
    <w:name w:val="Footer Char"/>
    <w:link w:val="Footer"/>
    <w:rsid w:val="00464E7C"/>
    <w:rPr>
      <w:sz w:val="24"/>
    </w:rPr>
  </w:style>
  <w:style w:type="character" w:styleId="CommentReference">
    <w:name w:val="annotation reference"/>
    <w:rsid w:val="006B2D78"/>
    <w:rPr>
      <w:sz w:val="16"/>
      <w:szCs w:val="16"/>
    </w:rPr>
  </w:style>
  <w:style w:type="paragraph" w:styleId="CommentText">
    <w:name w:val="annotation text"/>
    <w:basedOn w:val="Normal"/>
    <w:link w:val="CommentTextChar"/>
    <w:rsid w:val="001A126E"/>
    <w:rPr>
      <w:rFonts w:ascii="Courier New" w:hAnsi="Courier New"/>
      <w:sz w:val="20"/>
    </w:rPr>
  </w:style>
  <w:style w:type="character" w:customStyle="1" w:styleId="CommentTextChar">
    <w:name w:val="Comment Text Char"/>
    <w:link w:val="CommentText"/>
    <w:rsid w:val="001A126E"/>
    <w:rPr>
      <w:rFonts w:ascii="Courier New" w:hAnsi="Courier New"/>
    </w:rPr>
  </w:style>
  <w:style w:type="paragraph" w:styleId="CommentSubject">
    <w:name w:val="annotation subject"/>
    <w:basedOn w:val="CommentText"/>
    <w:next w:val="CommentText"/>
    <w:link w:val="CommentSubjectChar"/>
    <w:rsid w:val="006B2D78"/>
    <w:rPr>
      <w:b/>
      <w:bCs/>
    </w:rPr>
  </w:style>
  <w:style w:type="character" w:customStyle="1" w:styleId="CommentSubjectChar">
    <w:name w:val="Comment Subject Char"/>
    <w:link w:val="CommentSubject"/>
    <w:rsid w:val="006B2D78"/>
    <w:rPr>
      <w:rFonts w:ascii="Courier New" w:hAnsi="Courier New"/>
      <w:b/>
      <w:bCs/>
    </w:rPr>
  </w:style>
  <w:style w:type="paragraph" w:styleId="HTMLPreformatted">
    <w:name w:val="HTML Preformatted"/>
    <w:basedOn w:val="Normal"/>
    <w:link w:val="HTMLPreformattedChar"/>
    <w:uiPriority w:val="99"/>
    <w:unhideWhenUsed/>
    <w:rsid w:val="006B2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6B2D78"/>
    <w:rPr>
      <w:rFonts w:ascii="Courier New" w:hAnsi="Courier New" w:cs="Courier New"/>
    </w:rPr>
  </w:style>
  <w:style w:type="character" w:styleId="Strong">
    <w:name w:val="Strong"/>
    <w:qFormat/>
    <w:rsid w:val="006B2D78"/>
    <w:rPr>
      <w:b/>
      <w:bCs/>
    </w:rPr>
  </w:style>
  <w:style w:type="character" w:customStyle="1" w:styleId="HeaderChar">
    <w:name w:val="Header Char"/>
    <w:link w:val="Header"/>
    <w:rsid w:val="000E33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37998">
      <w:bodyDiv w:val="1"/>
      <w:marLeft w:val="0"/>
      <w:marRight w:val="0"/>
      <w:marTop w:val="0"/>
      <w:marBottom w:val="0"/>
      <w:divBdr>
        <w:top w:val="none" w:sz="0" w:space="0" w:color="auto"/>
        <w:left w:val="none" w:sz="0" w:space="0" w:color="auto"/>
        <w:bottom w:val="none" w:sz="0" w:space="0" w:color="auto"/>
        <w:right w:val="none" w:sz="0" w:space="0" w:color="auto"/>
      </w:divBdr>
    </w:div>
    <w:div w:id="428283681">
      <w:bodyDiv w:val="1"/>
      <w:marLeft w:val="0"/>
      <w:marRight w:val="0"/>
      <w:marTop w:val="0"/>
      <w:marBottom w:val="0"/>
      <w:divBdr>
        <w:top w:val="none" w:sz="0" w:space="0" w:color="auto"/>
        <w:left w:val="none" w:sz="0" w:space="0" w:color="auto"/>
        <w:bottom w:val="none" w:sz="0" w:space="0" w:color="auto"/>
        <w:right w:val="none" w:sz="0" w:space="0" w:color="auto"/>
      </w:divBdr>
    </w:div>
    <w:div w:id="880092403">
      <w:bodyDiv w:val="1"/>
      <w:marLeft w:val="0"/>
      <w:marRight w:val="0"/>
      <w:marTop w:val="0"/>
      <w:marBottom w:val="0"/>
      <w:divBdr>
        <w:top w:val="none" w:sz="0" w:space="0" w:color="auto"/>
        <w:left w:val="none" w:sz="0" w:space="0" w:color="auto"/>
        <w:bottom w:val="none" w:sz="0" w:space="0" w:color="auto"/>
        <w:right w:val="none" w:sz="0" w:space="0" w:color="auto"/>
      </w:divBdr>
    </w:div>
    <w:div w:id="1094322487">
      <w:bodyDiv w:val="1"/>
      <w:marLeft w:val="0"/>
      <w:marRight w:val="0"/>
      <w:marTop w:val="0"/>
      <w:marBottom w:val="0"/>
      <w:divBdr>
        <w:top w:val="none" w:sz="0" w:space="0" w:color="auto"/>
        <w:left w:val="none" w:sz="0" w:space="0" w:color="auto"/>
        <w:bottom w:val="none" w:sz="0" w:space="0" w:color="auto"/>
        <w:right w:val="none" w:sz="0" w:space="0" w:color="auto"/>
      </w:divBdr>
    </w:div>
    <w:div w:id="1270118103">
      <w:bodyDiv w:val="1"/>
      <w:marLeft w:val="0"/>
      <w:marRight w:val="0"/>
      <w:marTop w:val="0"/>
      <w:marBottom w:val="0"/>
      <w:divBdr>
        <w:top w:val="none" w:sz="0" w:space="0" w:color="auto"/>
        <w:left w:val="none" w:sz="0" w:space="0" w:color="auto"/>
        <w:bottom w:val="none" w:sz="0" w:space="0" w:color="auto"/>
        <w:right w:val="none" w:sz="0" w:space="0" w:color="auto"/>
      </w:divBdr>
    </w:div>
    <w:div w:id="1531607427">
      <w:bodyDiv w:val="1"/>
      <w:marLeft w:val="0"/>
      <w:marRight w:val="0"/>
      <w:marTop w:val="0"/>
      <w:marBottom w:val="0"/>
      <w:divBdr>
        <w:top w:val="none" w:sz="0" w:space="0" w:color="auto"/>
        <w:left w:val="none" w:sz="0" w:space="0" w:color="auto"/>
        <w:bottom w:val="none" w:sz="0" w:space="0" w:color="auto"/>
        <w:right w:val="none" w:sz="0" w:space="0" w:color="auto"/>
      </w:divBdr>
    </w:div>
    <w:div w:id="1684939486">
      <w:bodyDiv w:val="1"/>
      <w:marLeft w:val="0"/>
      <w:marRight w:val="0"/>
      <w:marTop w:val="0"/>
      <w:marBottom w:val="0"/>
      <w:divBdr>
        <w:top w:val="none" w:sz="0" w:space="0" w:color="auto"/>
        <w:left w:val="none" w:sz="0" w:space="0" w:color="auto"/>
        <w:bottom w:val="none" w:sz="0" w:space="0" w:color="auto"/>
        <w:right w:val="none" w:sz="0" w:space="0" w:color="auto"/>
      </w:divBdr>
    </w:div>
    <w:div w:id="1693992418">
      <w:bodyDiv w:val="1"/>
      <w:marLeft w:val="0"/>
      <w:marRight w:val="0"/>
      <w:marTop w:val="0"/>
      <w:marBottom w:val="0"/>
      <w:divBdr>
        <w:top w:val="none" w:sz="0" w:space="0" w:color="auto"/>
        <w:left w:val="none" w:sz="0" w:space="0" w:color="auto"/>
        <w:bottom w:val="none" w:sz="0" w:space="0" w:color="auto"/>
        <w:right w:val="none" w:sz="0" w:space="0" w:color="auto"/>
      </w:divBdr>
    </w:div>
    <w:div w:id="1787697556">
      <w:bodyDiv w:val="1"/>
      <w:marLeft w:val="0"/>
      <w:marRight w:val="0"/>
      <w:marTop w:val="0"/>
      <w:marBottom w:val="0"/>
      <w:divBdr>
        <w:top w:val="none" w:sz="0" w:space="0" w:color="auto"/>
        <w:left w:val="none" w:sz="0" w:space="0" w:color="auto"/>
        <w:bottom w:val="none" w:sz="0" w:space="0" w:color="auto"/>
        <w:right w:val="none" w:sz="0" w:space="0" w:color="auto"/>
      </w:divBdr>
    </w:div>
    <w:div w:id="19940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electric.com/company/public-notices/newman-generating-station-proposed-air-quality-permit-amend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14.tceq.texas.gov/epic/eCom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ceq.texas.gov/assets/public/hb610/index.html?lat=31.982222&amp;lng=-106.430555&amp;zoom=13&amp;type=r" TargetMode="External"/><Relationship Id="rId4" Type="http://schemas.openxmlformats.org/officeDocument/2006/relationships/webSettings" Target="webSettings.xml"/><Relationship Id="rId9" Type="http://schemas.openxmlformats.org/officeDocument/2006/relationships/hyperlink" Target="https://www.tceq.texas.gov/goto/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8C0C-ED39-41B8-835E-39AA5A69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2092</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13972</CharactersWithSpaces>
  <SharedDoc>false</SharedDoc>
  <HLinks>
    <vt:vector size="12" baseType="variant">
      <vt:variant>
        <vt:i4>8257580</vt:i4>
      </vt:variant>
      <vt:variant>
        <vt:i4>5</vt:i4>
      </vt:variant>
      <vt:variant>
        <vt:i4>0</vt:i4>
      </vt:variant>
      <vt:variant>
        <vt:i4>5</vt:i4>
      </vt:variant>
      <vt:variant>
        <vt:lpwstr>http://www.tceq.texas.gov/</vt:lpwstr>
      </vt:variant>
      <vt:variant>
        <vt:lpwstr/>
      </vt:variant>
      <vt:variant>
        <vt:i4>6029331</vt:i4>
      </vt:variant>
      <vt:variant>
        <vt:i4>2</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2020-08-28T19:00:00Z</dcterms:created>
  <dcterms:modified xsi:type="dcterms:W3CDTF">2020-08-28T19:44:00Z</dcterms:modified>
</cp:coreProperties>
</file>