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3AC82" w14:textId="77777777" w:rsidR="00B47E25" w:rsidRPr="00BA4766" w:rsidRDefault="00495BBC" w:rsidP="00911709">
      <w:pPr>
        <w:pStyle w:val="Title"/>
        <w:jc w:val="left"/>
      </w:pPr>
      <w:r>
        <w:t xml:space="preserve">   </w:t>
      </w:r>
    </w:p>
    <w:p w14:paraId="030DF93B" w14:textId="77777777" w:rsidR="00B47E25" w:rsidRPr="001715EF" w:rsidRDefault="00D53580" w:rsidP="00911709">
      <w:pPr>
        <w:pStyle w:val="CoverTitle"/>
        <w:pBdr>
          <w:top w:val="single" w:sz="48" w:space="12" w:color="auto"/>
          <w:bottom w:val="single" w:sz="6" w:space="23" w:color="auto"/>
        </w:pBdr>
        <w:spacing w:before="100" w:beforeAutospacing="1" w:after="100" w:afterAutospacing="1"/>
        <w:jc w:val="center"/>
        <w:rPr>
          <w:spacing w:val="0"/>
        </w:rPr>
      </w:pPr>
      <w:r w:rsidRPr="001715EF">
        <w:rPr>
          <w:spacing w:val="0"/>
        </w:rPr>
        <w:t>El Paso Electric Company</w:t>
      </w:r>
    </w:p>
    <w:p w14:paraId="4A1F059B" w14:textId="25E4F75E" w:rsidR="00B47E25" w:rsidRPr="001715EF" w:rsidRDefault="00EE0A1A" w:rsidP="00911709">
      <w:pPr>
        <w:pStyle w:val="CoverTitle"/>
        <w:pBdr>
          <w:top w:val="single" w:sz="48" w:space="12" w:color="auto"/>
          <w:bottom w:val="single" w:sz="6" w:space="23" w:color="auto"/>
        </w:pBdr>
        <w:spacing w:before="100" w:beforeAutospacing="1" w:after="100" w:afterAutospacing="1"/>
        <w:jc w:val="center"/>
        <w:rPr>
          <w:spacing w:val="0"/>
          <w:sz w:val="44"/>
          <w:szCs w:val="44"/>
        </w:rPr>
      </w:pPr>
      <w:r>
        <w:rPr>
          <w:spacing w:val="0"/>
          <w:sz w:val="44"/>
          <w:szCs w:val="44"/>
        </w:rPr>
        <w:t>2018</w:t>
      </w:r>
      <w:r w:rsidR="00EE4744" w:rsidRPr="001715EF">
        <w:rPr>
          <w:spacing w:val="0"/>
          <w:sz w:val="44"/>
          <w:szCs w:val="44"/>
        </w:rPr>
        <w:t xml:space="preserve"> </w:t>
      </w:r>
      <w:r w:rsidR="00A154CB" w:rsidRPr="001715EF">
        <w:rPr>
          <w:spacing w:val="0"/>
          <w:sz w:val="44"/>
          <w:szCs w:val="44"/>
        </w:rPr>
        <w:t>Energy Efficiency Plan and Report</w:t>
      </w:r>
    </w:p>
    <w:p w14:paraId="2326D57E" w14:textId="77777777" w:rsidR="00B47E25" w:rsidRPr="001715EF" w:rsidRDefault="000961DB" w:rsidP="00911709">
      <w:pPr>
        <w:pStyle w:val="CoverTitle"/>
        <w:pBdr>
          <w:top w:val="single" w:sz="48" w:space="12" w:color="auto"/>
          <w:bottom w:val="single" w:sz="6" w:space="23" w:color="auto"/>
        </w:pBdr>
        <w:spacing w:before="100" w:beforeAutospacing="1" w:after="100" w:afterAutospacing="1"/>
        <w:jc w:val="center"/>
        <w:rPr>
          <w:spacing w:val="0"/>
          <w:sz w:val="40"/>
          <w:szCs w:val="40"/>
        </w:rPr>
      </w:pPr>
      <w:r>
        <w:rPr>
          <w:spacing w:val="0"/>
          <w:sz w:val="40"/>
          <w:szCs w:val="40"/>
        </w:rPr>
        <w:t>16 Texas Administrative Code</w:t>
      </w:r>
      <w:r w:rsidR="00A154CB" w:rsidRPr="001715EF">
        <w:rPr>
          <w:spacing w:val="0"/>
          <w:sz w:val="40"/>
          <w:szCs w:val="40"/>
        </w:rPr>
        <w:t xml:space="preserve"> §25.181 and §25.183</w:t>
      </w:r>
    </w:p>
    <w:p w14:paraId="23D90683" w14:textId="77777777" w:rsidR="00B47E25" w:rsidRDefault="00B47E25" w:rsidP="00911709">
      <w:pPr>
        <w:pStyle w:val="CoverTitle"/>
        <w:pBdr>
          <w:top w:val="single" w:sz="48" w:space="12" w:color="auto"/>
          <w:bottom w:val="single" w:sz="6" w:space="23" w:color="auto"/>
        </w:pBdr>
        <w:spacing w:before="100" w:beforeAutospacing="1" w:after="100" w:afterAutospacing="1"/>
        <w:jc w:val="center"/>
        <w:rPr>
          <w:spacing w:val="0"/>
        </w:rPr>
      </w:pPr>
    </w:p>
    <w:p w14:paraId="57DB8ADB" w14:textId="77777777" w:rsidR="00517F04" w:rsidRPr="001715EF" w:rsidRDefault="00517F04" w:rsidP="00911709">
      <w:pPr>
        <w:pStyle w:val="CoverTitle"/>
        <w:pBdr>
          <w:top w:val="single" w:sz="48" w:space="12" w:color="auto"/>
          <w:bottom w:val="single" w:sz="6" w:space="23" w:color="auto"/>
        </w:pBdr>
        <w:spacing w:before="100" w:beforeAutospacing="1" w:after="100" w:afterAutospacing="1"/>
        <w:jc w:val="center"/>
        <w:rPr>
          <w:spacing w:val="0"/>
        </w:rPr>
      </w:pPr>
    </w:p>
    <w:p w14:paraId="1C6AE766" w14:textId="755A1D87" w:rsidR="00B47E25" w:rsidRDefault="00130EF2" w:rsidP="00911709">
      <w:pPr>
        <w:pStyle w:val="CoverTitle"/>
        <w:pBdr>
          <w:top w:val="single" w:sz="48" w:space="12" w:color="auto"/>
          <w:bottom w:val="single" w:sz="6" w:space="23" w:color="auto"/>
        </w:pBdr>
        <w:spacing w:before="100" w:beforeAutospacing="1" w:after="100" w:afterAutospacing="1"/>
        <w:jc w:val="center"/>
        <w:rPr>
          <w:spacing w:val="0"/>
          <w:sz w:val="52"/>
          <w:szCs w:val="52"/>
        </w:rPr>
      </w:pPr>
      <w:r>
        <w:rPr>
          <w:spacing w:val="0"/>
          <w:sz w:val="52"/>
          <w:szCs w:val="52"/>
        </w:rPr>
        <w:t>April 2</w:t>
      </w:r>
      <w:r w:rsidR="00B47E25" w:rsidRPr="001715EF">
        <w:rPr>
          <w:spacing w:val="0"/>
          <w:sz w:val="52"/>
          <w:szCs w:val="52"/>
        </w:rPr>
        <w:t xml:space="preserve">, </w:t>
      </w:r>
      <w:r w:rsidR="00EE4744">
        <w:rPr>
          <w:spacing w:val="0"/>
          <w:sz w:val="52"/>
          <w:szCs w:val="52"/>
        </w:rPr>
        <w:t>20</w:t>
      </w:r>
      <w:r w:rsidR="00A77816">
        <w:rPr>
          <w:spacing w:val="0"/>
          <w:sz w:val="52"/>
          <w:szCs w:val="52"/>
        </w:rPr>
        <w:t>1</w:t>
      </w:r>
      <w:r w:rsidR="00EE0A1A">
        <w:rPr>
          <w:spacing w:val="0"/>
          <w:sz w:val="52"/>
          <w:szCs w:val="52"/>
        </w:rPr>
        <w:t>8</w:t>
      </w:r>
    </w:p>
    <w:p w14:paraId="4C3C06DA" w14:textId="77777777" w:rsidR="00D53580" w:rsidRPr="00380D16" w:rsidRDefault="00D53580" w:rsidP="00911709">
      <w:pPr>
        <w:pStyle w:val="Title"/>
        <w:rPr>
          <w:rFonts w:ascii="Arial" w:hAnsi="Arial" w:cs="Arial"/>
        </w:rPr>
      </w:pPr>
    </w:p>
    <w:p w14:paraId="35DFA805" w14:textId="77777777" w:rsidR="00B47E25" w:rsidRPr="00F566A1" w:rsidRDefault="00B47E25" w:rsidP="00911709">
      <w:pPr>
        <w:pStyle w:val="Title"/>
        <w:rPr>
          <w:rFonts w:ascii="Arial" w:hAnsi="Arial" w:cs="Arial"/>
          <w:spacing w:val="0"/>
        </w:rPr>
      </w:pPr>
    </w:p>
    <w:p w14:paraId="603DA4F3" w14:textId="75BF0968" w:rsidR="00B47E25" w:rsidRPr="00380D16" w:rsidRDefault="00597FB6" w:rsidP="00911709">
      <w:pPr>
        <w:jc w:val="center"/>
        <w:rPr>
          <w:rFonts w:ascii="Arial" w:hAnsi="Arial" w:cs="Arial"/>
        </w:rPr>
      </w:pPr>
      <w:r w:rsidRPr="00597FB6">
        <w:rPr>
          <w:rFonts w:ascii="Arial" w:hAnsi="Arial" w:cs="Arial"/>
          <w:sz w:val="40"/>
          <w:szCs w:val="40"/>
        </w:rPr>
        <w:t xml:space="preserve">Project No. </w:t>
      </w:r>
      <w:r w:rsidR="00011705">
        <w:rPr>
          <w:rFonts w:ascii="Arial" w:hAnsi="Arial" w:cs="Arial"/>
          <w:sz w:val="40"/>
          <w:szCs w:val="40"/>
        </w:rPr>
        <w:t>48146</w:t>
      </w:r>
    </w:p>
    <w:p w14:paraId="37EDF603" w14:textId="77777777" w:rsidR="00B47E25" w:rsidRPr="00380D16" w:rsidRDefault="00B47E25" w:rsidP="00911709">
      <w:pPr>
        <w:jc w:val="center"/>
        <w:rPr>
          <w:rFonts w:ascii="Arial" w:hAnsi="Arial" w:cs="Arial"/>
        </w:rPr>
      </w:pPr>
    </w:p>
    <w:p w14:paraId="3F03B4F8" w14:textId="77777777" w:rsidR="00B47E25" w:rsidRPr="00380D16" w:rsidRDefault="00B47E25" w:rsidP="00911709">
      <w:pPr>
        <w:jc w:val="center"/>
        <w:rPr>
          <w:rFonts w:ascii="Arial" w:hAnsi="Arial" w:cs="Arial"/>
        </w:rPr>
      </w:pPr>
    </w:p>
    <w:p w14:paraId="0C426CCE" w14:textId="77777777" w:rsidR="00B47E25" w:rsidRPr="00BA4766" w:rsidRDefault="00430359" w:rsidP="00911709">
      <w:pPr>
        <w:jc w:val="center"/>
      </w:pPr>
      <w:r>
        <w:rPr>
          <w:noProof/>
        </w:rPr>
        <w:drawing>
          <wp:inline distT="0" distB="0" distL="0" distR="0" wp14:anchorId="192C82FC" wp14:editId="5BA9AA81">
            <wp:extent cx="2292350" cy="1964267"/>
            <wp:effectExtent l="19050" t="0" r="0" b="0"/>
            <wp:docPr id="1" name="Picture 1" descr="epe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logoblue"/>
                    <pic:cNvPicPr>
                      <a:picLocks noChangeAspect="1" noChangeArrowheads="1"/>
                    </pic:cNvPicPr>
                  </pic:nvPicPr>
                  <pic:blipFill>
                    <a:blip r:embed="rId8" cstate="print"/>
                    <a:srcRect/>
                    <a:stretch>
                      <a:fillRect/>
                    </a:stretch>
                  </pic:blipFill>
                  <pic:spPr bwMode="auto">
                    <a:xfrm>
                      <a:off x="0" y="0"/>
                      <a:ext cx="2296160" cy="1967532"/>
                    </a:xfrm>
                    <a:prstGeom prst="rect">
                      <a:avLst/>
                    </a:prstGeom>
                    <a:noFill/>
                    <a:ln w="9525">
                      <a:noFill/>
                      <a:miter lim="800000"/>
                      <a:headEnd/>
                      <a:tailEnd/>
                    </a:ln>
                  </pic:spPr>
                </pic:pic>
              </a:graphicData>
            </a:graphic>
          </wp:inline>
        </w:drawing>
      </w:r>
    </w:p>
    <w:p w14:paraId="6B54E516" w14:textId="77777777" w:rsidR="00B47E25" w:rsidRPr="00BA4766" w:rsidRDefault="00B47E25" w:rsidP="00911709">
      <w:pPr>
        <w:jc w:val="center"/>
        <w:sectPr w:rsidR="00B47E25" w:rsidRPr="00BA4766" w:rsidSect="00173A9E">
          <w:footerReference w:type="default" r:id="rId9"/>
          <w:footerReference w:type="first" r:id="rId10"/>
          <w:pgSz w:w="12240" w:h="15840"/>
          <w:pgMar w:top="1296" w:right="1152" w:bottom="1152" w:left="1440" w:header="720" w:footer="720" w:gutter="0"/>
          <w:cols w:space="720"/>
          <w:titlePg/>
          <w:docGrid w:linePitch="328"/>
        </w:sectPr>
      </w:pPr>
    </w:p>
    <w:p w14:paraId="32E57D6C" w14:textId="77777777" w:rsidR="00B47E25" w:rsidRPr="00D715D7" w:rsidRDefault="001361FE" w:rsidP="00911709">
      <w:pPr>
        <w:pStyle w:val="BodyText"/>
        <w:spacing w:before="0" w:after="0" w:line="240" w:lineRule="auto"/>
        <w:jc w:val="center"/>
        <w:rPr>
          <w:rFonts w:cs="Arial"/>
          <w:sz w:val="24"/>
        </w:rPr>
      </w:pPr>
      <w:r w:rsidRPr="00D715D7">
        <w:rPr>
          <w:rFonts w:cs="Arial"/>
          <w:sz w:val="24"/>
        </w:rPr>
        <w:lastRenderedPageBreak/>
        <w:t>TABLE OF CONTENTS</w:t>
      </w:r>
    </w:p>
    <w:p w14:paraId="076E3EFB" w14:textId="77777777" w:rsidR="003D37A1" w:rsidRDefault="006309E0">
      <w:pPr>
        <w:pStyle w:val="TOC1"/>
        <w:rPr>
          <w:rFonts w:asciiTheme="minorHAnsi" w:eastAsiaTheme="minorEastAsia" w:hAnsiTheme="minorHAnsi" w:cstheme="minorBidi"/>
          <w:b w:val="0"/>
          <w:bCs w:val="0"/>
          <w:caps w:val="0"/>
          <w:sz w:val="22"/>
          <w:szCs w:val="22"/>
        </w:rPr>
      </w:pPr>
      <w:r w:rsidRPr="00D715D7">
        <w:rPr>
          <w:sz w:val="22"/>
          <w:szCs w:val="22"/>
        </w:rPr>
        <w:fldChar w:fldCharType="begin"/>
      </w:r>
      <w:r w:rsidR="00597FB6" w:rsidRPr="00D715D7">
        <w:rPr>
          <w:sz w:val="22"/>
          <w:szCs w:val="22"/>
        </w:rPr>
        <w:instrText xml:space="preserve"> TOC \o "1-2" \t "Heading 5,1,Title,1" </w:instrText>
      </w:r>
      <w:r w:rsidRPr="00D715D7">
        <w:rPr>
          <w:sz w:val="22"/>
          <w:szCs w:val="22"/>
        </w:rPr>
        <w:fldChar w:fldCharType="separate"/>
      </w:r>
      <w:r w:rsidR="003D37A1" w:rsidRPr="00F96473">
        <w:t>Introduction</w:t>
      </w:r>
      <w:r w:rsidR="003D37A1">
        <w:tab/>
      </w:r>
      <w:r w:rsidR="003D37A1">
        <w:fldChar w:fldCharType="begin"/>
      </w:r>
      <w:r w:rsidR="003D37A1">
        <w:instrText xml:space="preserve"> PAGEREF _Toc509500746 \h </w:instrText>
      </w:r>
      <w:r w:rsidR="003D37A1">
        <w:fldChar w:fldCharType="separate"/>
      </w:r>
      <w:r w:rsidR="004757EA">
        <w:t>1</w:t>
      </w:r>
      <w:r w:rsidR="003D37A1">
        <w:fldChar w:fldCharType="end"/>
      </w:r>
    </w:p>
    <w:p w14:paraId="2B72DD41" w14:textId="77777777" w:rsidR="003D37A1" w:rsidRDefault="003D37A1">
      <w:pPr>
        <w:pStyle w:val="TOC1"/>
        <w:rPr>
          <w:rFonts w:asciiTheme="minorHAnsi" w:eastAsiaTheme="minorEastAsia" w:hAnsiTheme="minorHAnsi" w:cstheme="minorBidi"/>
          <w:b w:val="0"/>
          <w:bCs w:val="0"/>
          <w:caps w:val="0"/>
          <w:sz w:val="22"/>
          <w:szCs w:val="22"/>
        </w:rPr>
      </w:pPr>
      <w:r w:rsidRPr="00F96473">
        <w:t>Energy Efficiency Plan and Report Organization</w:t>
      </w:r>
      <w:r>
        <w:tab/>
      </w:r>
      <w:r>
        <w:fldChar w:fldCharType="begin"/>
      </w:r>
      <w:r>
        <w:instrText xml:space="preserve"> PAGEREF _Toc509500747 \h </w:instrText>
      </w:r>
      <w:r>
        <w:fldChar w:fldCharType="separate"/>
      </w:r>
      <w:r w:rsidR="004757EA">
        <w:t>2</w:t>
      </w:r>
      <w:r>
        <w:fldChar w:fldCharType="end"/>
      </w:r>
    </w:p>
    <w:p w14:paraId="709ED7AF" w14:textId="77777777" w:rsidR="003D37A1" w:rsidRDefault="003D37A1">
      <w:pPr>
        <w:pStyle w:val="TOC1"/>
        <w:rPr>
          <w:rFonts w:asciiTheme="minorHAnsi" w:eastAsiaTheme="minorEastAsia" w:hAnsiTheme="minorHAnsi" w:cstheme="minorBidi"/>
          <w:b w:val="0"/>
          <w:bCs w:val="0"/>
          <w:caps w:val="0"/>
          <w:sz w:val="22"/>
          <w:szCs w:val="22"/>
        </w:rPr>
      </w:pPr>
      <w:r w:rsidRPr="00F96473">
        <w:t>Executive Summary</w:t>
      </w:r>
      <w:r>
        <w:tab/>
      </w:r>
      <w:r>
        <w:fldChar w:fldCharType="begin"/>
      </w:r>
      <w:r>
        <w:instrText xml:space="preserve"> PAGEREF _Toc509500748 \h </w:instrText>
      </w:r>
      <w:r>
        <w:fldChar w:fldCharType="separate"/>
      </w:r>
      <w:r w:rsidR="004757EA">
        <w:t>4</w:t>
      </w:r>
      <w:r>
        <w:fldChar w:fldCharType="end"/>
      </w:r>
    </w:p>
    <w:p w14:paraId="18C542F2" w14:textId="77777777" w:rsidR="003D37A1" w:rsidRDefault="003D37A1">
      <w:pPr>
        <w:pStyle w:val="TOC1"/>
        <w:rPr>
          <w:rFonts w:asciiTheme="minorHAnsi" w:eastAsiaTheme="minorEastAsia" w:hAnsiTheme="minorHAnsi" w:cstheme="minorBidi"/>
          <w:b w:val="0"/>
          <w:bCs w:val="0"/>
          <w:caps w:val="0"/>
          <w:sz w:val="22"/>
          <w:szCs w:val="22"/>
        </w:rPr>
      </w:pPr>
      <w:r w:rsidRPr="00F96473">
        <w:t>Energy Efficiency Plan</w:t>
      </w:r>
      <w:r>
        <w:tab/>
      </w:r>
      <w:r>
        <w:fldChar w:fldCharType="begin"/>
      </w:r>
      <w:r>
        <w:instrText xml:space="preserve"> PAGEREF _Toc509500749 \h </w:instrText>
      </w:r>
      <w:r>
        <w:fldChar w:fldCharType="separate"/>
      </w:r>
      <w:r w:rsidR="004757EA">
        <w:t>6</w:t>
      </w:r>
      <w:r>
        <w:fldChar w:fldCharType="end"/>
      </w:r>
    </w:p>
    <w:p w14:paraId="62A606D1" w14:textId="77777777" w:rsidR="003D37A1" w:rsidRDefault="003D37A1">
      <w:pPr>
        <w:pStyle w:val="TOC1"/>
        <w:rPr>
          <w:rFonts w:asciiTheme="minorHAnsi" w:eastAsiaTheme="minorEastAsia" w:hAnsiTheme="minorHAnsi" w:cstheme="minorBidi"/>
          <w:b w:val="0"/>
          <w:bCs w:val="0"/>
          <w:caps w:val="0"/>
          <w:sz w:val="22"/>
          <w:szCs w:val="22"/>
        </w:rPr>
      </w:pPr>
      <w:r w:rsidRPr="00F96473">
        <w:t>I.</w:t>
      </w:r>
      <w:r>
        <w:rPr>
          <w:rFonts w:asciiTheme="minorHAnsi" w:eastAsiaTheme="minorEastAsia" w:hAnsiTheme="minorHAnsi" w:cstheme="minorBidi"/>
          <w:b w:val="0"/>
          <w:bCs w:val="0"/>
          <w:caps w:val="0"/>
          <w:sz w:val="22"/>
          <w:szCs w:val="22"/>
        </w:rPr>
        <w:tab/>
      </w:r>
      <w:r w:rsidRPr="00F96473">
        <w:t>2018 Programs</w:t>
      </w:r>
      <w:r>
        <w:tab/>
      </w:r>
      <w:r>
        <w:fldChar w:fldCharType="begin"/>
      </w:r>
      <w:r>
        <w:instrText xml:space="preserve"> PAGEREF _Toc509500750 \h </w:instrText>
      </w:r>
      <w:r>
        <w:fldChar w:fldCharType="separate"/>
      </w:r>
      <w:r w:rsidR="004757EA">
        <w:t>6</w:t>
      </w:r>
      <w:r>
        <w:fldChar w:fldCharType="end"/>
      </w:r>
    </w:p>
    <w:p w14:paraId="16607604"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A.</w:t>
      </w:r>
      <w:r>
        <w:rPr>
          <w:rFonts w:asciiTheme="minorHAnsi" w:eastAsiaTheme="minorEastAsia" w:hAnsiTheme="minorHAnsi" w:cstheme="minorBidi"/>
          <w:b w:val="0"/>
          <w:smallCaps w:val="0"/>
          <w:noProof/>
          <w:sz w:val="22"/>
          <w:szCs w:val="22"/>
        </w:rPr>
        <w:tab/>
      </w:r>
      <w:r w:rsidRPr="00F96473">
        <w:rPr>
          <w:rFonts w:cs="Arial"/>
          <w:noProof/>
        </w:rPr>
        <w:t>2018 Program Portfolio</w:t>
      </w:r>
      <w:r>
        <w:rPr>
          <w:noProof/>
        </w:rPr>
        <w:tab/>
      </w:r>
      <w:r>
        <w:rPr>
          <w:noProof/>
        </w:rPr>
        <w:fldChar w:fldCharType="begin"/>
      </w:r>
      <w:r>
        <w:rPr>
          <w:noProof/>
        </w:rPr>
        <w:instrText xml:space="preserve"> PAGEREF _Toc509500751 \h </w:instrText>
      </w:r>
      <w:r>
        <w:rPr>
          <w:noProof/>
        </w:rPr>
      </w:r>
      <w:r>
        <w:rPr>
          <w:noProof/>
        </w:rPr>
        <w:fldChar w:fldCharType="separate"/>
      </w:r>
      <w:r w:rsidR="004757EA">
        <w:rPr>
          <w:noProof/>
        </w:rPr>
        <w:t>6</w:t>
      </w:r>
      <w:r>
        <w:rPr>
          <w:noProof/>
        </w:rPr>
        <w:fldChar w:fldCharType="end"/>
      </w:r>
    </w:p>
    <w:p w14:paraId="0D9C351F"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B.</w:t>
      </w:r>
      <w:r>
        <w:rPr>
          <w:rFonts w:asciiTheme="minorHAnsi" w:eastAsiaTheme="minorEastAsia" w:hAnsiTheme="minorHAnsi" w:cstheme="minorBidi"/>
          <w:b w:val="0"/>
          <w:smallCaps w:val="0"/>
          <w:noProof/>
          <w:sz w:val="22"/>
          <w:szCs w:val="22"/>
        </w:rPr>
        <w:tab/>
      </w:r>
      <w:r w:rsidRPr="00F96473">
        <w:rPr>
          <w:rFonts w:cs="Arial"/>
          <w:noProof/>
        </w:rPr>
        <w:t>Existing Programs</w:t>
      </w:r>
      <w:r>
        <w:rPr>
          <w:noProof/>
        </w:rPr>
        <w:tab/>
      </w:r>
      <w:r>
        <w:rPr>
          <w:noProof/>
        </w:rPr>
        <w:fldChar w:fldCharType="begin"/>
      </w:r>
      <w:r>
        <w:rPr>
          <w:noProof/>
        </w:rPr>
        <w:instrText xml:space="preserve"> PAGEREF _Toc509500752 \h </w:instrText>
      </w:r>
      <w:r>
        <w:rPr>
          <w:noProof/>
        </w:rPr>
      </w:r>
      <w:r>
        <w:rPr>
          <w:noProof/>
        </w:rPr>
        <w:fldChar w:fldCharType="separate"/>
      </w:r>
      <w:r w:rsidR="004757EA">
        <w:rPr>
          <w:noProof/>
        </w:rPr>
        <w:t>7</w:t>
      </w:r>
      <w:r>
        <w:rPr>
          <w:noProof/>
        </w:rPr>
        <w:fldChar w:fldCharType="end"/>
      </w:r>
    </w:p>
    <w:p w14:paraId="3CAEAC8C"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C.</w:t>
      </w:r>
      <w:r>
        <w:rPr>
          <w:rFonts w:asciiTheme="minorHAnsi" w:eastAsiaTheme="minorEastAsia" w:hAnsiTheme="minorHAnsi" w:cstheme="minorBidi"/>
          <w:b w:val="0"/>
          <w:smallCaps w:val="0"/>
          <w:noProof/>
          <w:sz w:val="22"/>
          <w:szCs w:val="22"/>
        </w:rPr>
        <w:tab/>
      </w:r>
      <w:r w:rsidRPr="00F96473">
        <w:rPr>
          <w:rFonts w:cs="Arial"/>
          <w:noProof/>
        </w:rPr>
        <w:t>New Programs for 2018 and 2019</w:t>
      </w:r>
      <w:r>
        <w:rPr>
          <w:noProof/>
        </w:rPr>
        <w:tab/>
      </w:r>
      <w:r>
        <w:rPr>
          <w:noProof/>
        </w:rPr>
        <w:fldChar w:fldCharType="begin"/>
      </w:r>
      <w:r>
        <w:rPr>
          <w:noProof/>
        </w:rPr>
        <w:instrText xml:space="preserve"> PAGEREF _Toc509500753 \h </w:instrText>
      </w:r>
      <w:r>
        <w:rPr>
          <w:noProof/>
        </w:rPr>
      </w:r>
      <w:r>
        <w:rPr>
          <w:noProof/>
        </w:rPr>
        <w:fldChar w:fldCharType="separate"/>
      </w:r>
      <w:r w:rsidR="004757EA">
        <w:rPr>
          <w:noProof/>
        </w:rPr>
        <w:t>9</w:t>
      </w:r>
      <w:r>
        <w:rPr>
          <w:noProof/>
        </w:rPr>
        <w:fldChar w:fldCharType="end"/>
      </w:r>
    </w:p>
    <w:p w14:paraId="141E38E0"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D.</w:t>
      </w:r>
      <w:r>
        <w:rPr>
          <w:rFonts w:asciiTheme="minorHAnsi" w:eastAsiaTheme="minorEastAsia" w:hAnsiTheme="minorHAnsi" w:cstheme="minorBidi"/>
          <w:b w:val="0"/>
          <w:smallCaps w:val="0"/>
          <w:noProof/>
          <w:sz w:val="22"/>
          <w:szCs w:val="22"/>
        </w:rPr>
        <w:tab/>
      </w:r>
      <w:r w:rsidRPr="00F96473">
        <w:rPr>
          <w:rFonts w:cs="Arial"/>
          <w:noProof/>
        </w:rPr>
        <w:t>Discontinued Program(s) for 2018 and 2019</w:t>
      </w:r>
      <w:r>
        <w:rPr>
          <w:noProof/>
        </w:rPr>
        <w:tab/>
      </w:r>
      <w:r>
        <w:rPr>
          <w:noProof/>
        </w:rPr>
        <w:fldChar w:fldCharType="begin"/>
      </w:r>
      <w:r>
        <w:rPr>
          <w:noProof/>
        </w:rPr>
        <w:instrText xml:space="preserve"> PAGEREF _Toc509500754 \h </w:instrText>
      </w:r>
      <w:r>
        <w:rPr>
          <w:noProof/>
        </w:rPr>
      </w:r>
      <w:r>
        <w:rPr>
          <w:noProof/>
        </w:rPr>
        <w:fldChar w:fldCharType="separate"/>
      </w:r>
      <w:r w:rsidR="004757EA">
        <w:rPr>
          <w:noProof/>
        </w:rPr>
        <w:t>9</w:t>
      </w:r>
      <w:r>
        <w:rPr>
          <w:noProof/>
        </w:rPr>
        <w:fldChar w:fldCharType="end"/>
      </w:r>
    </w:p>
    <w:p w14:paraId="66789DD3"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E.</w:t>
      </w:r>
      <w:r>
        <w:rPr>
          <w:rFonts w:asciiTheme="minorHAnsi" w:eastAsiaTheme="minorEastAsia" w:hAnsiTheme="minorHAnsi" w:cstheme="minorBidi"/>
          <w:b w:val="0"/>
          <w:smallCaps w:val="0"/>
          <w:noProof/>
          <w:sz w:val="22"/>
          <w:szCs w:val="22"/>
        </w:rPr>
        <w:tab/>
      </w:r>
      <w:r w:rsidRPr="00F96473">
        <w:rPr>
          <w:rFonts w:cs="Arial"/>
          <w:noProof/>
        </w:rPr>
        <w:t>General Implementation Process</w:t>
      </w:r>
      <w:r>
        <w:rPr>
          <w:noProof/>
        </w:rPr>
        <w:tab/>
      </w:r>
      <w:r>
        <w:rPr>
          <w:noProof/>
        </w:rPr>
        <w:fldChar w:fldCharType="begin"/>
      </w:r>
      <w:r>
        <w:rPr>
          <w:noProof/>
        </w:rPr>
        <w:instrText xml:space="preserve"> PAGEREF _Toc509500755 \h </w:instrText>
      </w:r>
      <w:r>
        <w:rPr>
          <w:noProof/>
        </w:rPr>
      </w:r>
      <w:r>
        <w:rPr>
          <w:noProof/>
        </w:rPr>
        <w:fldChar w:fldCharType="separate"/>
      </w:r>
      <w:r w:rsidR="004757EA">
        <w:rPr>
          <w:noProof/>
        </w:rPr>
        <w:t>9</w:t>
      </w:r>
      <w:r>
        <w:rPr>
          <w:noProof/>
        </w:rPr>
        <w:fldChar w:fldCharType="end"/>
      </w:r>
    </w:p>
    <w:p w14:paraId="3C4B8730"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F.</w:t>
      </w:r>
      <w:r>
        <w:rPr>
          <w:rFonts w:asciiTheme="minorHAnsi" w:eastAsiaTheme="minorEastAsia" w:hAnsiTheme="minorHAnsi" w:cstheme="minorBidi"/>
          <w:b w:val="0"/>
          <w:smallCaps w:val="0"/>
          <w:noProof/>
          <w:sz w:val="22"/>
          <w:szCs w:val="22"/>
        </w:rPr>
        <w:tab/>
      </w:r>
      <w:r w:rsidRPr="00F96473">
        <w:rPr>
          <w:rFonts w:cs="Arial"/>
          <w:noProof/>
        </w:rPr>
        <w:t>Outreach Activities</w:t>
      </w:r>
      <w:r>
        <w:rPr>
          <w:noProof/>
        </w:rPr>
        <w:tab/>
      </w:r>
      <w:r>
        <w:rPr>
          <w:noProof/>
        </w:rPr>
        <w:fldChar w:fldCharType="begin"/>
      </w:r>
      <w:r>
        <w:rPr>
          <w:noProof/>
        </w:rPr>
        <w:instrText xml:space="preserve"> PAGEREF _Toc509500756 \h </w:instrText>
      </w:r>
      <w:r>
        <w:rPr>
          <w:noProof/>
        </w:rPr>
      </w:r>
      <w:r>
        <w:rPr>
          <w:noProof/>
        </w:rPr>
        <w:fldChar w:fldCharType="separate"/>
      </w:r>
      <w:r w:rsidR="004757EA">
        <w:rPr>
          <w:noProof/>
        </w:rPr>
        <w:t>10</w:t>
      </w:r>
      <w:r>
        <w:rPr>
          <w:noProof/>
        </w:rPr>
        <w:fldChar w:fldCharType="end"/>
      </w:r>
    </w:p>
    <w:p w14:paraId="388E069E"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G.</w:t>
      </w:r>
      <w:r>
        <w:rPr>
          <w:rFonts w:asciiTheme="minorHAnsi" w:eastAsiaTheme="minorEastAsia" w:hAnsiTheme="minorHAnsi" w:cstheme="minorBidi"/>
          <w:b w:val="0"/>
          <w:smallCaps w:val="0"/>
          <w:noProof/>
          <w:sz w:val="22"/>
          <w:szCs w:val="22"/>
        </w:rPr>
        <w:tab/>
      </w:r>
      <w:r w:rsidRPr="00F96473">
        <w:rPr>
          <w:rFonts w:cs="Arial"/>
          <w:noProof/>
        </w:rPr>
        <w:t>Existing Demand Side Management (DSM) Contracts or Obligations</w:t>
      </w:r>
      <w:r>
        <w:rPr>
          <w:noProof/>
        </w:rPr>
        <w:tab/>
      </w:r>
      <w:r>
        <w:rPr>
          <w:noProof/>
        </w:rPr>
        <w:fldChar w:fldCharType="begin"/>
      </w:r>
      <w:r>
        <w:rPr>
          <w:noProof/>
        </w:rPr>
        <w:instrText xml:space="preserve"> PAGEREF _Toc509500757 \h </w:instrText>
      </w:r>
      <w:r>
        <w:rPr>
          <w:noProof/>
        </w:rPr>
      </w:r>
      <w:r>
        <w:rPr>
          <w:noProof/>
        </w:rPr>
        <w:fldChar w:fldCharType="separate"/>
      </w:r>
      <w:r w:rsidR="004757EA">
        <w:rPr>
          <w:noProof/>
        </w:rPr>
        <w:t>11</w:t>
      </w:r>
      <w:r>
        <w:rPr>
          <w:noProof/>
        </w:rPr>
        <w:fldChar w:fldCharType="end"/>
      </w:r>
    </w:p>
    <w:p w14:paraId="3BA0AE7F" w14:textId="77777777" w:rsidR="003D37A1" w:rsidRDefault="003D37A1">
      <w:pPr>
        <w:pStyle w:val="TOC1"/>
        <w:rPr>
          <w:rFonts w:asciiTheme="minorHAnsi" w:eastAsiaTheme="minorEastAsia" w:hAnsiTheme="minorHAnsi" w:cstheme="minorBidi"/>
          <w:b w:val="0"/>
          <w:bCs w:val="0"/>
          <w:caps w:val="0"/>
          <w:sz w:val="22"/>
          <w:szCs w:val="22"/>
        </w:rPr>
      </w:pPr>
      <w:r w:rsidRPr="00F96473">
        <w:t>II.</w:t>
      </w:r>
      <w:r>
        <w:rPr>
          <w:rFonts w:asciiTheme="minorHAnsi" w:eastAsiaTheme="minorEastAsia" w:hAnsiTheme="minorHAnsi" w:cstheme="minorBidi"/>
          <w:b w:val="0"/>
          <w:bCs w:val="0"/>
          <w:caps w:val="0"/>
          <w:sz w:val="22"/>
          <w:szCs w:val="22"/>
        </w:rPr>
        <w:tab/>
      </w:r>
      <w:r w:rsidRPr="00F96473">
        <w:t>Customer Classes</w:t>
      </w:r>
      <w:r>
        <w:tab/>
      </w:r>
      <w:r>
        <w:fldChar w:fldCharType="begin"/>
      </w:r>
      <w:r>
        <w:instrText xml:space="preserve"> PAGEREF _Toc509500758 \h </w:instrText>
      </w:r>
      <w:r>
        <w:fldChar w:fldCharType="separate"/>
      </w:r>
      <w:r w:rsidR="004757EA">
        <w:t>11</w:t>
      </w:r>
      <w:r>
        <w:fldChar w:fldCharType="end"/>
      </w:r>
    </w:p>
    <w:p w14:paraId="1E530279" w14:textId="77777777" w:rsidR="003D37A1" w:rsidRDefault="003D37A1">
      <w:pPr>
        <w:pStyle w:val="TOC1"/>
        <w:rPr>
          <w:rFonts w:asciiTheme="minorHAnsi" w:eastAsiaTheme="minorEastAsia" w:hAnsiTheme="minorHAnsi" w:cstheme="minorBidi"/>
          <w:b w:val="0"/>
          <w:bCs w:val="0"/>
          <w:caps w:val="0"/>
          <w:sz w:val="22"/>
          <w:szCs w:val="22"/>
        </w:rPr>
      </w:pPr>
      <w:r w:rsidRPr="00F96473">
        <w:t>III.</w:t>
      </w:r>
      <w:r>
        <w:rPr>
          <w:rFonts w:asciiTheme="minorHAnsi" w:eastAsiaTheme="minorEastAsia" w:hAnsiTheme="minorHAnsi" w:cstheme="minorBidi"/>
          <w:b w:val="0"/>
          <w:bCs w:val="0"/>
          <w:caps w:val="0"/>
          <w:sz w:val="22"/>
          <w:szCs w:val="22"/>
        </w:rPr>
        <w:tab/>
      </w:r>
      <w:r w:rsidRPr="00F96473">
        <w:t>Projected Energy Efficiency Savings and Goals</w:t>
      </w:r>
      <w:r>
        <w:tab/>
      </w:r>
      <w:r>
        <w:fldChar w:fldCharType="begin"/>
      </w:r>
      <w:r>
        <w:instrText xml:space="preserve"> PAGEREF _Toc509500759 \h </w:instrText>
      </w:r>
      <w:r>
        <w:fldChar w:fldCharType="separate"/>
      </w:r>
      <w:r w:rsidR="004757EA">
        <w:t>12</w:t>
      </w:r>
      <w:r>
        <w:fldChar w:fldCharType="end"/>
      </w:r>
    </w:p>
    <w:p w14:paraId="7192A89B" w14:textId="77777777" w:rsidR="003D37A1" w:rsidRDefault="003D37A1">
      <w:pPr>
        <w:pStyle w:val="TOC1"/>
        <w:rPr>
          <w:rFonts w:asciiTheme="minorHAnsi" w:eastAsiaTheme="minorEastAsia" w:hAnsiTheme="minorHAnsi" w:cstheme="minorBidi"/>
          <w:b w:val="0"/>
          <w:bCs w:val="0"/>
          <w:caps w:val="0"/>
          <w:sz w:val="22"/>
          <w:szCs w:val="22"/>
        </w:rPr>
      </w:pPr>
      <w:r w:rsidRPr="00F96473">
        <w:t>IV.</w:t>
      </w:r>
      <w:r>
        <w:rPr>
          <w:rFonts w:asciiTheme="minorHAnsi" w:eastAsiaTheme="minorEastAsia" w:hAnsiTheme="minorHAnsi" w:cstheme="minorBidi"/>
          <w:b w:val="0"/>
          <w:bCs w:val="0"/>
          <w:caps w:val="0"/>
          <w:sz w:val="22"/>
          <w:szCs w:val="22"/>
        </w:rPr>
        <w:tab/>
      </w:r>
      <w:r w:rsidRPr="00F96473">
        <w:t>Program Budgets</w:t>
      </w:r>
      <w:r>
        <w:tab/>
      </w:r>
      <w:r>
        <w:fldChar w:fldCharType="begin"/>
      </w:r>
      <w:r>
        <w:instrText xml:space="preserve"> PAGEREF _Toc509500760 \h </w:instrText>
      </w:r>
      <w:r>
        <w:fldChar w:fldCharType="separate"/>
      </w:r>
      <w:r w:rsidR="004757EA">
        <w:t>16</w:t>
      </w:r>
      <w:r>
        <w:fldChar w:fldCharType="end"/>
      </w:r>
    </w:p>
    <w:p w14:paraId="225B3B8B" w14:textId="77777777" w:rsidR="003D37A1" w:rsidRDefault="003D37A1">
      <w:pPr>
        <w:pStyle w:val="TOC1"/>
        <w:rPr>
          <w:rFonts w:asciiTheme="minorHAnsi" w:eastAsiaTheme="minorEastAsia" w:hAnsiTheme="minorHAnsi" w:cstheme="minorBidi"/>
          <w:b w:val="0"/>
          <w:bCs w:val="0"/>
          <w:caps w:val="0"/>
          <w:sz w:val="22"/>
          <w:szCs w:val="22"/>
        </w:rPr>
      </w:pPr>
      <w:r w:rsidRPr="00F96473">
        <w:t>Energy Efficiency Report</w:t>
      </w:r>
      <w:r>
        <w:tab/>
      </w:r>
      <w:r>
        <w:fldChar w:fldCharType="begin"/>
      </w:r>
      <w:r>
        <w:instrText xml:space="preserve"> PAGEREF _Toc509500761 \h </w:instrText>
      </w:r>
      <w:r>
        <w:fldChar w:fldCharType="separate"/>
      </w:r>
      <w:r w:rsidR="004757EA">
        <w:t>18</w:t>
      </w:r>
      <w:r>
        <w:fldChar w:fldCharType="end"/>
      </w:r>
    </w:p>
    <w:p w14:paraId="21081971" w14:textId="77777777" w:rsidR="003D37A1" w:rsidRDefault="003D37A1">
      <w:pPr>
        <w:pStyle w:val="TOC1"/>
        <w:rPr>
          <w:rFonts w:asciiTheme="minorHAnsi" w:eastAsiaTheme="minorEastAsia" w:hAnsiTheme="minorHAnsi" w:cstheme="minorBidi"/>
          <w:b w:val="0"/>
          <w:bCs w:val="0"/>
          <w:caps w:val="0"/>
          <w:sz w:val="22"/>
          <w:szCs w:val="22"/>
        </w:rPr>
      </w:pPr>
      <w:r w:rsidRPr="00F96473">
        <w:rPr>
          <w:spacing w:val="-2"/>
        </w:rPr>
        <w:t>V.</w:t>
      </w:r>
      <w:r>
        <w:rPr>
          <w:rFonts w:asciiTheme="minorHAnsi" w:eastAsiaTheme="minorEastAsia" w:hAnsiTheme="minorHAnsi" w:cstheme="minorBidi"/>
          <w:b w:val="0"/>
          <w:bCs w:val="0"/>
          <w:caps w:val="0"/>
          <w:sz w:val="22"/>
          <w:szCs w:val="22"/>
        </w:rPr>
        <w:tab/>
      </w:r>
      <w:r w:rsidRPr="00F96473">
        <w:rPr>
          <w:spacing w:val="-2"/>
        </w:rPr>
        <w:t>Historical Demand Goals and Energy Targets for Previous Five Years</w:t>
      </w:r>
      <w:r>
        <w:tab/>
      </w:r>
      <w:r>
        <w:fldChar w:fldCharType="begin"/>
      </w:r>
      <w:r>
        <w:instrText xml:space="preserve"> PAGEREF _Toc509500762 \h </w:instrText>
      </w:r>
      <w:r>
        <w:fldChar w:fldCharType="separate"/>
      </w:r>
      <w:r w:rsidR="004757EA">
        <w:t>18</w:t>
      </w:r>
      <w:r>
        <w:fldChar w:fldCharType="end"/>
      </w:r>
    </w:p>
    <w:p w14:paraId="4EC4C4A3" w14:textId="77777777" w:rsidR="003D37A1" w:rsidRDefault="003D37A1">
      <w:pPr>
        <w:pStyle w:val="TOC1"/>
        <w:rPr>
          <w:rFonts w:asciiTheme="minorHAnsi" w:eastAsiaTheme="minorEastAsia" w:hAnsiTheme="minorHAnsi" w:cstheme="minorBidi"/>
          <w:b w:val="0"/>
          <w:bCs w:val="0"/>
          <w:caps w:val="0"/>
          <w:sz w:val="22"/>
          <w:szCs w:val="22"/>
        </w:rPr>
      </w:pPr>
      <w:r>
        <w:t>VI.</w:t>
      </w:r>
      <w:r>
        <w:rPr>
          <w:rFonts w:asciiTheme="minorHAnsi" w:eastAsiaTheme="minorEastAsia" w:hAnsiTheme="minorHAnsi" w:cstheme="minorBidi"/>
          <w:b w:val="0"/>
          <w:bCs w:val="0"/>
          <w:caps w:val="0"/>
          <w:sz w:val="22"/>
          <w:szCs w:val="22"/>
        </w:rPr>
        <w:tab/>
      </w:r>
      <w:r>
        <w:t>Projected, Reported and Verified Demand and Energy Savings</w:t>
      </w:r>
      <w:r>
        <w:tab/>
      </w:r>
      <w:r>
        <w:fldChar w:fldCharType="begin"/>
      </w:r>
      <w:r>
        <w:instrText xml:space="preserve"> PAGEREF _Toc509500763 \h </w:instrText>
      </w:r>
      <w:r>
        <w:fldChar w:fldCharType="separate"/>
      </w:r>
      <w:r w:rsidR="004757EA">
        <w:t>19</w:t>
      </w:r>
      <w:r>
        <w:fldChar w:fldCharType="end"/>
      </w:r>
    </w:p>
    <w:p w14:paraId="6DB89115" w14:textId="77777777" w:rsidR="003D37A1" w:rsidRDefault="003D37A1">
      <w:pPr>
        <w:pStyle w:val="TOC1"/>
        <w:rPr>
          <w:rFonts w:asciiTheme="minorHAnsi" w:eastAsiaTheme="minorEastAsia" w:hAnsiTheme="minorHAnsi" w:cstheme="minorBidi"/>
          <w:b w:val="0"/>
          <w:bCs w:val="0"/>
          <w:caps w:val="0"/>
          <w:sz w:val="22"/>
          <w:szCs w:val="22"/>
        </w:rPr>
      </w:pPr>
      <w:r>
        <w:t>VII.</w:t>
      </w:r>
      <w:r>
        <w:rPr>
          <w:rFonts w:asciiTheme="minorHAnsi" w:eastAsiaTheme="minorEastAsia" w:hAnsiTheme="minorHAnsi" w:cstheme="minorBidi"/>
          <w:b w:val="0"/>
          <w:bCs w:val="0"/>
          <w:caps w:val="0"/>
          <w:sz w:val="22"/>
          <w:szCs w:val="22"/>
        </w:rPr>
        <w:tab/>
      </w:r>
      <w:r>
        <w:t>Historical Program Expenditures</w:t>
      </w:r>
      <w:r>
        <w:tab/>
      </w:r>
      <w:r>
        <w:fldChar w:fldCharType="begin"/>
      </w:r>
      <w:r>
        <w:instrText xml:space="preserve"> PAGEREF _Toc509500764 \h </w:instrText>
      </w:r>
      <w:r>
        <w:fldChar w:fldCharType="separate"/>
      </w:r>
      <w:r w:rsidR="004757EA">
        <w:t>20</w:t>
      </w:r>
      <w:r>
        <w:fldChar w:fldCharType="end"/>
      </w:r>
    </w:p>
    <w:p w14:paraId="5CA2B3BC" w14:textId="77777777" w:rsidR="003D37A1" w:rsidRDefault="003D37A1">
      <w:pPr>
        <w:pStyle w:val="TOC1"/>
        <w:rPr>
          <w:rFonts w:asciiTheme="minorHAnsi" w:eastAsiaTheme="minorEastAsia" w:hAnsiTheme="minorHAnsi" w:cstheme="minorBidi"/>
          <w:b w:val="0"/>
          <w:bCs w:val="0"/>
          <w:caps w:val="0"/>
          <w:sz w:val="22"/>
          <w:szCs w:val="22"/>
        </w:rPr>
      </w:pPr>
      <w:r w:rsidRPr="00F96473">
        <w:t>VIII.</w:t>
      </w:r>
      <w:r>
        <w:rPr>
          <w:rFonts w:asciiTheme="minorHAnsi" w:eastAsiaTheme="minorEastAsia" w:hAnsiTheme="minorHAnsi" w:cstheme="minorBidi"/>
          <w:b w:val="0"/>
          <w:bCs w:val="0"/>
          <w:caps w:val="0"/>
          <w:sz w:val="22"/>
          <w:szCs w:val="22"/>
        </w:rPr>
        <w:tab/>
      </w:r>
      <w:r w:rsidRPr="00F96473">
        <w:t>Program Funding and Explanation of Administration Costs for Calendar Year 2017</w:t>
      </w:r>
      <w:r>
        <w:tab/>
      </w:r>
      <w:r>
        <w:fldChar w:fldCharType="begin"/>
      </w:r>
      <w:r>
        <w:instrText xml:space="preserve"> PAGEREF _Toc509500765 \h </w:instrText>
      </w:r>
      <w:r>
        <w:fldChar w:fldCharType="separate"/>
      </w:r>
      <w:r w:rsidR="004757EA">
        <w:t>21</w:t>
      </w:r>
      <w:r>
        <w:fldChar w:fldCharType="end"/>
      </w:r>
    </w:p>
    <w:p w14:paraId="68D61CB8" w14:textId="77777777" w:rsidR="003D37A1" w:rsidRDefault="003D37A1">
      <w:pPr>
        <w:pStyle w:val="TOC1"/>
        <w:rPr>
          <w:rFonts w:asciiTheme="minorHAnsi" w:eastAsiaTheme="minorEastAsia" w:hAnsiTheme="minorHAnsi" w:cstheme="minorBidi"/>
          <w:b w:val="0"/>
          <w:bCs w:val="0"/>
          <w:caps w:val="0"/>
          <w:sz w:val="22"/>
          <w:szCs w:val="22"/>
        </w:rPr>
      </w:pPr>
      <w:r w:rsidRPr="00F96473">
        <w:t>IX.</w:t>
      </w:r>
      <w:r>
        <w:rPr>
          <w:rFonts w:asciiTheme="minorHAnsi" w:eastAsiaTheme="minorEastAsia" w:hAnsiTheme="minorHAnsi" w:cstheme="minorBidi"/>
          <w:b w:val="0"/>
          <w:bCs w:val="0"/>
          <w:caps w:val="0"/>
          <w:sz w:val="22"/>
          <w:szCs w:val="22"/>
        </w:rPr>
        <w:tab/>
      </w:r>
      <w:r w:rsidRPr="00F96473">
        <w:t>Program Results for MTPs</w:t>
      </w:r>
      <w:r>
        <w:tab/>
      </w:r>
      <w:r>
        <w:fldChar w:fldCharType="begin"/>
      </w:r>
      <w:r>
        <w:instrText xml:space="preserve"> PAGEREF _Toc509500766 \h </w:instrText>
      </w:r>
      <w:r>
        <w:fldChar w:fldCharType="separate"/>
      </w:r>
      <w:r w:rsidR="004757EA">
        <w:t>24</w:t>
      </w:r>
      <w:r>
        <w:fldChar w:fldCharType="end"/>
      </w:r>
    </w:p>
    <w:p w14:paraId="7918AE7C" w14:textId="77777777" w:rsidR="003D37A1" w:rsidRDefault="003D37A1">
      <w:pPr>
        <w:pStyle w:val="TOC2"/>
        <w:rPr>
          <w:rFonts w:asciiTheme="minorHAnsi" w:eastAsiaTheme="minorEastAsia" w:hAnsiTheme="minorHAnsi" w:cstheme="minorBidi"/>
          <w:b w:val="0"/>
          <w:smallCaps w:val="0"/>
          <w:noProof/>
          <w:sz w:val="22"/>
          <w:szCs w:val="22"/>
        </w:rPr>
      </w:pPr>
      <w:r w:rsidRPr="00F96473">
        <w:rPr>
          <w:rFonts w:cs="Arial"/>
          <w:noProof/>
        </w:rPr>
        <w:t>A.</w:t>
      </w:r>
      <w:r>
        <w:rPr>
          <w:rFonts w:asciiTheme="minorHAnsi" w:eastAsiaTheme="minorEastAsia" w:hAnsiTheme="minorHAnsi" w:cstheme="minorBidi"/>
          <w:b w:val="0"/>
          <w:smallCaps w:val="0"/>
          <w:noProof/>
          <w:sz w:val="22"/>
          <w:szCs w:val="22"/>
        </w:rPr>
        <w:tab/>
      </w:r>
      <w:r w:rsidRPr="00F96473">
        <w:rPr>
          <w:rFonts w:cs="Arial"/>
          <w:noProof/>
        </w:rPr>
        <w:t>Market Transformation Programs</w:t>
      </w:r>
      <w:r>
        <w:rPr>
          <w:noProof/>
        </w:rPr>
        <w:tab/>
      </w:r>
      <w:r>
        <w:rPr>
          <w:noProof/>
        </w:rPr>
        <w:fldChar w:fldCharType="begin"/>
      </w:r>
      <w:r>
        <w:rPr>
          <w:noProof/>
        </w:rPr>
        <w:instrText xml:space="preserve"> PAGEREF _Toc509500767 \h </w:instrText>
      </w:r>
      <w:r>
        <w:rPr>
          <w:noProof/>
        </w:rPr>
      </w:r>
      <w:r>
        <w:rPr>
          <w:noProof/>
        </w:rPr>
        <w:fldChar w:fldCharType="separate"/>
      </w:r>
      <w:r w:rsidR="004757EA">
        <w:rPr>
          <w:noProof/>
        </w:rPr>
        <w:t>24</w:t>
      </w:r>
      <w:r>
        <w:rPr>
          <w:noProof/>
        </w:rPr>
        <w:fldChar w:fldCharType="end"/>
      </w:r>
    </w:p>
    <w:p w14:paraId="42EABD9D" w14:textId="77777777" w:rsidR="003D37A1" w:rsidRDefault="003D37A1">
      <w:pPr>
        <w:pStyle w:val="TOC1"/>
        <w:rPr>
          <w:rFonts w:asciiTheme="minorHAnsi" w:eastAsiaTheme="minorEastAsia" w:hAnsiTheme="minorHAnsi" w:cstheme="minorBidi"/>
          <w:b w:val="0"/>
          <w:bCs w:val="0"/>
          <w:caps w:val="0"/>
          <w:sz w:val="22"/>
          <w:szCs w:val="22"/>
        </w:rPr>
      </w:pPr>
      <w:r w:rsidRPr="00F96473">
        <w:t>X.</w:t>
      </w:r>
      <w:r>
        <w:rPr>
          <w:rFonts w:asciiTheme="minorHAnsi" w:eastAsiaTheme="minorEastAsia" w:hAnsiTheme="minorHAnsi" w:cstheme="minorBidi"/>
          <w:b w:val="0"/>
          <w:bCs w:val="0"/>
          <w:caps w:val="0"/>
          <w:sz w:val="22"/>
          <w:szCs w:val="22"/>
        </w:rPr>
        <w:tab/>
      </w:r>
      <w:r w:rsidRPr="00F96473">
        <w:t>Current Energy Efficiency Cost Recovery Factor (EECRF)</w:t>
      </w:r>
      <w:r>
        <w:tab/>
      </w:r>
      <w:r>
        <w:fldChar w:fldCharType="begin"/>
      </w:r>
      <w:r>
        <w:instrText xml:space="preserve"> PAGEREF _Toc509500768 \h </w:instrText>
      </w:r>
      <w:r>
        <w:fldChar w:fldCharType="separate"/>
      </w:r>
      <w:r w:rsidR="004757EA">
        <w:t>26</w:t>
      </w:r>
      <w:r>
        <w:fldChar w:fldCharType="end"/>
      </w:r>
    </w:p>
    <w:p w14:paraId="4278FF89" w14:textId="77777777" w:rsidR="003D37A1" w:rsidRDefault="003D37A1">
      <w:pPr>
        <w:pStyle w:val="TOC1"/>
        <w:rPr>
          <w:rFonts w:asciiTheme="minorHAnsi" w:eastAsiaTheme="minorEastAsia" w:hAnsiTheme="minorHAnsi" w:cstheme="minorBidi"/>
          <w:b w:val="0"/>
          <w:bCs w:val="0"/>
          <w:caps w:val="0"/>
          <w:sz w:val="22"/>
          <w:szCs w:val="22"/>
        </w:rPr>
      </w:pPr>
      <w:r w:rsidRPr="00F96473">
        <w:t>XI.</w:t>
      </w:r>
      <w:r>
        <w:rPr>
          <w:rFonts w:asciiTheme="minorHAnsi" w:eastAsiaTheme="minorEastAsia" w:hAnsiTheme="minorHAnsi" w:cstheme="minorBidi"/>
          <w:b w:val="0"/>
          <w:bCs w:val="0"/>
          <w:caps w:val="0"/>
          <w:sz w:val="22"/>
          <w:szCs w:val="22"/>
        </w:rPr>
        <w:tab/>
      </w:r>
      <w:r w:rsidRPr="00F96473">
        <w:t>Revenue Collected through EECRF</w:t>
      </w:r>
      <w:r>
        <w:tab/>
      </w:r>
      <w:r>
        <w:fldChar w:fldCharType="begin"/>
      </w:r>
      <w:r>
        <w:instrText xml:space="preserve"> PAGEREF _Toc509500769 \h </w:instrText>
      </w:r>
      <w:r>
        <w:fldChar w:fldCharType="separate"/>
      </w:r>
      <w:r w:rsidR="004757EA">
        <w:t>27</w:t>
      </w:r>
      <w:r>
        <w:fldChar w:fldCharType="end"/>
      </w:r>
    </w:p>
    <w:p w14:paraId="36EFF9E5" w14:textId="77777777" w:rsidR="003D37A1" w:rsidRDefault="003D37A1">
      <w:pPr>
        <w:pStyle w:val="TOC1"/>
        <w:rPr>
          <w:rFonts w:asciiTheme="minorHAnsi" w:eastAsiaTheme="minorEastAsia" w:hAnsiTheme="minorHAnsi" w:cstheme="minorBidi"/>
          <w:b w:val="0"/>
          <w:bCs w:val="0"/>
          <w:caps w:val="0"/>
          <w:sz w:val="22"/>
          <w:szCs w:val="22"/>
        </w:rPr>
      </w:pPr>
      <w:r w:rsidRPr="00F96473">
        <w:t>XII.</w:t>
      </w:r>
      <w:r>
        <w:rPr>
          <w:rFonts w:asciiTheme="minorHAnsi" w:eastAsiaTheme="minorEastAsia" w:hAnsiTheme="minorHAnsi" w:cstheme="minorBidi"/>
          <w:b w:val="0"/>
          <w:bCs w:val="0"/>
          <w:caps w:val="0"/>
          <w:sz w:val="22"/>
          <w:szCs w:val="22"/>
        </w:rPr>
        <w:tab/>
      </w:r>
      <w:r w:rsidRPr="00F96473">
        <w:t>Over/Under Recovery of Energy Efficiency Program Costs</w:t>
      </w:r>
      <w:r>
        <w:tab/>
      </w:r>
      <w:r>
        <w:fldChar w:fldCharType="begin"/>
      </w:r>
      <w:r>
        <w:instrText xml:space="preserve"> PAGEREF _Toc509500770 \h </w:instrText>
      </w:r>
      <w:r>
        <w:fldChar w:fldCharType="separate"/>
      </w:r>
      <w:r w:rsidR="004757EA">
        <w:t>27</w:t>
      </w:r>
      <w:r>
        <w:fldChar w:fldCharType="end"/>
      </w:r>
    </w:p>
    <w:p w14:paraId="2F5298D7" w14:textId="77777777" w:rsidR="003D37A1" w:rsidRDefault="003D37A1">
      <w:pPr>
        <w:pStyle w:val="TOC1"/>
        <w:rPr>
          <w:rFonts w:asciiTheme="minorHAnsi" w:eastAsiaTheme="minorEastAsia" w:hAnsiTheme="minorHAnsi" w:cstheme="minorBidi"/>
          <w:b w:val="0"/>
          <w:bCs w:val="0"/>
          <w:caps w:val="0"/>
          <w:sz w:val="22"/>
          <w:szCs w:val="22"/>
        </w:rPr>
      </w:pPr>
      <w:r w:rsidRPr="00F96473">
        <w:t>XIII.</w:t>
      </w:r>
      <w:r>
        <w:rPr>
          <w:rFonts w:asciiTheme="minorHAnsi" w:eastAsiaTheme="minorEastAsia" w:hAnsiTheme="minorHAnsi" w:cstheme="minorBidi"/>
          <w:b w:val="0"/>
          <w:bCs w:val="0"/>
          <w:caps w:val="0"/>
          <w:sz w:val="22"/>
          <w:szCs w:val="22"/>
        </w:rPr>
        <w:tab/>
      </w:r>
      <w:r w:rsidRPr="00F96473">
        <w:t>Underserved Counties</w:t>
      </w:r>
      <w:r>
        <w:tab/>
      </w:r>
      <w:r>
        <w:fldChar w:fldCharType="begin"/>
      </w:r>
      <w:r>
        <w:instrText xml:space="preserve"> PAGEREF _Toc509500771 \h </w:instrText>
      </w:r>
      <w:r>
        <w:fldChar w:fldCharType="separate"/>
      </w:r>
      <w:r w:rsidR="004757EA">
        <w:t>27</w:t>
      </w:r>
      <w:r>
        <w:fldChar w:fldCharType="end"/>
      </w:r>
    </w:p>
    <w:p w14:paraId="0EBE30FF" w14:textId="77777777" w:rsidR="003D37A1" w:rsidRDefault="003D37A1">
      <w:pPr>
        <w:pStyle w:val="TOC1"/>
        <w:rPr>
          <w:rFonts w:asciiTheme="minorHAnsi" w:eastAsiaTheme="minorEastAsia" w:hAnsiTheme="minorHAnsi" w:cstheme="minorBidi"/>
          <w:b w:val="0"/>
          <w:bCs w:val="0"/>
          <w:caps w:val="0"/>
          <w:sz w:val="22"/>
          <w:szCs w:val="22"/>
        </w:rPr>
      </w:pPr>
      <w:r w:rsidRPr="00F96473">
        <w:t>XIV.</w:t>
      </w:r>
      <w:r>
        <w:rPr>
          <w:rFonts w:asciiTheme="minorHAnsi" w:eastAsiaTheme="minorEastAsia" w:hAnsiTheme="minorHAnsi" w:cstheme="minorBidi"/>
          <w:b w:val="0"/>
          <w:bCs w:val="0"/>
          <w:caps w:val="0"/>
          <w:sz w:val="22"/>
          <w:szCs w:val="22"/>
        </w:rPr>
        <w:tab/>
      </w:r>
      <w:r w:rsidRPr="00F96473">
        <w:t>Performance Incentive Calculation</w:t>
      </w:r>
      <w:r>
        <w:tab/>
      </w:r>
      <w:r>
        <w:fldChar w:fldCharType="begin"/>
      </w:r>
      <w:r>
        <w:instrText xml:space="preserve"> PAGEREF _Toc509500772 \h </w:instrText>
      </w:r>
      <w:r>
        <w:fldChar w:fldCharType="separate"/>
      </w:r>
      <w:r w:rsidR="004757EA">
        <w:t>27</w:t>
      </w:r>
      <w:r>
        <w:fldChar w:fldCharType="end"/>
      </w:r>
    </w:p>
    <w:p w14:paraId="316A65A7" w14:textId="13D5A40F" w:rsidR="003D37A1" w:rsidRDefault="003D37A1">
      <w:pPr>
        <w:pStyle w:val="TOC1"/>
        <w:rPr>
          <w:rFonts w:asciiTheme="minorHAnsi" w:eastAsiaTheme="minorEastAsia" w:hAnsiTheme="minorHAnsi" w:cstheme="minorBidi"/>
          <w:b w:val="0"/>
          <w:bCs w:val="0"/>
          <w:caps w:val="0"/>
          <w:sz w:val="22"/>
          <w:szCs w:val="22"/>
        </w:rPr>
      </w:pPr>
      <w:r w:rsidRPr="00F96473">
        <w:t>Acronyms</w:t>
      </w:r>
      <w:r>
        <w:tab/>
      </w:r>
      <w:r w:rsidR="009F30AA">
        <w:t>A-</w:t>
      </w:r>
      <w:r>
        <w:fldChar w:fldCharType="begin"/>
      </w:r>
      <w:r>
        <w:instrText xml:space="preserve"> PAGEREF _Toc509500773 \h </w:instrText>
      </w:r>
      <w:r>
        <w:fldChar w:fldCharType="separate"/>
      </w:r>
      <w:r w:rsidR="004757EA">
        <w:t>1</w:t>
      </w:r>
      <w:r>
        <w:fldChar w:fldCharType="end"/>
      </w:r>
    </w:p>
    <w:p w14:paraId="59CA884A" w14:textId="7BAE4BDA" w:rsidR="003D37A1" w:rsidRDefault="003D37A1">
      <w:pPr>
        <w:pStyle w:val="TOC1"/>
        <w:rPr>
          <w:rFonts w:asciiTheme="minorHAnsi" w:eastAsiaTheme="minorEastAsia" w:hAnsiTheme="minorHAnsi" w:cstheme="minorBidi"/>
          <w:b w:val="0"/>
          <w:bCs w:val="0"/>
          <w:caps w:val="0"/>
          <w:sz w:val="22"/>
          <w:szCs w:val="22"/>
        </w:rPr>
      </w:pPr>
      <w:r w:rsidRPr="00F96473">
        <w:t>Glossary</w:t>
      </w:r>
      <w:r>
        <w:tab/>
      </w:r>
      <w:r w:rsidR="009F30AA">
        <w:t>A-</w:t>
      </w:r>
      <w:r w:rsidR="00CD23F7">
        <w:t>1</w:t>
      </w:r>
    </w:p>
    <w:p w14:paraId="49DB69CE" w14:textId="00B49826" w:rsidR="003D37A1" w:rsidRDefault="003D37A1">
      <w:pPr>
        <w:pStyle w:val="TOC1"/>
        <w:rPr>
          <w:rFonts w:asciiTheme="minorHAnsi" w:eastAsiaTheme="minorEastAsia" w:hAnsiTheme="minorHAnsi" w:cstheme="minorBidi"/>
          <w:b w:val="0"/>
          <w:bCs w:val="0"/>
          <w:caps w:val="0"/>
          <w:sz w:val="22"/>
          <w:szCs w:val="22"/>
        </w:rPr>
      </w:pPr>
      <w:r w:rsidRPr="00F96473">
        <w:t>Appendix A: Reported Demand and Energy Reduction by County</w:t>
      </w:r>
      <w:r>
        <w:tab/>
      </w:r>
      <w:r w:rsidR="009F30AA">
        <w:t>A-</w:t>
      </w:r>
      <w:r w:rsidR="00CD23F7">
        <w:t>2</w:t>
      </w:r>
    </w:p>
    <w:p w14:paraId="74F3A24C" w14:textId="25826A07" w:rsidR="00B47E25" w:rsidRPr="00380D16" w:rsidRDefault="006309E0" w:rsidP="00B83B9C">
      <w:pPr>
        <w:pStyle w:val="TOC1"/>
        <w:tabs>
          <w:tab w:val="clear" w:pos="9638"/>
          <w:tab w:val="right" w:leader="dot" w:pos="9540"/>
        </w:tabs>
        <w:ind w:left="540" w:right="648" w:hanging="540"/>
        <w:sectPr w:rsidR="00B47E25" w:rsidRPr="00380D16" w:rsidSect="00CA6D5A">
          <w:footerReference w:type="first" r:id="rId11"/>
          <w:pgSz w:w="12240" w:h="15840"/>
          <w:pgMar w:top="1296" w:right="1152" w:bottom="1152" w:left="1440" w:header="720" w:footer="720" w:gutter="0"/>
          <w:pgNumType w:fmt="lowerRoman" w:start="1"/>
          <w:cols w:space="720"/>
          <w:titlePg/>
        </w:sectPr>
      </w:pPr>
      <w:r w:rsidRPr="00D715D7">
        <w:rPr>
          <w:sz w:val="22"/>
          <w:szCs w:val="22"/>
        </w:rPr>
        <w:fldChar w:fldCharType="end"/>
      </w:r>
    </w:p>
    <w:p w14:paraId="41A62CA7" w14:textId="77777777" w:rsidR="008B47D9" w:rsidRDefault="00597FB6" w:rsidP="00911709">
      <w:pPr>
        <w:pStyle w:val="Heading5"/>
        <w:spacing w:before="0" w:after="0"/>
        <w:rPr>
          <w:rFonts w:cs="Arial"/>
          <w:spacing w:val="0"/>
        </w:rPr>
      </w:pPr>
      <w:bookmarkStart w:id="0" w:name="_Toc190729535"/>
      <w:bookmarkStart w:id="1" w:name="_Toc509500746"/>
      <w:r w:rsidRPr="00597FB6">
        <w:rPr>
          <w:rFonts w:cs="Arial"/>
          <w:spacing w:val="0"/>
        </w:rPr>
        <w:lastRenderedPageBreak/>
        <w:t>Introduction</w:t>
      </w:r>
      <w:bookmarkEnd w:id="0"/>
      <w:bookmarkEnd w:id="1"/>
    </w:p>
    <w:p w14:paraId="1F0BE401" w14:textId="77777777" w:rsidR="00380D16" w:rsidRDefault="00380D16" w:rsidP="00911709">
      <w:pPr>
        <w:pStyle w:val="BodyText"/>
        <w:spacing w:before="0" w:after="0" w:line="240" w:lineRule="auto"/>
        <w:rPr>
          <w:rFonts w:cs="Arial"/>
          <w:b w:val="0"/>
        </w:rPr>
      </w:pPr>
    </w:p>
    <w:p w14:paraId="2636ABF8" w14:textId="1D2BC572" w:rsidR="008B47D9" w:rsidRDefault="00597FB6" w:rsidP="00911709">
      <w:pPr>
        <w:pStyle w:val="BodyText"/>
        <w:spacing w:before="0" w:after="0" w:line="240" w:lineRule="auto"/>
        <w:rPr>
          <w:rFonts w:cs="Arial"/>
          <w:b w:val="0"/>
        </w:rPr>
      </w:pPr>
      <w:r w:rsidRPr="00597FB6">
        <w:rPr>
          <w:rFonts w:cs="Arial"/>
          <w:b w:val="0"/>
        </w:rPr>
        <w:t>El Paso Electric Company (EPE</w:t>
      </w:r>
      <w:r w:rsidR="00531477">
        <w:rPr>
          <w:rFonts w:cs="Arial"/>
          <w:b w:val="0"/>
        </w:rPr>
        <w:t xml:space="preserve"> or Company</w:t>
      </w:r>
      <w:r w:rsidRPr="00597FB6">
        <w:rPr>
          <w:rFonts w:cs="Arial"/>
          <w:b w:val="0"/>
        </w:rPr>
        <w:t xml:space="preserve">) presents this Energy Efficiency Plan and Report (EEPR) to comply with </w:t>
      </w:r>
      <w:r w:rsidR="00B366F2">
        <w:rPr>
          <w:rFonts w:cs="Arial"/>
          <w:b w:val="0"/>
        </w:rPr>
        <w:t xml:space="preserve">16 Texas Administrative Code </w:t>
      </w:r>
      <w:r w:rsidR="00B366F2" w:rsidRPr="00597FB6">
        <w:rPr>
          <w:rFonts w:cs="Arial"/>
          <w:b w:val="0"/>
        </w:rPr>
        <w:t>§</w:t>
      </w:r>
      <w:r w:rsidRPr="00597FB6">
        <w:rPr>
          <w:rFonts w:cs="Arial"/>
          <w:b w:val="0"/>
        </w:rPr>
        <w:t xml:space="preserve">25.181 and </w:t>
      </w:r>
      <w:r w:rsidR="00B366F2" w:rsidRPr="00597FB6">
        <w:rPr>
          <w:rFonts w:cs="Arial"/>
          <w:b w:val="0"/>
        </w:rPr>
        <w:t>§</w:t>
      </w:r>
      <w:r w:rsidRPr="00597FB6">
        <w:rPr>
          <w:rFonts w:cs="Arial"/>
          <w:b w:val="0"/>
        </w:rPr>
        <w:t>25.183</w:t>
      </w:r>
      <w:r w:rsidR="00FF52AE">
        <w:rPr>
          <w:rFonts w:cs="Arial"/>
          <w:b w:val="0"/>
        </w:rPr>
        <w:t xml:space="preserve"> (TAC)</w:t>
      </w:r>
      <w:r w:rsidR="0055066A">
        <w:rPr>
          <w:rFonts w:cs="Arial"/>
          <w:b w:val="0"/>
        </w:rPr>
        <w:t>, which are the sections of the Energy Efficiency Rule</w:t>
      </w:r>
      <w:r w:rsidRPr="00597FB6">
        <w:rPr>
          <w:rFonts w:cs="Arial"/>
          <w:b w:val="0"/>
        </w:rPr>
        <w:t xml:space="preserve"> (EE Rule)</w:t>
      </w:r>
      <w:r w:rsidR="00D01903">
        <w:rPr>
          <w:rFonts w:cs="Arial"/>
          <w:b w:val="0"/>
        </w:rPr>
        <w:t xml:space="preserve"> </w:t>
      </w:r>
      <w:r w:rsidRPr="00597FB6">
        <w:rPr>
          <w:rFonts w:cs="Arial"/>
          <w:b w:val="0"/>
        </w:rPr>
        <w:t>implement</w:t>
      </w:r>
      <w:r w:rsidR="0055066A">
        <w:rPr>
          <w:rFonts w:cs="Arial"/>
          <w:b w:val="0"/>
        </w:rPr>
        <w:t>ing</w:t>
      </w:r>
      <w:r w:rsidRPr="00597FB6">
        <w:rPr>
          <w:rFonts w:cs="Arial"/>
          <w:b w:val="0"/>
        </w:rPr>
        <w:t xml:space="preserve"> </w:t>
      </w:r>
      <w:r w:rsidR="00AD7106">
        <w:rPr>
          <w:rFonts w:cs="Arial"/>
          <w:b w:val="0"/>
        </w:rPr>
        <w:t xml:space="preserve">the </w:t>
      </w:r>
      <w:r w:rsidRPr="00597FB6">
        <w:rPr>
          <w:rFonts w:cs="Arial"/>
          <w:b w:val="0"/>
        </w:rPr>
        <w:t xml:space="preserve">Public Utility Regulatory Act (PURA) §39.905. As mandated by this section of PURA, </w:t>
      </w:r>
      <w:r w:rsidR="00B366F2">
        <w:rPr>
          <w:rFonts w:cs="Arial"/>
          <w:b w:val="0"/>
        </w:rPr>
        <w:t>16 TAC</w:t>
      </w:r>
      <w:r w:rsidR="00A104A9">
        <w:rPr>
          <w:rFonts w:cs="Arial"/>
          <w:b w:val="0"/>
        </w:rPr>
        <w:t xml:space="preserve"> </w:t>
      </w:r>
      <w:r w:rsidR="00B366F2" w:rsidRPr="00597FB6">
        <w:rPr>
          <w:rFonts w:cs="Arial"/>
          <w:b w:val="0"/>
        </w:rPr>
        <w:t>§</w:t>
      </w:r>
      <w:r w:rsidR="00A104A9">
        <w:rPr>
          <w:rFonts w:cs="Arial"/>
          <w:b w:val="0"/>
        </w:rPr>
        <w:t>25.181(e)(1) states</w:t>
      </w:r>
      <w:r w:rsidRPr="00597FB6">
        <w:rPr>
          <w:rFonts w:cs="Arial"/>
          <w:b w:val="0"/>
        </w:rPr>
        <w:t xml:space="preserve"> that each </w:t>
      </w:r>
      <w:r w:rsidR="00233794">
        <w:rPr>
          <w:rFonts w:cs="Arial"/>
          <w:b w:val="0"/>
        </w:rPr>
        <w:t xml:space="preserve">investor owned </w:t>
      </w:r>
      <w:r w:rsidRPr="00597FB6">
        <w:rPr>
          <w:rFonts w:cs="Arial"/>
          <w:b w:val="0"/>
        </w:rPr>
        <w:t xml:space="preserve">electric utility </w:t>
      </w:r>
      <w:r w:rsidR="00A104A9">
        <w:rPr>
          <w:rFonts w:cs="Arial"/>
          <w:b w:val="0"/>
        </w:rPr>
        <w:t xml:space="preserve">must </w:t>
      </w:r>
      <w:r w:rsidRPr="00597FB6">
        <w:rPr>
          <w:rFonts w:cs="Arial"/>
          <w:b w:val="0"/>
        </w:rPr>
        <w:t xml:space="preserve">achieve the following </w:t>
      </w:r>
      <w:r w:rsidR="0055066A">
        <w:rPr>
          <w:rFonts w:cs="Arial"/>
          <w:b w:val="0"/>
        </w:rPr>
        <w:t xml:space="preserve">minimum </w:t>
      </w:r>
      <w:r w:rsidRPr="00597FB6">
        <w:rPr>
          <w:rFonts w:cs="Arial"/>
          <w:b w:val="0"/>
        </w:rPr>
        <w:t>demand reduction goals through market-based standard offer programs (SOPs)</w:t>
      </w:r>
      <w:r w:rsidR="0055066A">
        <w:rPr>
          <w:rFonts w:cs="Arial"/>
          <w:b w:val="0"/>
        </w:rPr>
        <w:t>,</w:t>
      </w:r>
      <w:r w:rsidRPr="00597FB6">
        <w:rPr>
          <w:rFonts w:cs="Arial"/>
          <w:b w:val="0"/>
        </w:rPr>
        <w:t xml:space="preserve"> targeted market transformation programs (MTPs)</w:t>
      </w:r>
      <w:r w:rsidR="0055066A">
        <w:rPr>
          <w:rFonts w:cs="Arial"/>
          <w:b w:val="0"/>
        </w:rPr>
        <w:t xml:space="preserve"> </w:t>
      </w:r>
      <w:r w:rsidR="003D7B65">
        <w:rPr>
          <w:rFonts w:cs="Arial"/>
          <w:b w:val="0"/>
        </w:rPr>
        <w:t xml:space="preserve">or </w:t>
      </w:r>
      <w:r w:rsidR="0055066A">
        <w:rPr>
          <w:rFonts w:cs="Arial"/>
          <w:b w:val="0"/>
        </w:rPr>
        <w:t xml:space="preserve">utility </w:t>
      </w:r>
      <w:r w:rsidR="0092519E">
        <w:rPr>
          <w:rFonts w:cs="Arial"/>
          <w:b w:val="0"/>
        </w:rPr>
        <w:t>s</w:t>
      </w:r>
      <w:r w:rsidR="0055066A">
        <w:rPr>
          <w:rFonts w:cs="Arial"/>
          <w:b w:val="0"/>
        </w:rPr>
        <w:t>elf-</w:t>
      </w:r>
      <w:r w:rsidR="0092519E">
        <w:rPr>
          <w:rFonts w:cs="Arial"/>
          <w:b w:val="0"/>
        </w:rPr>
        <w:t>d</w:t>
      </w:r>
      <w:r w:rsidR="0055066A">
        <w:rPr>
          <w:rFonts w:cs="Arial"/>
          <w:b w:val="0"/>
        </w:rPr>
        <w:t>elivered programs</w:t>
      </w:r>
      <w:r w:rsidRPr="00597FB6">
        <w:rPr>
          <w:rFonts w:cs="Arial"/>
          <w:b w:val="0"/>
        </w:rPr>
        <w:t>:</w:t>
      </w:r>
    </w:p>
    <w:p w14:paraId="1A700603" w14:textId="77777777" w:rsidR="00380D16" w:rsidRPr="00380D16" w:rsidRDefault="00380D16" w:rsidP="00911709">
      <w:pPr>
        <w:pStyle w:val="BodyText"/>
        <w:spacing w:before="0" w:after="0" w:line="240" w:lineRule="auto"/>
        <w:rPr>
          <w:rFonts w:cs="Arial"/>
          <w:b w:val="0"/>
        </w:rPr>
      </w:pPr>
    </w:p>
    <w:p w14:paraId="56A36E6A" w14:textId="77777777" w:rsidR="0055066A" w:rsidRDefault="00C824EA" w:rsidP="00911709">
      <w:pPr>
        <w:ind w:left="2160" w:hanging="1440"/>
        <w:jc w:val="both"/>
        <w:rPr>
          <w:rFonts w:ascii="Arial" w:hAnsi="Arial" w:cs="Arial"/>
          <w:b w:val="0"/>
          <w:sz w:val="22"/>
          <w:szCs w:val="22"/>
        </w:rPr>
      </w:pPr>
      <w:r>
        <w:rPr>
          <w:rFonts w:ascii="Arial" w:hAnsi="Arial" w:cs="Arial"/>
          <w:b w:val="0"/>
          <w:sz w:val="22"/>
          <w:szCs w:val="22"/>
        </w:rPr>
        <w:t>§</w:t>
      </w:r>
      <w:r w:rsidR="00A104A9">
        <w:rPr>
          <w:rFonts w:ascii="Arial" w:hAnsi="Arial" w:cs="Arial"/>
          <w:b w:val="0"/>
          <w:sz w:val="22"/>
          <w:szCs w:val="22"/>
        </w:rPr>
        <w:t>25.181</w:t>
      </w:r>
      <w:r w:rsidR="0055066A" w:rsidRPr="00B345A7">
        <w:rPr>
          <w:rFonts w:ascii="Arial" w:hAnsi="Arial" w:cs="Arial"/>
          <w:b w:val="0"/>
          <w:sz w:val="22"/>
          <w:szCs w:val="22"/>
        </w:rPr>
        <w:t>(e)(1)</w:t>
      </w:r>
      <w:r w:rsidR="0055066A" w:rsidRPr="00B345A7">
        <w:rPr>
          <w:rFonts w:ascii="Arial" w:hAnsi="Arial" w:cs="Arial"/>
          <w:b w:val="0"/>
          <w:sz w:val="22"/>
          <w:szCs w:val="22"/>
        </w:rPr>
        <w:tab/>
        <w:t>An electric utility shall administer a portfolio of energy efficiency programs to acquire, at a minimum, the following:</w:t>
      </w:r>
    </w:p>
    <w:p w14:paraId="56CFC3BB" w14:textId="77777777" w:rsidR="00A00556" w:rsidRPr="00B345A7" w:rsidRDefault="00A00556" w:rsidP="00911709">
      <w:pPr>
        <w:ind w:left="1440" w:hanging="720"/>
        <w:jc w:val="both"/>
        <w:rPr>
          <w:rFonts w:ascii="Arial" w:hAnsi="Arial" w:cs="Arial"/>
          <w:b w:val="0"/>
          <w:sz w:val="22"/>
          <w:szCs w:val="22"/>
        </w:rPr>
      </w:pPr>
    </w:p>
    <w:p w14:paraId="7B94B3FF" w14:textId="77777777" w:rsidR="0055066A" w:rsidRPr="005E761A" w:rsidRDefault="0055066A" w:rsidP="00911709">
      <w:pPr>
        <w:ind w:left="2160" w:hanging="720"/>
        <w:jc w:val="both"/>
        <w:rPr>
          <w:rFonts w:ascii="Arial" w:hAnsi="Arial" w:cs="Arial"/>
          <w:b w:val="0"/>
          <w:sz w:val="22"/>
          <w:szCs w:val="22"/>
        </w:rPr>
      </w:pPr>
      <w:r w:rsidRPr="005E761A">
        <w:rPr>
          <w:rFonts w:ascii="Arial" w:hAnsi="Arial" w:cs="Arial"/>
          <w:b w:val="0"/>
          <w:sz w:val="22"/>
          <w:szCs w:val="22"/>
        </w:rPr>
        <w:t>(A)</w:t>
      </w:r>
      <w:r w:rsidRPr="005E761A">
        <w:rPr>
          <w:rFonts w:ascii="Arial" w:hAnsi="Arial" w:cs="Arial"/>
          <w:b w:val="0"/>
          <w:sz w:val="22"/>
          <w:szCs w:val="22"/>
        </w:rPr>
        <w:tab/>
        <w:t>The utility shall acquire no less than a 25% reduction of the electric utility’s annual growth in demand of residential and commercial customers for the 2012 program year.</w:t>
      </w:r>
    </w:p>
    <w:p w14:paraId="12CA4064" w14:textId="77777777" w:rsidR="00A00556" w:rsidRPr="00B345A7" w:rsidRDefault="00A00556" w:rsidP="00911709">
      <w:pPr>
        <w:ind w:left="2160" w:hanging="720"/>
        <w:jc w:val="both"/>
        <w:rPr>
          <w:rFonts w:ascii="Arial" w:hAnsi="Arial" w:cs="Arial"/>
          <w:b w:val="0"/>
          <w:sz w:val="22"/>
          <w:szCs w:val="22"/>
        </w:rPr>
      </w:pPr>
    </w:p>
    <w:p w14:paraId="7414EE74" w14:textId="77777777" w:rsidR="0055066A" w:rsidRDefault="0055066A" w:rsidP="00911709">
      <w:pPr>
        <w:ind w:left="2160" w:hanging="720"/>
        <w:jc w:val="both"/>
        <w:rPr>
          <w:rFonts w:ascii="Arial" w:hAnsi="Arial" w:cs="Arial"/>
          <w:b w:val="0"/>
          <w:sz w:val="22"/>
          <w:szCs w:val="22"/>
        </w:rPr>
      </w:pPr>
      <w:r w:rsidRPr="00B345A7">
        <w:rPr>
          <w:rFonts w:ascii="Arial" w:hAnsi="Arial" w:cs="Arial"/>
          <w:b w:val="0"/>
          <w:sz w:val="22"/>
          <w:szCs w:val="22"/>
        </w:rPr>
        <w:t>(B)</w:t>
      </w:r>
      <w:r w:rsidRPr="00B345A7">
        <w:rPr>
          <w:rFonts w:ascii="Arial" w:hAnsi="Arial" w:cs="Arial"/>
          <w:b w:val="0"/>
          <w:sz w:val="22"/>
          <w:szCs w:val="22"/>
        </w:rPr>
        <w:tab/>
        <w:t>Beginning with the 2013 program year, until the trigger described in subparagraph (C) of this paragraph is reached, the utility shall acquire a 30% reduction of its annual growth in demand of residential and commercial customers.</w:t>
      </w:r>
    </w:p>
    <w:p w14:paraId="620CC5D5" w14:textId="77777777" w:rsidR="00A00556" w:rsidRPr="00B345A7" w:rsidRDefault="00A00556" w:rsidP="00911709">
      <w:pPr>
        <w:ind w:left="2160" w:hanging="720"/>
        <w:jc w:val="both"/>
        <w:rPr>
          <w:rFonts w:ascii="Arial" w:hAnsi="Arial" w:cs="Arial"/>
          <w:b w:val="0"/>
          <w:sz w:val="22"/>
          <w:szCs w:val="22"/>
        </w:rPr>
      </w:pPr>
    </w:p>
    <w:p w14:paraId="1F0E7996" w14:textId="77777777" w:rsidR="0055066A" w:rsidRDefault="0055066A" w:rsidP="00911709">
      <w:pPr>
        <w:ind w:left="2160" w:hanging="720"/>
        <w:jc w:val="both"/>
        <w:rPr>
          <w:rFonts w:ascii="Arial" w:hAnsi="Arial" w:cs="Arial"/>
          <w:b w:val="0"/>
          <w:sz w:val="22"/>
          <w:szCs w:val="22"/>
        </w:rPr>
      </w:pPr>
      <w:r w:rsidRPr="00B345A7">
        <w:rPr>
          <w:rFonts w:ascii="Arial" w:hAnsi="Arial" w:cs="Arial"/>
          <w:b w:val="0"/>
          <w:sz w:val="22"/>
          <w:szCs w:val="22"/>
        </w:rPr>
        <w:t>(C)</w:t>
      </w:r>
      <w:r w:rsidRPr="00B345A7">
        <w:rPr>
          <w:rFonts w:ascii="Arial" w:hAnsi="Arial" w:cs="Arial"/>
          <w:b w:val="0"/>
          <w:sz w:val="22"/>
          <w:szCs w:val="22"/>
        </w:rPr>
        <w:tab/>
        <w:t xml:space="preserve">If the demand reduction goal to be acquired by a utility under subparagraph (B) of this paragraph is equivalent to at least four-tenths of 1% </w:t>
      </w:r>
      <w:r w:rsidR="00EB2219">
        <w:rPr>
          <w:rFonts w:ascii="Arial" w:hAnsi="Arial" w:cs="Arial"/>
          <w:b w:val="0"/>
          <w:sz w:val="22"/>
          <w:szCs w:val="22"/>
        </w:rPr>
        <w:t xml:space="preserve">of </w:t>
      </w:r>
      <w:r w:rsidRPr="00B345A7">
        <w:rPr>
          <w:rFonts w:ascii="Arial" w:hAnsi="Arial" w:cs="Arial"/>
          <w:b w:val="0"/>
          <w:sz w:val="22"/>
          <w:szCs w:val="22"/>
        </w:rPr>
        <w:t>its summer weather-adjusted peak demand for the combined residential and commercial customers for the previous program year, the utility shall meet the energy efficiency goal described in subparagraph (D) of this paragraph for each subsequent program year.</w:t>
      </w:r>
    </w:p>
    <w:p w14:paraId="095B36FA" w14:textId="77777777" w:rsidR="00A00556" w:rsidRPr="00B345A7" w:rsidRDefault="00A00556" w:rsidP="00911709">
      <w:pPr>
        <w:ind w:left="2160" w:hanging="720"/>
        <w:jc w:val="both"/>
        <w:rPr>
          <w:rFonts w:ascii="Arial" w:hAnsi="Arial" w:cs="Arial"/>
          <w:b w:val="0"/>
          <w:sz w:val="22"/>
          <w:szCs w:val="22"/>
        </w:rPr>
      </w:pPr>
    </w:p>
    <w:p w14:paraId="0B58D33D" w14:textId="77777777" w:rsidR="0055066A" w:rsidRDefault="0055066A" w:rsidP="00911709">
      <w:pPr>
        <w:ind w:left="2160" w:hanging="720"/>
        <w:jc w:val="both"/>
        <w:rPr>
          <w:rFonts w:ascii="Arial" w:hAnsi="Arial" w:cs="Arial"/>
          <w:b w:val="0"/>
          <w:sz w:val="22"/>
          <w:szCs w:val="22"/>
        </w:rPr>
      </w:pPr>
      <w:r w:rsidRPr="00B345A7">
        <w:rPr>
          <w:rFonts w:ascii="Arial" w:hAnsi="Arial" w:cs="Arial"/>
          <w:b w:val="0"/>
          <w:sz w:val="22"/>
          <w:szCs w:val="22"/>
        </w:rPr>
        <w:t>(</w:t>
      </w:r>
      <w:r w:rsidR="007837F8">
        <w:rPr>
          <w:rFonts w:ascii="Arial" w:hAnsi="Arial" w:cs="Arial"/>
          <w:b w:val="0"/>
          <w:sz w:val="22"/>
          <w:szCs w:val="22"/>
        </w:rPr>
        <w:t>D)</w:t>
      </w:r>
      <w:r w:rsidR="007837F8">
        <w:rPr>
          <w:rFonts w:ascii="Arial" w:hAnsi="Arial" w:cs="Arial"/>
          <w:b w:val="0"/>
          <w:sz w:val="22"/>
          <w:szCs w:val="22"/>
        </w:rPr>
        <w:tab/>
        <w:t>Once the trigger described in</w:t>
      </w:r>
      <w:r w:rsidRPr="00B345A7">
        <w:rPr>
          <w:rFonts w:ascii="Arial" w:hAnsi="Arial" w:cs="Arial"/>
          <w:b w:val="0"/>
          <w:sz w:val="22"/>
          <w:szCs w:val="22"/>
        </w:rPr>
        <w:t xml:space="preserve"> subparagraph (C) of this paragraph is reached, the utility shall acquire four-tenths of 1% of its summer weather-adjusted peak demand for the combined residential and commercial customers for the previous program year. </w:t>
      </w:r>
    </w:p>
    <w:p w14:paraId="69AC8A66" w14:textId="77777777" w:rsidR="00A00556" w:rsidRPr="00B345A7" w:rsidRDefault="00A00556" w:rsidP="00911709">
      <w:pPr>
        <w:ind w:left="2160" w:hanging="720"/>
        <w:jc w:val="both"/>
        <w:rPr>
          <w:rFonts w:ascii="Arial" w:hAnsi="Arial" w:cs="Arial"/>
          <w:b w:val="0"/>
          <w:sz w:val="22"/>
          <w:szCs w:val="22"/>
        </w:rPr>
      </w:pPr>
    </w:p>
    <w:p w14:paraId="1B465096" w14:textId="77777777" w:rsidR="00750757" w:rsidRPr="00B345A7" w:rsidRDefault="0055066A" w:rsidP="00911709">
      <w:pPr>
        <w:ind w:left="2160" w:hanging="720"/>
        <w:jc w:val="both"/>
        <w:rPr>
          <w:rFonts w:ascii="Arial" w:hAnsi="Arial" w:cs="Arial"/>
          <w:b w:val="0"/>
          <w:sz w:val="22"/>
          <w:szCs w:val="22"/>
        </w:rPr>
      </w:pPr>
      <w:r w:rsidRPr="00B345A7">
        <w:rPr>
          <w:rFonts w:ascii="Arial" w:hAnsi="Arial" w:cs="Arial"/>
          <w:b w:val="0"/>
          <w:sz w:val="22"/>
          <w:szCs w:val="22"/>
        </w:rPr>
        <w:t>(E)</w:t>
      </w:r>
      <w:r w:rsidRPr="00B345A7">
        <w:rPr>
          <w:rFonts w:ascii="Arial" w:hAnsi="Arial" w:cs="Arial"/>
          <w:b w:val="0"/>
          <w:sz w:val="22"/>
          <w:szCs w:val="22"/>
        </w:rPr>
        <w:tab/>
      </w:r>
      <w:r w:rsidRPr="00266F2D">
        <w:rPr>
          <w:rFonts w:ascii="Arial" w:hAnsi="Arial" w:cs="Arial"/>
          <w:b w:val="0"/>
          <w:sz w:val="22"/>
          <w:szCs w:val="22"/>
        </w:rPr>
        <w:t>Except as adjusted in accordance with subsection (w) of this section,</w:t>
      </w:r>
      <w:r w:rsidRPr="00B345A7">
        <w:rPr>
          <w:rFonts w:ascii="Arial" w:hAnsi="Arial" w:cs="Arial"/>
          <w:b w:val="0"/>
          <w:sz w:val="22"/>
          <w:szCs w:val="22"/>
        </w:rPr>
        <w:t xml:space="preserve"> a utility’s demand reduction goal in any year shall not be lower than its goal for the prior year, unless the commission establishes a goal for a utility pursuant to paragraph (2) of this subsection.</w:t>
      </w:r>
    </w:p>
    <w:p w14:paraId="738E42B0" w14:textId="77777777" w:rsidR="00380D16" w:rsidRPr="00380D16" w:rsidRDefault="00380D16" w:rsidP="00911709">
      <w:pPr>
        <w:pStyle w:val="BodyText"/>
        <w:spacing w:before="0" w:after="0" w:line="240" w:lineRule="auto"/>
        <w:rPr>
          <w:rFonts w:cs="Arial"/>
          <w:b w:val="0"/>
        </w:rPr>
      </w:pPr>
    </w:p>
    <w:p w14:paraId="33A13C9F" w14:textId="33370917" w:rsidR="008B47D9" w:rsidRDefault="00597FB6" w:rsidP="00911709">
      <w:pPr>
        <w:pStyle w:val="BodyText"/>
        <w:spacing w:before="0" w:after="0" w:line="240" w:lineRule="auto"/>
        <w:rPr>
          <w:rFonts w:cs="Arial"/>
          <w:b w:val="0"/>
        </w:rPr>
      </w:pPr>
      <w:r w:rsidRPr="00597FB6">
        <w:rPr>
          <w:rFonts w:cs="Arial"/>
          <w:b w:val="0"/>
        </w:rPr>
        <w:t>The EE Rule includes specific requirements related to the implementation of SOPs</w:t>
      </w:r>
      <w:r w:rsidR="00233794">
        <w:rPr>
          <w:rFonts w:cs="Arial"/>
          <w:b w:val="0"/>
        </w:rPr>
        <w:t>,</w:t>
      </w:r>
      <w:r w:rsidRPr="00597FB6">
        <w:rPr>
          <w:rFonts w:cs="Arial"/>
          <w:b w:val="0"/>
        </w:rPr>
        <w:t xml:space="preserve"> MTPs</w:t>
      </w:r>
      <w:r w:rsidR="00233794">
        <w:rPr>
          <w:rFonts w:cs="Arial"/>
          <w:b w:val="0"/>
        </w:rPr>
        <w:t xml:space="preserve"> and utility self-delivered programs</w:t>
      </w:r>
      <w:r w:rsidRPr="00597FB6">
        <w:rPr>
          <w:rFonts w:cs="Arial"/>
          <w:b w:val="0"/>
        </w:rPr>
        <w:t xml:space="preserve"> that control the manner in which utilities must administer their portfolio of energy efficiency programs in order to achieve their mandated annual demand reduction goals. EPE</w:t>
      </w:r>
      <w:r w:rsidR="00CD6042">
        <w:rPr>
          <w:rFonts w:cs="Arial"/>
          <w:b w:val="0"/>
        </w:rPr>
        <w:t>'</w:t>
      </w:r>
      <w:r w:rsidRPr="00597FB6">
        <w:rPr>
          <w:rFonts w:cs="Arial"/>
          <w:b w:val="0"/>
        </w:rPr>
        <w:t xml:space="preserve">s plan enables it to meet its statutory goals through implementation of energy efficiency programs in a manner that complies with PURA §39.905 and the EE Rule. This EEPR </w:t>
      </w:r>
      <w:r w:rsidR="00B775F3">
        <w:rPr>
          <w:rFonts w:cs="Arial"/>
          <w:b w:val="0"/>
        </w:rPr>
        <w:t>report</w:t>
      </w:r>
      <w:r w:rsidR="00285627">
        <w:rPr>
          <w:rFonts w:cs="Arial"/>
          <w:b w:val="0"/>
        </w:rPr>
        <w:t>s</w:t>
      </w:r>
      <w:r w:rsidR="00B775F3">
        <w:rPr>
          <w:rFonts w:cs="Arial"/>
          <w:b w:val="0"/>
        </w:rPr>
        <w:t xml:space="preserve"> </w:t>
      </w:r>
      <w:r w:rsidR="00285627">
        <w:rPr>
          <w:rFonts w:cs="Arial"/>
          <w:b w:val="0"/>
        </w:rPr>
        <w:t xml:space="preserve">EPE’s achievements for </w:t>
      </w:r>
      <w:r w:rsidR="00E15626">
        <w:rPr>
          <w:rFonts w:cs="Arial"/>
          <w:b w:val="0"/>
        </w:rPr>
        <w:t>201</w:t>
      </w:r>
      <w:r w:rsidR="009D668B">
        <w:rPr>
          <w:rFonts w:cs="Arial"/>
          <w:b w:val="0"/>
        </w:rPr>
        <w:t>7</w:t>
      </w:r>
      <w:r w:rsidR="00E15626">
        <w:rPr>
          <w:rFonts w:cs="Arial"/>
          <w:b w:val="0"/>
        </w:rPr>
        <w:t xml:space="preserve"> </w:t>
      </w:r>
      <w:r w:rsidR="00B775F3">
        <w:rPr>
          <w:rFonts w:cs="Arial"/>
          <w:b w:val="0"/>
        </w:rPr>
        <w:t xml:space="preserve">and </w:t>
      </w:r>
      <w:r w:rsidR="00285627">
        <w:rPr>
          <w:rFonts w:cs="Arial"/>
          <w:b w:val="0"/>
        </w:rPr>
        <w:t xml:space="preserve">its </w:t>
      </w:r>
      <w:r w:rsidR="00B775F3">
        <w:rPr>
          <w:rFonts w:cs="Arial"/>
          <w:b w:val="0"/>
        </w:rPr>
        <w:t xml:space="preserve">projections for </w:t>
      </w:r>
      <w:r w:rsidR="000A073C">
        <w:rPr>
          <w:rFonts w:cs="Arial"/>
          <w:b w:val="0"/>
        </w:rPr>
        <w:t>201</w:t>
      </w:r>
      <w:r w:rsidR="009D668B">
        <w:rPr>
          <w:rFonts w:cs="Arial"/>
          <w:b w:val="0"/>
        </w:rPr>
        <w:t>8</w:t>
      </w:r>
      <w:r w:rsidR="000A073C">
        <w:rPr>
          <w:rFonts w:cs="Arial"/>
          <w:b w:val="0"/>
        </w:rPr>
        <w:t xml:space="preserve"> </w:t>
      </w:r>
      <w:r w:rsidR="00B775F3">
        <w:rPr>
          <w:rFonts w:cs="Arial"/>
          <w:b w:val="0"/>
        </w:rPr>
        <w:t xml:space="preserve">and </w:t>
      </w:r>
      <w:r w:rsidR="000A073C">
        <w:rPr>
          <w:rFonts w:cs="Arial"/>
          <w:b w:val="0"/>
        </w:rPr>
        <w:t>201</w:t>
      </w:r>
      <w:r w:rsidR="009D668B">
        <w:rPr>
          <w:rFonts w:cs="Arial"/>
          <w:b w:val="0"/>
        </w:rPr>
        <w:t>9</w:t>
      </w:r>
      <w:r w:rsidR="000A073C" w:rsidRPr="00597FB6">
        <w:rPr>
          <w:rFonts w:cs="Arial"/>
          <w:b w:val="0"/>
        </w:rPr>
        <w:t xml:space="preserve"> </w:t>
      </w:r>
      <w:r w:rsidRPr="00597FB6">
        <w:rPr>
          <w:rFonts w:cs="Arial"/>
          <w:b w:val="0"/>
        </w:rPr>
        <w:t xml:space="preserve">as required </w:t>
      </w:r>
      <w:r w:rsidR="00B63611">
        <w:rPr>
          <w:rFonts w:cs="Arial"/>
          <w:b w:val="0"/>
        </w:rPr>
        <w:t>by the EE Rule</w:t>
      </w:r>
      <w:r w:rsidRPr="00597FB6">
        <w:rPr>
          <w:rFonts w:cs="Arial"/>
          <w:b w:val="0"/>
        </w:rPr>
        <w:t>. The following section describes the information that is contained in each of the subsequent sections and appendices.</w:t>
      </w:r>
    </w:p>
    <w:p w14:paraId="4B9F5BC7" w14:textId="77777777" w:rsidR="008B47D9" w:rsidRDefault="008B47D9" w:rsidP="00911709">
      <w:pPr>
        <w:pStyle w:val="BodyText"/>
        <w:spacing w:before="0" w:after="0" w:line="240" w:lineRule="auto"/>
        <w:rPr>
          <w:rFonts w:cs="Arial"/>
          <w:b w:val="0"/>
        </w:rPr>
      </w:pPr>
    </w:p>
    <w:p w14:paraId="3B90CE17" w14:textId="77777777" w:rsidR="008B47D9" w:rsidRDefault="00597FB6" w:rsidP="00911709">
      <w:pPr>
        <w:pStyle w:val="Heading5"/>
        <w:keepLines/>
        <w:spacing w:before="0" w:after="0"/>
        <w:rPr>
          <w:rFonts w:cs="Arial"/>
          <w:spacing w:val="0"/>
        </w:rPr>
      </w:pPr>
      <w:bookmarkStart w:id="2" w:name="_Toc509500747"/>
      <w:r w:rsidRPr="00597FB6">
        <w:rPr>
          <w:rFonts w:cs="Arial"/>
          <w:spacing w:val="0"/>
        </w:rPr>
        <w:lastRenderedPageBreak/>
        <w:t>Energy Efficiency Plan and Report Organization</w:t>
      </w:r>
      <w:bookmarkEnd w:id="2"/>
    </w:p>
    <w:p w14:paraId="3D3F184E" w14:textId="77777777" w:rsidR="00380D16" w:rsidRDefault="00380D16" w:rsidP="00911709">
      <w:pPr>
        <w:pStyle w:val="BodyText"/>
        <w:keepNext/>
        <w:keepLines/>
        <w:spacing w:before="0" w:after="0" w:line="240" w:lineRule="auto"/>
        <w:rPr>
          <w:rFonts w:cs="Arial"/>
          <w:b w:val="0"/>
        </w:rPr>
      </w:pPr>
    </w:p>
    <w:p w14:paraId="38943AE8" w14:textId="0F808A77" w:rsidR="008B47D9" w:rsidRDefault="00597FB6" w:rsidP="00911709">
      <w:pPr>
        <w:pStyle w:val="BodyText"/>
        <w:keepNext/>
        <w:keepLines/>
        <w:spacing w:before="0" w:after="0" w:line="240" w:lineRule="auto"/>
        <w:rPr>
          <w:rFonts w:cs="Arial"/>
          <w:b w:val="0"/>
        </w:rPr>
      </w:pPr>
      <w:r w:rsidRPr="00597FB6">
        <w:rPr>
          <w:rFonts w:cs="Arial"/>
          <w:b w:val="0"/>
        </w:rPr>
        <w:t xml:space="preserve">This EEPR consists of an </w:t>
      </w:r>
      <w:r w:rsidR="00A315DF">
        <w:rPr>
          <w:rFonts w:cs="Arial"/>
          <w:b w:val="0"/>
        </w:rPr>
        <w:t>e</w:t>
      </w:r>
      <w:r w:rsidRPr="00597FB6">
        <w:rPr>
          <w:rFonts w:cs="Arial"/>
          <w:b w:val="0"/>
        </w:rPr>
        <w:t xml:space="preserve">xecutive </w:t>
      </w:r>
      <w:r w:rsidR="00A315DF">
        <w:rPr>
          <w:rFonts w:cs="Arial"/>
          <w:b w:val="0"/>
        </w:rPr>
        <w:t>s</w:t>
      </w:r>
      <w:r w:rsidRPr="00597FB6">
        <w:rPr>
          <w:rFonts w:cs="Arial"/>
          <w:b w:val="0"/>
        </w:rPr>
        <w:t>ummary</w:t>
      </w:r>
      <w:r w:rsidRPr="00DE4A57">
        <w:rPr>
          <w:rFonts w:cs="Arial"/>
          <w:b w:val="0"/>
        </w:rPr>
        <w:t xml:space="preserve">, </w:t>
      </w:r>
      <w:r w:rsidR="00FA768A" w:rsidRPr="00994E3B">
        <w:rPr>
          <w:rFonts w:cs="Arial"/>
          <w:b w:val="0"/>
        </w:rPr>
        <w:t>fourteen</w:t>
      </w:r>
      <w:r w:rsidR="00FA768A" w:rsidRPr="00DE4A57">
        <w:rPr>
          <w:rFonts w:cs="Arial"/>
          <w:b w:val="0"/>
        </w:rPr>
        <w:t xml:space="preserve"> </w:t>
      </w:r>
      <w:r w:rsidRPr="00DE4A57">
        <w:rPr>
          <w:rFonts w:cs="Arial"/>
          <w:b w:val="0"/>
        </w:rPr>
        <w:t>sections</w:t>
      </w:r>
      <w:r w:rsidR="00AD7106">
        <w:rPr>
          <w:rFonts w:cs="Arial"/>
          <w:b w:val="0"/>
        </w:rPr>
        <w:t xml:space="preserve">, a list of acronyms, </w:t>
      </w:r>
      <w:r w:rsidR="00FF52AE">
        <w:rPr>
          <w:rFonts w:cs="Arial"/>
          <w:b w:val="0"/>
        </w:rPr>
        <w:t xml:space="preserve">a </w:t>
      </w:r>
      <w:r w:rsidR="00495BBC">
        <w:rPr>
          <w:rFonts w:cs="Arial"/>
          <w:b w:val="0"/>
        </w:rPr>
        <w:t>glossary</w:t>
      </w:r>
      <w:r w:rsidR="00FF52AE">
        <w:rPr>
          <w:rFonts w:cs="Arial"/>
          <w:b w:val="0"/>
        </w:rPr>
        <w:t>,</w:t>
      </w:r>
      <w:r w:rsidR="00495BBC">
        <w:rPr>
          <w:rFonts w:cs="Arial"/>
          <w:b w:val="0"/>
        </w:rPr>
        <w:t xml:space="preserve"> </w:t>
      </w:r>
      <w:r w:rsidRPr="00DE4A57">
        <w:rPr>
          <w:rFonts w:cs="Arial"/>
          <w:b w:val="0"/>
        </w:rPr>
        <w:t xml:space="preserve">and </w:t>
      </w:r>
      <w:r w:rsidR="00E36D1A">
        <w:rPr>
          <w:rFonts w:cs="Arial"/>
          <w:b w:val="0"/>
        </w:rPr>
        <w:t xml:space="preserve">an </w:t>
      </w:r>
      <w:r w:rsidR="00AD7106">
        <w:rPr>
          <w:rFonts w:cs="Arial"/>
          <w:b w:val="0"/>
        </w:rPr>
        <w:t>appendi</w:t>
      </w:r>
      <w:r w:rsidR="00E36D1A">
        <w:rPr>
          <w:rFonts w:cs="Arial"/>
          <w:b w:val="0"/>
        </w:rPr>
        <w:t>x</w:t>
      </w:r>
      <w:r w:rsidRPr="00597FB6">
        <w:rPr>
          <w:rFonts w:cs="Arial"/>
          <w:b w:val="0"/>
        </w:rPr>
        <w:t xml:space="preserve">. </w:t>
      </w:r>
    </w:p>
    <w:p w14:paraId="29A4B691" w14:textId="77777777" w:rsidR="00380D16" w:rsidRPr="00380D16" w:rsidRDefault="00380D16" w:rsidP="00BF471F">
      <w:pPr>
        <w:pStyle w:val="BodyText"/>
        <w:keepNext/>
        <w:keepLines/>
        <w:spacing w:before="0" w:after="0" w:line="240" w:lineRule="auto"/>
        <w:ind w:left="360"/>
        <w:rPr>
          <w:rFonts w:cs="Arial"/>
          <w:b w:val="0"/>
        </w:rPr>
      </w:pPr>
    </w:p>
    <w:p w14:paraId="2EFC9BD0" w14:textId="47C91A11" w:rsidR="008B47D9" w:rsidRDefault="00597FB6" w:rsidP="00BF471F">
      <w:pPr>
        <w:pStyle w:val="BodyText"/>
        <w:spacing w:before="0" w:after="0" w:line="240" w:lineRule="auto"/>
        <w:rPr>
          <w:rFonts w:cs="Arial"/>
          <w:b w:val="0"/>
        </w:rPr>
      </w:pPr>
      <w:r w:rsidRPr="00597FB6">
        <w:rPr>
          <w:rFonts w:cs="Arial"/>
          <w:b w:val="0"/>
        </w:rPr>
        <w:t>The Executive Summary highlights EPE</w:t>
      </w:r>
      <w:r w:rsidR="00CD6042">
        <w:rPr>
          <w:rFonts w:cs="Arial"/>
          <w:b w:val="0"/>
        </w:rPr>
        <w:t>'</w:t>
      </w:r>
      <w:r w:rsidRPr="00597FB6">
        <w:rPr>
          <w:rFonts w:cs="Arial"/>
          <w:b w:val="0"/>
        </w:rPr>
        <w:t xml:space="preserve">s reported achievements for </w:t>
      </w:r>
      <w:r w:rsidR="00A77816">
        <w:rPr>
          <w:rFonts w:cs="Arial"/>
          <w:b w:val="0"/>
        </w:rPr>
        <w:t>201</w:t>
      </w:r>
      <w:r w:rsidR="00EE0A1A">
        <w:rPr>
          <w:rFonts w:cs="Arial"/>
          <w:b w:val="0"/>
        </w:rPr>
        <w:t>7</w:t>
      </w:r>
      <w:r w:rsidR="000A073C" w:rsidRPr="00597FB6">
        <w:rPr>
          <w:rFonts w:cs="Arial"/>
          <w:b w:val="0"/>
        </w:rPr>
        <w:t xml:space="preserve"> </w:t>
      </w:r>
      <w:r w:rsidRPr="00597FB6">
        <w:rPr>
          <w:rFonts w:cs="Arial"/>
          <w:b w:val="0"/>
        </w:rPr>
        <w:t>and EPE</w:t>
      </w:r>
      <w:r w:rsidR="00CD6042">
        <w:rPr>
          <w:rFonts w:cs="Arial"/>
          <w:b w:val="0"/>
        </w:rPr>
        <w:t>'</w:t>
      </w:r>
      <w:r w:rsidRPr="00597FB6">
        <w:rPr>
          <w:rFonts w:cs="Arial"/>
          <w:b w:val="0"/>
        </w:rPr>
        <w:t xml:space="preserve">s plans for achieving its </w:t>
      </w:r>
      <w:r w:rsidR="00A77816">
        <w:rPr>
          <w:rFonts w:cs="Arial"/>
          <w:b w:val="0"/>
        </w:rPr>
        <w:t>201</w:t>
      </w:r>
      <w:r w:rsidR="00EE0A1A">
        <w:rPr>
          <w:rFonts w:cs="Arial"/>
          <w:b w:val="0"/>
        </w:rPr>
        <w:t>8</w:t>
      </w:r>
      <w:r w:rsidR="000A073C" w:rsidRPr="00597FB6">
        <w:rPr>
          <w:rFonts w:cs="Arial"/>
          <w:b w:val="0"/>
        </w:rPr>
        <w:t xml:space="preserve"> </w:t>
      </w:r>
      <w:r w:rsidRPr="00597FB6">
        <w:rPr>
          <w:rFonts w:cs="Arial"/>
          <w:b w:val="0"/>
        </w:rPr>
        <w:t xml:space="preserve">and </w:t>
      </w:r>
      <w:r w:rsidR="00A77816">
        <w:rPr>
          <w:rFonts w:cs="Arial"/>
          <w:b w:val="0"/>
        </w:rPr>
        <w:t>201</w:t>
      </w:r>
      <w:r w:rsidR="00EE0A1A">
        <w:rPr>
          <w:rFonts w:cs="Arial"/>
          <w:b w:val="0"/>
        </w:rPr>
        <w:t>9</w:t>
      </w:r>
      <w:r w:rsidR="000A073C" w:rsidRPr="00597FB6">
        <w:rPr>
          <w:rFonts w:cs="Arial"/>
          <w:b w:val="0"/>
        </w:rPr>
        <w:t xml:space="preserve"> </w:t>
      </w:r>
      <w:r w:rsidRPr="00597FB6">
        <w:rPr>
          <w:rFonts w:cs="Arial"/>
          <w:b w:val="0"/>
        </w:rPr>
        <w:t>projected energy efficiency savings.</w:t>
      </w:r>
    </w:p>
    <w:p w14:paraId="2BF24AD0" w14:textId="77777777" w:rsidR="00380D16" w:rsidRPr="00380D16" w:rsidRDefault="00380D16" w:rsidP="00911709">
      <w:pPr>
        <w:pStyle w:val="BodyText"/>
        <w:spacing w:before="0" w:after="0" w:line="240" w:lineRule="auto"/>
        <w:rPr>
          <w:rFonts w:cs="Arial"/>
          <w:b w:val="0"/>
        </w:rPr>
      </w:pPr>
    </w:p>
    <w:p w14:paraId="092CD5A6" w14:textId="77777777" w:rsidR="008B47D9" w:rsidRDefault="00597FB6" w:rsidP="00911709">
      <w:pPr>
        <w:pStyle w:val="BodyText"/>
        <w:spacing w:before="0" w:after="0" w:line="240" w:lineRule="auto"/>
        <w:ind w:firstLine="360"/>
        <w:rPr>
          <w:rFonts w:cs="Arial"/>
        </w:rPr>
      </w:pPr>
      <w:r w:rsidRPr="00597FB6">
        <w:rPr>
          <w:rFonts w:cs="Arial"/>
        </w:rPr>
        <w:t>Energy Efficiency Plan</w:t>
      </w:r>
    </w:p>
    <w:p w14:paraId="180CEABE" w14:textId="77777777" w:rsidR="00380D16" w:rsidRPr="00380D16" w:rsidRDefault="00380D16" w:rsidP="00911709">
      <w:pPr>
        <w:pStyle w:val="BodyText"/>
        <w:spacing w:before="0" w:after="0" w:line="240" w:lineRule="auto"/>
        <w:ind w:firstLine="360"/>
        <w:rPr>
          <w:rFonts w:cs="Arial"/>
        </w:rPr>
      </w:pPr>
    </w:p>
    <w:p w14:paraId="42963FA8" w14:textId="2350D96F" w:rsidR="008B47D9" w:rsidRPr="00D739C4" w:rsidRDefault="00597FB6" w:rsidP="007265D8">
      <w:pPr>
        <w:pStyle w:val="BodyText"/>
        <w:numPr>
          <w:ilvl w:val="1"/>
          <w:numId w:val="5"/>
        </w:numPr>
        <w:spacing w:before="0" w:after="0" w:line="240" w:lineRule="auto"/>
        <w:rPr>
          <w:rFonts w:cs="Arial"/>
          <w:b w:val="0"/>
        </w:rPr>
      </w:pPr>
      <w:r w:rsidRPr="00597FB6">
        <w:rPr>
          <w:rFonts w:cs="Arial"/>
          <w:b w:val="0"/>
        </w:rPr>
        <w:t>Section I describes EPE</w:t>
      </w:r>
      <w:r w:rsidR="00CD6042">
        <w:rPr>
          <w:rFonts w:cs="Arial"/>
          <w:b w:val="0"/>
        </w:rPr>
        <w:t>'</w:t>
      </w:r>
      <w:r w:rsidRPr="00597FB6">
        <w:rPr>
          <w:rFonts w:cs="Arial"/>
          <w:b w:val="0"/>
        </w:rPr>
        <w:t xml:space="preserve">s program portfolio. It details how each program will be implemented, discusses related informational and outreach activities, and </w:t>
      </w:r>
      <w:r w:rsidRPr="00D739C4">
        <w:rPr>
          <w:rFonts w:cs="Arial"/>
          <w:b w:val="0"/>
        </w:rPr>
        <w:t xml:space="preserve">provides an </w:t>
      </w:r>
      <w:r w:rsidR="00285627">
        <w:rPr>
          <w:rFonts w:cs="Arial"/>
          <w:b w:val="0"/>
        </w:rPr>
        <w:t>explanation of any discontinued program</w:t>
      </w:r>
      <w:r w:rsidR="00E36D1A">
        <w:rPr>
          <w:rFonts w:cs="Arial"/>
          <w:b w:val="0"/>
        </w:rPr>
        <w:t>(</w:t>
      </w:r>
      <w:r w:rsidR="00285627">
        <w:rPr>
          <w:rFonts w:cs="Arial"/>
          <w:b w:val="0"/>
        </w:rPr>
        <w:t>s</w:t>
      </w:r>
      <w:r w:rsidR="00E36D1A">
        <w:rPr>
          <w:rFonts w:cs="Arial"/>
          <w:b w:val="0"/>
        </w:rPr>
        <w:t>)</w:t>
      </w:r>
      <w:r w:rsidRPr="00D739C4">
        <w:rPr>
          <w:rFonts w:cs="Arial"/>
          <w:b w:val="0"/>
        </w:rPr>
        <w:t xml:space="preserve">.  </w:t>
      </w:r>
    </w:p>
    <w:p w14:paraId="1914F88F" w14:textId="77777777" w:rsidR="00380D16" w:rsidRPr="00380D16" w:rsidRDefault="00380D16" w:rsidP="00911709">
      <w:pPr>
        <w:pStyle w:val="BodyText"/>
        <w:spacing w:before="0" w:after="0" w:line="240" w:lineRule="auto"/>
        <w:ind w:left="360"/>
        <w:rPr>
          <w:rFonts w:cs="Arial"/>
          <w:b w:val="0"/>
        </w:rPr>
      </w:pPr>
    </w:p>
    <w:p w14:paraId="54904856" w14:textId="22C99BA0" w:rsidR="008B47D9" w:rsidRDefault="00597FB6" w:rsidP="007265D8">
      <w:pPr>
        <w:pStyle w:val="BodyText"/>
        <w:numPr>
          <w:ilvl w:val="1"/>
          <w:numId w:val="5"/>
        </w:numPr>
        <w:spacing w:before="0" w:after="0" w:line="240" w:lineRule="auto"/>
        <w:rPr>
          <w:rFonts w:cs="Arial"/>
          <w:b w:val="0"/>
        </w:rPr>
      </w:pPr>
      <w:r w:rsidRPr="00597FB6">
        <w:rPr>
          <w:rFonts w:cs="Arial"/>
          <w:b w:val="0"/>
        </w:rPr>
        <w:t>Section II explains EPE</w:t>
      </w:r>
      <w:r w:rsidR="00CD6042">
        <w:rPr>
          <w:rFonts w:cs="Arial"/>
          <w:b w:val="0"/>
        </w:rPr>
        <w:t>'</w:t>
      </w:r>
      <w:r w:rsidRPr="00597FB6">
        <w:rPr>
          <w:rFonts w:cs="Arial"/>
          <w:b w:val="0"/>
        </w:rPr>
        <w:t>s targeted customer classes, specifying the size of each class</w:t>
      </w:r>
      <w:r w:rsidR="00FB38AE">
        <w:rPr>
          <w:rFonts w:cs="Arial"/>
          <w:b w:val="0"/>
        </w:rPr>
        <w:t>,</w:t>
      </w:r>
      <w:r w:rsidRPr="00597FB6">
        <w:rPr>
          <w:rFonts w:cs="Arial"/>
          <w:b w:val="0"/>
        </w:rPr>
        <w:t xml:space="preserve"> and </w:t>
      </w:r>
      <w:r w:rsidRPr="00B32EF3">
        <w:rPr>
          <w:rFonts w:cs="Arial"/>
          <w:b w:val="0"/>
        </w:rPr>
        <w:t>the method for determining those</w:t>
      </w:r>
      <w:r w:rsidRPr="00597FB6">
        <w:rPr>
          <w:rFonts w:cs="Arial"/>
          <w:b w:val="0"/>
        </w:rPr>
        <w:t xml:space="preserve"> </w:t>
      </w:r>
      <w:r w:rsidR="0092519E">
        <w:rPr>
          <w:rFonts w:cs="Arial"/>
          <w:b w:val="0"/>
        </w:rPr>
        <w:t xml:space="preserve">class </w:t>
      </w:r>
      <w:r w:rsidRPr="00597FB6">
        <w:rPr>
          <w:rFonts w:cs="Arial"/>
          <w:b w:val="0"/>
        </w:rPr>
        <w:t>sizes.</w:t>
      </w:r>
    </w:p>
    <w:p w14:paraId="3E33E289" w14:textId="77777777" w:rsidR="00380D16" w:rsidRPr="00380D16" w:rsidRDefault="00380D16" w:rsidP="00911709">
      <w:pPr>
        <w:pStyle w:val="BodyText"/>
        <w:spacing w:before="0" w:after="0" w:line="240" w:lineRule="auto"/>
        <w:ind w:left="360"/>
        <w:rPr>
          <w:rFonts w:cs="Arial"/>
          <w:b w:val="0"/>
        </w:rPr>
      </w:pPr>
    </w:p>
    <w:p w14:paraId="67866CB2" w14:textId="77777777" w:rsidR="008B47D9" w:rsidRDefault="00597FB6" w:rsidP="007265D8">
      <w:pPr>
        <w:pStyle w:val="BodyText"/>
        <w:numPr>
          <w:ilvl w:val="1"/>
          <w:numId w:val="5"/>
        </w:numPr>
        <w:spacing w:before="0" w:after="0" w:line="240" w:lineRule="auto"/>
        <w:rPr>
          <w:rFonts w:cs="Arial"/>
          <w:b w:val="0"/>
        </w:rPr>
      </w:pPr>
      <w:r w:rsidRPr="00597FB6">
        <w:rPr>
          <w:rFonts w:cs="Arial"/>
          <w:b w:val="0"/>
        </w:rPr>
        <w:t>Section III presents EPE</w:t>
      </w:r>
      <w:r w:rsidR="00CD6042">
        <w:rPr>
          <w:rFonts w:cs="Arial"/>
          <w:b w:val="0"/>
        </w:rPr>
        <w:t>'</w:t>
      </w:r>
      <w:r w:rsidRPr="00597FB6">
        <w:rPr>
          <w:rFonts w:cs="Arial"/>
          <w:b w:val="0"/>
        </w:rPr>
        <w:t xml:space="preserve">s goal calculation and projected energy efficiency savings for the prescribed planning period by program for each customer class. </w:t>
      </w:r>
    </w:p>
    <w:p w14:paraId="2B04DB15" w14:textId="77777777" w:rsidR="00380D16" w:rsidRPr="00380D16" w:rsidRDefault="00380D16" w:rsidP="00911709">
      <w:pPr>
        <w:pStyle w:val="BodyText"/>
        <w:spacing w:before="0" w:after="0" w:line="240" w:lineRule="auto"/>
        <w:ind w:left="360"/>
        <w:rPr>
          <w:rFonts w:cs="Arial"/>
          <w:b w:val="0"/>
        </w:rPr>
      </w:pPr>
    </w:p>
    <w:p w14:paraId="7455761D" w14:textId="7245D59E" w:rsidR="008B47D9" w:rsidRDefault="00597FB6" w:rsidP="007265D8">
      <w:pPr>
        <w:pStyle w:val="BodyText"/>
        <w:numPr>
          <w:ilvl w:val="1"/>
          <w:numId w:val="5"/>
        </w:numPr>
        <w:spacing w:before="0" w:after="0" w:line="240" w:lineRule="auto"/>
        <w:rPr>
          <w:rFonts w:cs="Arial"/>
          <w:b w:val="0"/>
        </w:rPr>
      </w:pPr>
      <w:r w:rsidRPr="00597FB6">
        <w:rPr>
          <w:rFonts w:cs="Arial"/>
          <w:b w:val="0"/>
        </w:rPr>
        <w:t>Section IV describes EPE</w:t>
      </w:r>
      <w:r w:rsidR="00CD6042">
        <w:rPr>
          <w:rFonts w:cs="Arial"/>
          <w:b w:val="0"/>
        </w:rPr>
        <w:t>'</w:t>
      </w:r>
      <w:r w:rsidRPr="00597FB6">
        <w:rPr>
          <w:rFonts w:cs="Arial"/>
          <w:b w:val="0"/>
        </w:rPr>
        <w:t xml:space="preserve">s proposed energy efficiency budgets for </w:t>
      </w:r>
      <w:r w:rsidR="00A77816">
        <w:rPr>
          <w:rFonts w:cs="Arial"/>
          <w:b w:val="0"/>
        </w:rPr>
        <w:t>201</w:t>
      </w:r>
      <w:r w:rsidR="00EE0A1A">
        <w:rPr>
          <w:rFonts w:cs="Arial"/>
          <w:b w:val="0"/>
        </w:rPr>
        <w:t>8</w:t>
      </w:r>
      <w:r w:rsidR="000A073C">
        <w:rPr>
          <w:rFonts w:cs="Arial"/>
          <w:b w:val="0"/>
        </w:rPr>
        <w:t xml:space="preserve"> </w:t>
      </w:r>
      <w:r w:rsidR="00B775F3">
        <w:rPr>
          <w:rFonts w:cs="Arial"/>
          <w:b w:val="0"/>
        </w:rPr>
        <w:t xml:space="preserve">and </w:t>
      </w:r>
      <w:r w:rsidR="00A77816">
        <w:rPr>
          <w:rFonts w:cs="Arial"/>
          <w:b w:val="0"/>
        </w:rPr>
        <w:t>201</w:t>
      </w:r>
      <w:r w:rsidR="00EE0A1A">
        <w:rPr>
          <w:rFonts w:cs="Arial"/>
          <w:b w:val="0"/>
        </w:rPr>
        <w:t>9</w:t>
      </w:r>
      <w:r w:rsidR="000A073C" w:rsidRPr="00597FB6">
        <w:rPr>
          <w:rFonts w:cs="Arial"/>
          <w:b w:val="0"/>
        </w:rPr>
        <w:t xml:space="preserve"> </w:t>
      </w:r>
      <w:r w:rsidRPr="00597FB6">
        <w:rPr>
          <w:rFonts w:cs="Arial"/>
          <w:b w:val="0"/>
        </w:rPr>
        <w:t>by program for each customer class.</w:t>
      </w:r>
    </w:p>
    <w:p w14:paraId="0DA12D4D" w14:textId="77777777" w:rsidR="008B47D9" w:rsidRDefault="008B47D9" w:rsidP="00911709">
      <w:pPr>
        <w:pStyle w:val="BodyText"/>
        <w:spacing w:before="0" w:after="0" w:line="240" w:lineRule="auto"/>
        <w:ind w:left="720"/>
        <w:rPr>
          <w:rFonts w:cs="Arial"/>
          <w:b w:val="0"/>
        </w:rPr>
      </w:pPr>
    </w:p>
    <w:p w14:paraId="7B5392B3" w14:textId="77777777" w:rsidR="008B47D9" w:rsidRDefault="00597FB6" w:rsidP="00911709">
      <w:pPr>
        <w:pStyle w:val="BodyText"/>
        <w:spacing w:before="0" w:after="0" w:line="240" w:lineRule="auto"/>
        <w:ind w:left="360"/>
        <w:rPr>
          <w:rFonts w:cs="Arial"/>
        </w:rPr>
      </w:pPr>
      <w:r w:rsidRPr="00597FB6">
        <w:rPr>
          <w:rFonts w:cs="Arial"/>
        </w:rPr>
        <w:t>Energy Efficiency Report</w:t>
      </w:r>
    </w:p>
    <w:p w14:paraId="502FD1EA" w14:textId="77777777" w:rsidR="00380D16" w:rsidRPr="00380D16" w:rsidRDefault="00380D16" w:rsidP="00911709">
      <w:pPr>
        <w:pStyle w:val="BodyText"/>
        <w:spacing w:before="0" w:after="0" w:line="240" w:lineRule="auto"/>
        <w:ind w:left="360"/>
        <w:rPr>
          <w:rFonts w:cs="Arial"/>
        </w:rPr>
      </w:pPr>
    </w:p>
    <w:p w14:paraId="5594E5A2" w14:textId="177CC6D6" w:rsidR="008B47D9" w:rsidRDefault="00597FB6" w:rsidP="007265D8">
      <w:pPr>
        <w:pStyle w:val="BodyText"/>
        <w:numPr>
          <w:ilvl w:val="1"/>
          <w:numId w:val="5"/>
        </w:numPr>
        <w:spacing w:before="0" w:after="0" w:line="240" w:lineRule="auto"/>
        <w:rPr>
          <w:rFonts w:cs="Arial"/>
          <w:b w:val="0"/>
        </w:rPr>
      </w:pPr>
      <w:r w:rsidRPr="00597FB6">
        <w:rPr>
          <w:rFonts w:cs="Arial"/>
          <w:b w:val="0"/>
        </w:rPr>
        <w:t>Section V documents EPE</w:t>
      </w:r>
      <w:r w:rsidR="00CD6042">
        <w:rPr>
          <w:rFonts w:cs="Arial"/>
          <w:b w:val="0"/>
        </w:rPr>
        <w:t>'</w:t>
      </w:r>
      <w:r w:rsidRPr="00597FB6">
        <w:rPr>
          <w:rFonts w:cs="Arial"/>
          <w:b w:val="0"/>
        </w:rPr>
        <w:t xml:space="preserve">s </w:t>
      </w:r>
      <w:r w:rsidR="0092519E">
        <w:rPr>
          <w:rFonts w:cs="Arial"/>
          <w:b w:val="0"/>
        </w:rPr>
        <w:t xml:space="preserve">demand reduction goals for each of the previous five years </w:t>
      </w:r>
      <w:r w:rsidR="0092519E" w:rsidRPr="00597FB6">
        <w:rPr>
          <w:rFonts w:cs="Arial"/>
          <w:b w:val="0"/>
        </w:rPr>
        <w:t>(</w:t>
      </w:r>
      <w:r w:rsidR="00A77816">
        <w:rPr>
          <w:rFonts w:cs="Arial"/>
          <w:b w:val="0"/>
        </w:rPr>
        <w:t>201</w:t>
      </w:r>
      <w:r w:rsidR="00EE0A1A">
        <w:rPr>
          <w:rFonts w:cs="Arial"/>
          <w:b w:val="0"/>
        </w:rPr>
        <w:t>3</w:t>
      </w:r>
      <w:r w:rsidR="0092519E" w:rsidRPr="00597FB6">
        <w:rPr>
          <w:rFonts w:cs="Arial"/>
          <w:b w:val="0"/>
        </w:rPr>
        <w:t>-</w:t>
      </w:r>
      <w:r w:rsidR="00A77816">
        <w:rPr>
          <w:rFonts w:cs="Arial"/>
          <w:b w:val="0"/>
        </w:rPr>
        <w:t>201</w:t>
      </w:r>
      <w:r w:rsidR="00EE0A1A">
        <w:rPr>
          <w:rFonts w:cs="Arial"/>
          <w:b w:val="0"/>
        </w:rPr>
        <w:t>7</w:t>
      </w:r>
      <w:r w:rsidR="0092519E">
        <w:rPr>
          <w:rFonts w:cs="Arial"/>
          <w:b w:val="0"/>
        </w:rPr>
        <w:t xml:space="preserve">) and the </w:t>
      </w:r>
      <w:r w:rsidRPr="00597FB6">
        <w:rPr>
          <w:rFonts w:cs="Arial"/>
          <w:b w:val="0"/>
        </w:rPr>
        <w:t xml:space="preserve">actual </w:t>
      </w:r>
      <w:r w:rsidR="0092519E">
        <w:rPr>
          <w:rFonts w:cs="Arial"/>
          <w:b w:val="0"/>
        </w:rPr>
        <w:t xml:space="preserve">savings achieved for those years. </w:t>
      </w:r>
    </w:p>
    <w:p w14:paraId="4C3A59B5" w14:textId="77777777" w:rsidR="00380D16" w:rsidRPr="00380D16" w:rsidRDefault="00380D16" w:rsidP="00911709">
      <w:pPr>
        <w:pStyle w:val="BodyText"/>
        <w:spacing w:before="0" w:after="0" w:line="240" w:lineRule="auto"/>
        <w:ind w:left="360"/>
        <w:rPr>
          <w:rFonts w:cs="Arial"/>
          <w:b w:val="0"/>
        </w:rPr>
      </w:pPr>
    </w:p>
    <w:p w14:paraId="75905722" w14:textId="697434BD" w:rsidR="008B47D9" w:rsidRDefault="00597FB6" w:rsidP="007265D8">
      <w:pPr>
        <w:pStyle w:val="BodyText"/>
        <w:numPr>
          <w:ilvl w:val="1"/>
          <w:numId w:val="5"/>
        </w:numPr>
        <w:spacing w:before="0" w:after="0" w:line="240" w:lineRule="auto"/>
        <w:rPr>
          <w:rFonts w:cs="Arial"/>
          <w:b w:val="0"/>
        </w:rPr>
      </w:pPr>
      <w:r w:rsidRPr="00597FB6">
        <w:rPr>
          <w:rFonts w:cs="Arial"/>
          <w:b w:val="0"/>
        </w:rPr>
        <w:t>Section VI compares EPE</w:t>
      </w:r>
      <w:r w:rsidR="00CD6042">
        <w:rPr>
          <w:rFonts w:cs="Arial"/>
          <w:b w:val="0"/>
        </w:rPr>
        <w:t>'</w:t>
      </w:r>
      <w:r w:rsidRPr="00597FB6">
        <w:rPr>
          <w:rFonts w:cs="Arial"/>
          <w:b w:val="0"/>
        </w:rPr>
        <w:t xml:space="preserve">s projected energy and demand savings to its reported savings by program for calendar years </w:t>
      </w:r>
      <w:r w:rsidR="000770B8">
        <w:rPr>
          <w:rFonts w:cs="Arial"/>
          <w:b w:val="0"/>
        </w:rPr>
        <w:t>201</w:t>
      </w:r>
      <w:r w:rsidR="00216E59">
        <w:rPr>
          <w:rFonts w:cs="Arial"/>
          <w:b w:val="0"/>
        </w:rPr>
        <w:t>6</w:t>
      </w:r>
      <w:r w:rsidR="000A073C" w:rsidRPr="00597FB6">
        <w:rPr>
          <w:rFonts w:cs="Arial"/>
          <w:b w:val="0"/>
        </w:rPr>
        <w:t xml:space="preserve"> </w:t>
      </w:r>
      <w:r w:rsidRPr="00597FB6">
        <w:rPr>
          <w:rFonts w:cs="Arial"/>
          <w:b w:val="0"/>
        </w:rPr>
        <w:t xml:space="preserve">and </w:t>
      </w:r>
      <w:r w:rsidR="000770B8">
        <w:rPr>
          <w:rFonts w:cs="Arial"/>
          <w:b w:val="0"/>
        </w:rPr>
        <w:t>201</w:t>
      </w:r>
      <w:r w:rsidR="00216E59">
        <w:rPr>
          <w:rFonts w:cs="Arial"/>
          <w:b w:val="0"/>
        </w:rPr>
        <w:t>7</w:t>
      </w:r>
      <w:r w:rsidRPr="00597FB6">
        <w:rPr>
          <w:rFonts w:cs="Arial"/>
          <w:b w:val="0"/>
        </w:rPr>
        <w:t>.</w:t>
      </w:r>
    </w:p>
    <w:p w14:paraId="3D6BA026" w14:textId="77777777" w:rsidR="00380D16" w:rsidRPr="00380D16" w:rsidRDefault="00380D16" w:rsidP="00911709">
      <w:pPr>
        <w:pStyle w:val="BodyText"/>
        <w:spacing w:before="0" w:after="0" w:line="240" w:lineRule="auto"/>
        <w:ind w:left="360"/>
        <w:rPr>
          <w:rFonts w:cs="Arial"/>
          <w:b w:val="0"/>
        </w:rPr>
      </w:pPr>
    </w:p>
    <w:p w14:paraId="64EBA1C0" w14:textId="78E488AB" w:rsidR="008B47D9" w:rsidRDefault="00597FB6" w:rsidP="007265D8">
      <w:pPr>
        <w:pStyle w:val="BodyText"/>
        <w:numPr>
          <w:ilvl w:val="1"/>
          <w:numId w:val="5"/>
        </w:numPr>
        <w:spacing w:before="0" w:after="0" w:line="240" w:lineRule="auto"/>
        <w:rPr>
          <w:rFonts w:cs="Arial"/>
          <w:b w:val="0"/>
        </w:rPr>
      </w:pPr>
      <w:r w:rsidRPr="00597FB6">
        <w:rPr>
          <w:rFonts w:cs="Arial"/>
          <w:b w:val="0"/>
        </w:rPr>
        <w:t>Section VII details EPE</w:t>
      </w:r>
      <w:r w:rsidR="00CD6042">
        <w:rPr>
          <w:rFonts w:cs="Arial"/>
          <w:b w:val="0"/>
        </w:rPr>
        <w:t>'</w:t>
      </w:r>
      <w:r w:rsidRPr="00597FB6">
        <w:rPr>
          <w:rFonts w:cs="Arial"/>
          <w:b w:val="0"/>
        </w:rPr>
        <w:t>s incentive and administration expenditures for the previous five years (</w:t>
      </w:r>
      <w:r w:rsidR="000770B8">
        <w:rPr>
          <w:rFonts w:cs="Arial"/>
          <w:b w:val="0"/>
        </w:rPr>
        <w:t>201</w:t>
      </w:r>
      <w:r w:rsidR="00021F69">
        <w:rPr>
          <w:rFonts w:cs="Arial"/>
          <w:b w:val="0"/>
        </w:rPr>
        <w:t>3</w:t>
      </w:r>
      <w:r w:rsidRPr="00597FB6">
        <w:rPr>
          <w:rFonts w:cs="Arial"/>
          <w:b w:val="0"/>
        </w:rPr>
        <w:t>-</w:t>
      </w:r>
      <w:r w:rsidR="000770B8">
        <w:rPr>
          <w:rFonts w:cs="Arial"/>
          <w:b w:val="0"/>
        </w:rPr>
        <w:t>201</w:t>
      </w:r>
      <w:r w:rsidR="00021F69">
        <w:rPr>
          <w:rFonts w:cs="Arial"/>
          <w:b w:val="0"/>
        </w:rPr>
        <w:t>7</w:t>
      </w:r>
      <w:r w:rsidRPr="00597FB6">
        <w:rPr>
          <w:rFonts w:cs="Arial"/>
          <w:b w:val="0"/>
        </w:rPr>
        <w:t xml:space="preserve">) </w:t>
      </w:r>
      <w:r w:rsidR="00AD7106">
        <w:rPr>
          <w:rFonts w:cs="Arial"/>
          <w:b w:val="0"/>
        </w:rPr>
        <w:t xml:space="preserve">detailed </w:t>
      </w:r>
      <w:r w:rsidRPr="00597FB6">
        <w:rPr>
          <w:rFonts w:cs="Arial"/>
          <w:b w:val="0"/>
        </w:rPr>
        <w:t>by program for each customer class.</w:t>
      </w:r>
    </w:p>
    <w:p w14:paraId="3EA93BAF" w14:textId="77777777" w:rsidR="00380D16" w:rsidRPr="00380D16" w:rsidRDefault="00380D16" w:rsidP="00911709">
      <w:pPr>
        <w:pStyle w:val="BodyText"/>
        <w:spacing w:before="0" w:after="0" w:line="240" w:lineRule="auto"/>
        <w:ind w:left="360"/>
        <w:rPr>
          <w:rFonts w:cs="Arial"/>
          <w:b w:val="0"/>
        </w:rPr>
      </w:pPr>
    </w:p>
    <w:p w14:paraId="7D6388DB" w14:textId="725BFF08" w:rsidR="008B47D9" w:rsidRDefault="00597FB6" w:rsidP="007265D8">
      <w:pPr>
        <w:pStyle w:val="BodyText"/>
        <w:numPr>
          <w:ilvl w:val="1"/>
          <w:numId w:val="5"/>
        </w:numPr>
        <w:spacing w:before="0" w:after="0" w:line="240" w:lineRule="auto"/>
        <w:rPr>
          <w:rFonts w:cs="Arial"/>
          <w:b w:val="0"/>
        </w:rPr>
      </w:pPr>
      <w:r w:rsidRPr="00597FB6">
        <w:rPr>
          <w:rFonts w:cs="Arial"/>
          <w:b w:val="0"/>
        </w:rPr>
        <w:t>Section VIII compares EPE</w:t>
      </w:r>
      <w:r w:rsidR="00CD6042">
        <w:rPr>
          <w:rFonts w:cs="Arial"/>
          <w:b w:val="0"/>
        </w:rPr>
        <w:t>'</w:t>
      </w:r>
      <w:r w:rsidRPr="00597FB6">
        <w:rPr>
          <w:rFonts w:cs="Arial"/>
          <w:b w:val="0"/>
        </w:rPr>
        <w:t xml:space="preserve">s actual and budgeted program costs for </w:t>
      </w:r>
      <w:r w:rsidR="000770B8">
        <w:rPr>
          <w:rFonts w:cs="Arial"/>
          <w:b w:val="0"/>
        </w:rPr>
        <w:t>201</w:t>
      </w:r>
      <w:r w:rsidR="008649AB">
        <w:rPr>
          <w:rFonts w:cs="Arial"/>
          <w:b w:val="0"/>
        </w:rPr>
        <w:t>7</w:t>
      </w:r>
      <w:r w:rsidR="000A073C" w:rsidRPr="00597FB6">
        <w:rPr>
          <w:rFonts w:cs="Arial"/>
          <w:b w:val="0"/>
        </w:rPr>
        <w:t xml:space="preserve"> </w:t>
      </w:r>
      <w:r w:rsidR="00AC32CE">
        <w:rPr>
          <w:rFonts w:cs="Arial"/>
          <w:b w:val="0"/>
        </w:rPr>
        <w:t xml:space="preserve">detailed </w:t>
      </w:r>
      <w:r w:rsidRPr="00597FB6">
        <w:rPr>
          <w:rFonts w:cs="Arial"/>
          <w:b w:val="0"/>
        </w:rPr>
        <w:t xml:space="preserve">by program for each customer class. </w:t>
      </w:r>
      <w:r w:rsidR="00995E3A">
        <w:rPr>
          <w:rFonts w:cs="Arial"/>
          <w:b w:val="0"/>
        </w:rPr>
        <w:t>It also provides an explanation of EPE’s administrative costs and</w:t>
      </w:r>
      <w:r w:rsidRPr="00597FB6">
        <w:rPr>
          <w:rFonts w:cs="Arial"/>
          <w:b w:val="0"/>
        </w:rPr>
        <w:t xml:space="preserve"> any </w:t>
      </w:r>
      <w:r w:rsidR="00995E3A">
        <w:rPr>
          <w:rFonts w:cs="Arial"/>
          <w:b w:val="0"/>
        </w:rPr>
        <w:t xml:space="preserve">expenditure </w:t>
      </w:r>
      <w:r w:rsidR="00962D26">
        <w:rPr>
          <w:rFonts w:cs="Arial"/>
          <w:b w:val="0"/>
        </w:rPr>
        <w:t>deviation</w:t>
      </w:r>
      <w:r w:rsidRPr="00597FB6">
        <w:rPr>
          <w:rFonts w:cs="Arial"/>
          <w:b w:val="0"/>
        </w:rPr>
        <w:t xml:space="preserve"> of more than 10</w:t>
      </w:r>
      <w:r w:rsidR="00AC32CE">
        <w:rPr>
          <w:rFonts w:cs="Arial"/>
          <w:b w:val="0"/>
        </w:rPr>
        <w:t>%</w:t>
      </w:r>
      <w:r w:rsidRPr="00597FB6">
        <w:rPr>
          <w:rFonts w:cs="Arial"/>
          <w:b w:val="0"/>
        </w:rPr>
        <w:t xml:space="preserve"> </w:t>
      </w:r>
      <w:r w:rsidR="00AC32CE">
        <w:rPr>
          <w:rFonts w:cs="Arial"/>
          <w:b w:val="0"/>
        </w:rPr>
        <w:t xml:space="preserve">from </w:t>
      </w:r>
      <w:r w:rsidR="00995E3A">
        <w:rPr>
          <w:rFonts w:cs="Arial"/>
          <w:b w:val="0"/>
        </w:rPr>
        <w:t>the</w:t>
      </w:r>
      <w:r w:rsidRPr="00597FB6">
        <w:rPr>
          <w:rFonts w:cs="Arial"/>
          <w:b w:val="0"/>
        </w:rPr>
        <w:t xml:space="preserve"> </w:t>
      </w:r>
      <w:r w:rsidR="00995E3A">
        <w:rPr>
          <w:rFonts w:cs="Arial"/>
          <w:b w:val="0"/>
        </w:rPr>
        <w:t>anticipated</w:t>
      </w:r>
      <w:r w:rsidRPr="0026560C">
        <w:rPr>
          <w:rFonts w:cs="Arial"/>
          <w:b w:val="0"/>
        </w:rPr>
        <w:t xml:space="preserve"> program budget.</w:t>
      </w:r>
    </w:p>
    <w:p w14:paraId="6E86230E" w14:textId="77777777" w:rsidR="00380D16" w:rsidRPr="00380D16" w:rsidRDefault="00380D16" w:rsidP="00911709">
      <w:pPr>
        <w:pStyle w:val="BodyText"/>
        <w:spacing w:before="0" w:after="0" w:line="240" w:lineRule="auto"/>
        <w:ind w:left="360"/>
        <w:rPr>
          <w:rFonts w:cs="Arial"/>
          <w:b w:val="0"/>
        </w:rPr>
      </w:pPr>
    </w:p>
    <w:p w14:paraId="2AFBC6B3" w14:textId="097A0E46" w:rsidR="008B47D9" w:rsidRDefault="00597FB6" w:rsidP="007265D8">
      <w:pPr>
        <w:pStyle w:val="BodyText"/>
        <w:numPr>
          <w:ilvl w:val="1"/>
          <w:numId w:val="5"/>
        </w:numPr>
        <w:spacing w:before="0" w:after="0" w:line="240" w:lineRule="auto"/>
        <w:rPr>
          <w:rFonts w:cs="Arial"/>
          <w:b w:val="0"/>
        </w:rPr>
      </w:pPr>
      <w:r w:rsidRPr="00597FB6">
        <w:rPr>
          <w:rFonts w:cs="Arial"/>
          <w:b w:val="0"/>
        </w:rPr>
        <w:t>Section IX describes the results from EPE</w:t>
      </w:r>
      <w:r w:rsidR="00CD6042">
        <w:rPr>
          <w:rFonts w:cs="Arial"/>
          <w:b w:val="0"/>
        </w:rPr>
        <w:t>'</w:t>
      </w:r>
      <w:r w:rsidRPr="00597FB6">
        <w:rPr>
          <w:rFonts w:cs="Arial"/>
          <w:b w:val="0"/>
        </w:rPr>
        <w:t xml:space="preserve">s </w:t>
      </w:r>
      <w:r w:rsidR="00C468E1" w:rsidRPr="00597FB6">
        <w:rPr>
          <w:rFonts w:cs="Arial"/>
          <w:b w:val="0"/>
        </w:rPr>
        <w:t>MTP</w:t>
      </w:r>
      <w:r w:rsidR="00C468E1">
        <w:rPr>
          <w:rFonts w:cs="Arial"/>
          <w:b w:val="0"/>
        </w:rPr>
        <w:t>s</w:t>
      </w:r>
      <w:r w:rsidRPr="00597FB6">
        <w:rPr>
          <w:rFonts w:cs="Arial"/>
          <w:b w:val="0"/>
        </w:rPr>
        <w:t>.</w:t>
      </w:r>
    </w:p>
    <w:p w14:paraId="18028930" w14:textId="77777777" w:rsidR="00380D16" w:rsidRPr="00380D16" w:rsidRDefault="00380D16" w:rsidP="00911709">
      <w:pPr>
        <w:pStyle w:val="BodyText"/>
        <w:spacing w:before="0" w:after="0" w:line="240" w:lineRule="auto"/>
        <w:ind w:left="360"/>
        <w:rPr>
          <w:rFonts w:cs="Arial"/>
          <w:b w:val="0"/>
        </w:rPr>
      </w:pPr>
    </w:p>
    <w:p w14:paraId="3455A6D8" w14:textId="77777777" w:rsidR="008B47D9" w:rsidRDefault="00597FB6" w:rsidP="007265D8">
      <w:pPr>
        <w:pStyle w:val="BodyText"/>
        <w:numPr>
          <w:ilvl w:val="1"/>
          <w:numId w:val="5"/>
        </w:numPr>
        <w:spacing w:before="0" w:after="0" w:line="240" w:lineRule="auto"/>
        <w:rPr>
          <w:rFonts w:cs="Arial"/>
          <w:b w:val="0"/>
        </w:rPr>
      </w:pPr>
      <w:r w:rsidRPr="00597FB6">
        <w:rPr>
          <w:rFonts w:cs="Arial"/>
          <w:b w:val="0"/>
        </w:rPr>
        <w:t>Section X documents EPE</w:t>
      </w:r>
      <w:r w:rsidR="00CD6042">
        <w:rPr>
          <w:rFonts w:cs="Arial"/>
          <w:b w:val="0"/>
        </w:rPr>
        <w:t>'</w:t>
      </w:r>
      <w:r w:rsidRPr="00597FB6">
        <w:rPr>
          <w:rFonts w:cs="Arial"/>
          <w:b w:val="0"/>
        </w:rPr>
        <w:t>s most recent Energy Efficiency Cost Recovery Factor (EECRF).</w:t>
      </w:r>
    </w:p>
    <w:p w14:paraId="54EE6CFB" w14:textId="77777777" w:rsidR="007B7252" w:rsidRPr="00380D16" w:rsidRDefault="007B7252" w:rsidP="00911709">
      <w:pPr>
        <w:pStyle w:val="BodyText"/>
        <w:spacing w:before="0" w:after="0" w:line="240" w:lineRule="auto"/>
        <w:ind w:left="360"/>
        <w:rPr>
          <w:rFonts w:cs="Arial"/>
          <w:b w:val="0"/>
        </w:rPr>
      </w:pPr>
    </w:p>
    <w:p w14:paraId="59D7C215" w14:textId="4E53B9EF" w:rsidR="007B7252" w:rsidRDefault="007B7252" w:rsidP="007265D8">
      <w:pPr>
        <w:pStyle w:val="BodyText"/>
        <w:numPr>
          <w:ilvl w:val="1"/>
          <w:numId w:val="5"/>
        </w:numPr>
        <w:spacing w:before="0" w:after="0" w:line="240" w:lineRule="auto"/>
        <w:jc w:val="left"/>
        <w:rPr>
          <w:rFonts w:cs="Arial"/>
          <w:b w:val="0"/>
        </w:rPr>
      </w:pPr>
      <w:r>
        <w:rPr>
          <w:rFonts w:cs="Arial"/>
          <w:b w:val="0"/>
        </w:rPr>
        <w:t xml:space="preserve">Section XI </w:t>
      </w:r>
      <w:r w:rsidR="000925F7">
        <w:rPr>
          <w:rFonts w:cs="Arial"/>
          <w:b w:val="0"/>
        </w:rPr>
        <w:t xml:space="preserve">reflects EPE’s revenue collection through the </w:t>
      </w:r>
      <w:r w:rsidR="000129B8">
        <w:rPr>
          <w:rFonts w:cs="Arial"/>
          <w:b w:val="0"/>
        </w:rPr>
        <w:t>201</w:t>
      </w:r>
      <w:r w:rsidR="001D6F1D">
        <w:rPr>
          <w:rFonts w:cs="Arial"/>
          <w:b w:val="0"/>
        </w:rPr>
        <w:t>7</w:t>
      </w:r>
      <w:r w:rsidR="000A073C">
        <w:rPr>
          <w:rFonts w:cs="Arial"/>
          <w:b w:val="0"/>
        </w:rPr>
        <w:t xml:space="preserve"> </w:t>
      </w:r>
      <w:r w:rsidR="000925F7">
        <w:rPr>
          <w:rFonts w:cs="Arial"/>
          <w:b w:val="0"/>
        </w:rPr>
        <w:t>EECRF.</w:t>
      </w:r>
      <w:r w:rsidR="000925F7">
        <w:rPr>
          <w:rFonts w:cs="Arial"/>
          <w:b w:val="0"/>
        </w:rPr>
        <w:br/>
      </w:r>
    </w:p>
    <w:p w14:paraId="453D84DB" w14:textId="7D10F28B" w:rsidR="007B7252" w:rsidRDefault="000925F7" w:rsidP="007265D8">
      <w:pPr>
        <w:pStyle w:val="BodyText"/>
        <w:numPr>
          <w:ilvl w:val="1"/>
          <w:numId w:val="5"/>
        </w:numPr>
        <w:spacing w:before="0" w:after="0" w:line="240" w:lineRule="auto"/>
        <w:rPr>
          <w:rFonts w:cs="Arial"/>
          <w:b w:val="0"/>
        </w:rPr>
      </w:pPr>
      <w:r>
        <w:rPr>
          <w:rFonts w:cs="Arial"/>
          <w:b w:val="0"/>
        </w:rPr>
        <w:t xml:space="preserve">Section XII </w:t>
      </w:r>
      <w:r w:rsidR="00ED448E">
        <w:rPr>
          <w:rFonts w:cs="Arial"/>
          <w:b w:val="0"/>
        </w:rPr>
        <w:t>details</w:t>
      </w:r>
      <w:r>
        <w:rPr>
          <w:rFonts w:cs="Arial"/>
          <w:b w:val="0"/>
        </w:rPr>
        <w:t xml:space="preserve"> the over/under recovery of EPE’s energy efficiency program costs</w:t>
      </w:r>
      <w:r w:rsidR="003168C1">
        <w:rPr>
          <w:rFonts w:cs="Arial"/>
          <w:b w:val="0"/>
        </w:rPr>
        <w:t xml:space="preserve"> for </w:t>
      </w:r>
      <w:r w:rsidR="000770B8">
        <w:rPr>
          <w:rFonts w:cs="Arial"/>
          <w:b w:val="0"/>
        </w:rPr>
        <w:t>201</w:t>
      </w:r>
      <w:r w:rsidR="001D6F1D">
        <w:rPr>
          <w:rFonts w:cs="Arial"/>
          <w:b w:val="0"/>
        </w:rPr>
        <w:t>7</w:t>
      </w:r>
      <w:r>
        <w:rPr>
          <w:rFonts w:cs="Arial"/>
          <w:b w:val="0"/>
        </w:rPr>
        <w:t>.</w:t>
      </w:r>
    </w:p>
    <w:p w14:paraId="641EAE9B" w14:textId="77777777" w:rsidR="00380D16" w:rsidRPr="00380D16" w:rsidRDefault="00380D16" w:rsidP="00911709">
      <w:pPr>
        <w:pStyle w:val="BodyText"/>
        <w:spacing w:before="0" w:after="0" w:line="240" w:lineRule="auto"/>
        <w:ind w:left="360"/>
        <w:rPr>
          <w:rFonts w:cs="Arial"/>
          <w:b w:val="0"/>
        </w:rPr>
      </w:pPr>
    </w:p>
    <w:p w14:paraId="081D637A" w14:textId="77777777" w:rsidR="008B47D9" w:rsidRDefault="00597FB6" w:rsidP="007265D8">
      <w:pPr>
        <w:pStyle w:val="BodyText"/>
        <w:numPr>
          <w:ilvl w:val="1"/>
          <w:numId w:val="5"/>
        </w:numPr>
        <w:spacing w:before="0" w:after="0" w:line="240" w:lineRule="auto"/>
        <w:rPr>
          <w:rFonts w:cs="Arial"/>
          <w:b w:val="0"/>
        </w:rPr>
      </w:pPr>
      <w:r w:rsidRPr="00597FB6">
        <w:rPr>
          <w:rFonts w:cs="Arial"/>
          <w:b w:val="0"/>
        </w:rPr>
        <w:t>Section XI</w:t>
      </w:r>
      <w:r w:rsidR="000925F7">
        <w:rPr>
          <w:rFonts w:cs="Arial"/>
          <w:b w:val="0"/>
        </w:rPr>
        <w:t>II</w:t>
      </w:r>
      <w:r w:rsidRPr="00597FB6">
        <w:rPr>
          <w:rFonts w:cs="Arial"/>
          <w:b w:val="0"/>
        </w:rPr>
        <w:t xml:space="preserve"> reports the number of customers served and the savings relative to the three counties served by </w:t>
      </w:r>
      <w:r w:rsidR="00FA768A">
        <w:rPr>
          <w:rFonts w:cs="Arial"/>
          <w:b w:val="0"/>
        </w:rPr>
        <w:t>EPE</w:t>
      </w:r>
      <w:r w:rsidRPr="00597FB6">
        <w:rPr>
          <w:rFonts w:cs="Arial"/>
          <w:b w:val="0"/>
        </w:rPr>
        <w:t xml:space="preserve"> in Texas.</w:t>
      </w:r>
    </w:p>
    <w:p w14:paraId="6A7DF9C3" w14:textId="77777777" w:rsidR="00380D16" w:rsidRPr="00380D16" w:rsidRDefault="00380D16" w:rsidP="00911709">
      <w:pPr>
        <w:pStyle w:val="BodyText"/>
        <w:spacing w:before="0" w:after="0" w:line="240" w:lineRule="auto"/>
        <w:ind w:left="360"/>
        <w:rPr>
          <w:rFonts w:cs="Arial"/>
          <w:b w:val="0"/>
        </w:rPr>
      </w:pPr>
    </w:p>
    <w:p w14:paraId="7DE3A1C0" w14:textId="77777777" w:rsidR="008B47D9" w:rsidRDefault="00597FB6" w:rsidP="007265D8">
      <w:pPr>
        <w:pStyle w:val="BodyText"/>
        <w:numPr>
          <w:ilvl w:val="1"/>
          <w:numId w:val="5"/>
        </w:numPr>
        <w:spacing w:before="0" w:after="0" w:line="240" w:lineRule="auto"/>
        <w:rPr>
          <w:rFonts w:cs="Arial"/>
          <w:b w:val="0"/>
        </w:rPr>
      </w:pPr>
      <w:r w:rsidRPr="00597FB6">
        <w:rPr>
          <w:rFonts w:cs="Arial"/>
          <w:b w:val="0"/>
        </w:rPr>
        <w:t>Section XI</w:t>
      </w:r>
      <w:r w:rsidR="00FA768A">
        <w:rPr>
          <w:rFonts w:cs="Arial"/>
          <w:b w:val="0"/>
        </w:rPr>
        <w:t>V</w:t>
      </w:r>
      <w:r w:rsidRPr="00597FB6">
        <w:rPr>
          <w:rFonts w:cs="Arial"/>
          <w:b w:val="0"/>
        </w:rPr>
        <w:t xml:space="preserve"> details the </w:t>
      </w:r>
      <w:r w:rsidR="00C468E1">
        <w:rPr>
          <w:rFonts w:cs="Arial"/>
          <w:b w:val="0"/>
        </w:rPr>
        <w:t>performance incentive c</w:t>
      </w:r>
      <w:r w:rsidRPr="00597FB6">
        <w:rPr>
          <w:rFonts w:cs="Arial"/>
          <w:b w:val="0"/>
        </w:rPr>
        <w:t>alculation</w:t>
      </w:r>
      <w:r w:rsidR="00B47CB5">
        <w:rPr>
          <w:rFonts w:cs="Arial"/>
          <w:b w:val="0"/>
        </w:rPr>
        <w:t>.</w:t>
      </w:r>
    </w:p>
    <w:p w14:paraId="20C142E1" w14:textId="77777777" w:rsidR="00B47CB5" w:rsidRDefault="00B47CB5" w:rsidP="00911709">
      <w:pPr>
        <w:pStyle w:val="BodyText"/>
        <w:spacing w:before="0" w:after="0" w:line="240" w:lineRule="auto"/>
        <w:rPr>
          <w:rFonts w:cs="Arial"/>
          <w:b w:val="0"/>
        </w:rPr>
      </w:pPr>
    </w:p>
    <w:p w14:paraId="24315350" w14:textId="42C261A1" w:rsidR="00D1309F" w:rsidRPr="0031786E" w:rsidRDefault="00AC32CE" w:rsidP="00D1309F">
      <w:pPr>
        <w:pStyle w:val="BodyText"/>
        <w:keepNext/>
        <w:keepLines/>
        <w:spacing w:before="0" w:after="0" w:line="240" w:lineRule="auto"/>
        <w:ind w:left="360"/>
        <w:rPr>
          <w:rFonts w:cs="Arial"/>
          <w:b w:val="0"/>
        </w:rPr>
      </w:pPr>
      <w:r>
        <w:rPr>
          <w:rFonts w:cs="Arial"/>
        </w:rPr>
        <w:t xml:space="preserve">Acronyms </w:t>
      </w:r>
      <w:r w:rsidRPr="00253A50">
        <w:rPr>
          <w:rFonts w:cs="Arial"/>
          <w:b w:val="0"/>
        </w:rPr>
        <w:t xml:space="preserve">– a list of </w:t>
      </w:r>
      <w:r w:rsidR="002451A1">
        <w:rPr>
          <w:rFonts w:cs="Arial"/>
          <w:b w:val="0"/>
        </w:rPr>
        <w:t xml:space="preserve">abbreviations </w:t>
      </w:r>
      <w:r w:rsidRPr="00253A50">
        <w:rPr>
          <w:rFonts w:cs="Arial"/>
          <w:b w:val="0"/>
        </w:rPr>
        <w:t>for common terms used within this document</w:t>
      </w:r>
      <w:r w:rsidR="00735688">
        <w:rPr>
          <w:rFonts w:cs="Arial"/>
          <w:b w:val="0"/>
        </w:rPr>
        <w:t>.</w:t>
      </w:r>
    </w:p>
    <w:p w14:paraId="05CB984E" w14:textId="77777777" w:rsidR="00AC32CE" w:rsidRDefault="00AC32CE" w:rsidP="0031786E">
      <w:pPr>
        <w:pStyle w:val="BodyText"/>
        <w:keepNext/>
        <w:keepLines/>
        <w:spacing w:before="0" w:after="0" w:line="240" w:lineRule="auto"/>
        <w:ind w:left="360"/>
        <w:rPr>
          <w:rFonts w:cs="Arial"/>
        </w:rPr>
      </w:pPr>
    </w:p>
    <w:p w14:paraId="6E9EADF1" w14:textId="77777777" w:rsidR="008B47D9" w:rsidRDefault="00597FB6" w:rsidP="00911709">
      <w:pPr>
        <w:pStyle w:val="BodyText"/>
        <w:keepNext/>
        <w:keepLines/>
        <w:spacing w:before="0" w:after="0" w:line="240" w:lineRule="auto"/>
        <w:ind w:left="360"/>
        <w:rPr>
          <w:rFonts w:cs="Arial"/>
          <w:b w:val="0"/>
        </w:rPr>
      </w:pPr>
      <w:r w:rsidRPr="00597FB6">
        <w:rPr>
          <w:rFonts w:cs="Arial"/>
        </w:rPr>
        <w:t>Appendi</w:t>
      </w:r>
      <w:r w:rsidR="002027BC">
        <w:rPr>
          <w:rFonts w:cs="Arial"/>
        </w:rPr>
        <w:t xml:space="preserve">x A </w:t>
      </w:r>
      <w:r w:rsidR="002027BC" w:rsidRPr="002027BC">
        <w:rPr>
          <w:rFonts w:cs="Arial"/>
          <w:b w:val="0"/>
        </w:rPr>
        <w:t xml:space="preserve">– </w:t>
      </w:r>
      <w:r w:rsidRPr="00597FB6">
        <w:rPr>
          <w:rFonts w:cs="Arial"/>
          <w:b w:val="0"/>
        </w:rPr>
        <w:t>Reported kW and kWh Savings by county for each program</w:t>
      </w:r>
      <w:r w:rsidR="00735688">
        <w:rPr>
          <w:rFonts w:cs="Arial"/>
          <w:b w:val="0"/>
        </w:rPr>
        <w:t>.</w:t>
      </w:r>
    </w:p>
    <w:p w14:paraId="5883ECF0" w14:textId="77777777" w:rsidR="00310A8C" w:rsidRDefault="00310A8C" w:rsidP="00911709">
      <w:pPr>
        <w:pStyle w:val="BodyText"/>
        <w:keepNext/>
        <w:keepLines/>
        <w:spacing w:before="0" w:after="0" w:line="240" w:lineRule="auto"/>
        <w:ind w:left="360"/>
        <w:rPr>
          <w:rFonts w:cs="Arial"/>
          <w:b w:val="0"/>
        </w:rPr>
      </w:pPr>
    </w:p>
    <w:p w14:paraId="339497BC" w14:textId="77777777" w:rsidR="00310A8C" w:rsidRDefault="00310A8C" w:rsidP="00911709">
      <w:pPr>
        <w:pStyle w:val="BodyText"/>
        <w:keepNext/>
        <w:keepLines/>
        <w:spacing w:before="0" w:after="0" w:line="240" w:lineRule="auto"/>
        <w:ind w:left="360"/>
        <w:rPr>
          <w:rFonts w:cs="Arial"/>
          <w:b w:val="0"/>
        </w:rPr>
      </w:pPr>
    </w:p>
    <w:p w14:paraId="668DCACE" w14:textId="77777777" w:rsidR="00380D16" w:rsidRPr="00380D16" w:rsidRDefault="00380D16" w:rsidP="00911709">
      <w:pPr>
        <w:pStyle w:val="BodyText"/>
        <w:tabs>
          <w:tab w:val="num" w:pos="900"/>
        </w:tabs>
        <w:spacing w:before="0" w:after="0" w:line="240" w:lineRule="auto"/>
        <w:ind w:left="900" w:hanging="540"/>
        <w:rPr>
          <w:rFonts w:cs="Arial"/>
          <w:b w:val="0"/>
        </w:rPr>
      </w:pPr>
    </w:p>
    <w:p w14:paraId="68AA33EC" w14:textId="77777777" w:rsidR="00380D16" w:rsidRPr="00380D16" w:rsidRDefault="00380D16" w:rsidP="00911709">
      <w:pPr>
        <w:pStyle w:val="BodyText"/>
        <w:tabs>
          <w:tab w:val="num" w:pos="900"/>
        </w:tabs>
        <w:spacing w:before="0" w:after="0" w:line="240" w:lineRule="auto"/>
        <w:ind w:left="900" w:hanging="540"/>
        <w:rPr>
          <w:rFonts w:cs="Arial"/>
          <w:b w:val="0"/>
        </w:rPr>
      </w:pPr>
    </w:p>
    <w:p w14:paraId="6496E4EF" w14:textId="77777777" w:rsidR="00380D16" w:rsidRPr="00380D16" w:rsidRDefault="00380D16" w:rsidP="00911709">
      <w:pPr>
        <w:pStyle w:val="BodyText"/>
        <w:tabs>
          <w:tab w:val="num" w:pos="900"/>
        </w:tabs>
        <w:spacing w:before="0" w:after="0" w:line="240" w:lineRule="auto"/>
        <w:ind w:left="900" w:hanging="540"/>
        <w:rPr>
          <w:rFonts w:cs="Arial"/>
          <w:b w:val="0"/>
        </w:rPr>
      </w:pPr>
    </w:p>
    <w:p w14:paraId="0BD99CDD" w14:textId="77777777" w:rsidR="00B47E25" w:rsidRPr="00380D16" w:rsidRDefault="00597FB6" w:rsidP="00911709">
      <w:pPr>
        <w:pStyle w:val="Heading5"/>
        <w:spacing w:before="0" w:after="0"/>
        <w:rPr>
          <w:rFonts w:cs="Arial"/>
          <w:spacing w:val="0"/>
        </w:rPr>
      </w:pPr>
      <w:r w:rsidRPr="00597FB6">
        <w:rPr>
          <w:rFonts w:cs="Arial"/>
          <w:color w:val="FF0000"/>
          <w:sz w:val="16"/>
          <w:szCs w:val="16"/>
        </w:rPr>
        <w:br w:type="page"/>
      </w:r>
      <w:bookmarkStart w:id="3" w:name="_Toc509500748"/>
      <w:r w:rsidRPr="00597FB6">
        <w:rPr>
          <w:rFonts w:cs="Arial"/>
          <w:spacing w:val="0"/>
        </w:rPr>
        <w:lastRenderedPageBreak/>
        <w:t>Executive Summary</w:t>
      </w:r>
      <w:bookmarkEnd w:id="3"/>
    </w:p>
    <w:p w14:paraId="36637D50" w14:textId="77777777" w:rsidR="00380D16" w:rsidRPr="00844971" w:rsidRDefault="00380D16" w:rsidP="00911709">
      <w:pPr>
        <w:pStyle w:val="BodyText"/>
        <w:spacing w:before="0" w:after="0" w:line="240" w:lineRule="auto"/>
        <w:rPr>
          <w:rFonts w:cs="Arial"/>
          <w:b w:val="0"/>
          <w:sz w:val="14"/>
        </w:rPr>
      </w:pPr>
    </w:p>
    <w:p w14:paraId="21CB344A" w14:textId="1F0F418A" w:rsidR="00285627" w:rsidRDefault="00A14C44" w:rsidP="00911709">
      <w:pPr>
        <w:pStyle w:val="BodyText"/>
        <w:spacing w:before="0" w:after="0" w:line="240" w:lineRule="auto"/>
        <w:rPr>
          <w:rFonts w:cs="Arial"/>
          <w:b w:val="0"/>
        </w:rPr>
      </w:pPr>
      <w:r w:rsidRPr="00597FB6">
        <w:rPr>
          <w:rFonts w:cs="Arial"/>
          <w:b w:val="0"/>
        </w:rPr>
        <w:t>The Energy Efficiency Plan portion of this EEPR details EPE</w:t>
      </w:r>
      <w:r>
        <w:rPr>
          <w:rFonts w:cs="Arial"/>
          <w:b w:val="0"/>
        </w:rPr>
        <w:t>'</w:t>
      </w:r>
      <w:r w:rsidRPr="00597FB6">
        <w:rPr>
          <w:rFonts w:cs="Arial"/>
          <w:b w:val="0"/>
        </w:rPr>
        <w:t xml:space="preserve">s plan to meet the energy efficiency </w:t>
      </w:r>
      <w:r w:rsidR="000103E8">
        <w:rPr>
          <w:rFonts w:cs="Arial"/>
          <w:b w:val="0"/>
        </w:rPr>
        <w:t>demand reduction</w:t>
      </w:r>
      <w:r w:rsidR="000103E8" w:rsidRPr="00597FB6">
        <w:rPr>
          <w:rFonts w:cs="Arial"/>
          <w:b w:val="0"/>
        </w:rPr>
        <w:t xml:space="preserve"> </w:t>
      </w:r>
      <w:r w:rsidRPr="00597FB6">
        <w:rPr>
          <w:rFonts w:cs="Arial"/>
          <w:b w:val="0"/>
        </w:rPr>
        <w:t xml:space="preserve">goal for </w:t>
      </w:r>
      <w:r w:rsidR="000129B8">
        <w:rPr>
          <w:rFonts w:cs="Arial"/>
          <w:b w:val="0"/>
        </w:rPr>
        <w:t>201</w:t>
      </w:r>
      <w:r w:rsidR="000A645C">
        <w:rPr>
          <w:rFonts w:cs="Arial"/>
          <w:b w:val="0"/>
        </w:rPr>
        <w:t>8</w:t>
      </w:r>
      <w:r w:rsidR="00501836">
        <w:rPr>
          <w:rFonts w:cs="Arial"/>
          <w:b w:val="0"/>
        </w:rPr>
        <w:t>,</w:t>
      </w:r>
      <w:r w:rsidR="000A073C" w:rsidRPr="00597FB6">
        <w:rPr>
          <w:rFonts w:cs="Arial"/>
          <w:b w:val="0"/>
        </w:rPr>
        <w:t xml:space="preserve"> </w:t>
      </w:r>
      <w:r w:rsidRPr="00597FB6">
        <w:rPr>
          <w:rFonts w:cs="Arial"/>
          <w:b w:val="0"/>
        </w:rPr>
        <w:t xml:space="preserve">as established pursuant to </w:t>
      </w:r>
      <w:r w:rsidR="00B366F2">
        <w:rPr>
          <w:rFonts w:cs="Arial"/>
          <w:b w:val="0"/>
        </w:rPr>
        <w:t>16 TAC</w:t>
      </w:r>
      <w:r>
        <w:rPr>
          <w:rFonts w:cs="Arial"/>
          <w:b w:val="0"/>
        </w:rPr>
        <w:t> </w:t>
      </w:r>
      <w:r w:rsidR="00B366F2" w:rsidRPr="00597FB6">
        <w:rPr>
          <w:rFonts w:cs="Arial"/>
          <w:b w:val="0"/>
        </w:rPr>
        <w:t>§</w:t>
      </w:r>
      <w:r w:rsidRPr="00597FB6">
        <w:rPr>
          <w:rFonts w:cs="Arial"/>
          <w:b w:val="0"/>
        </w:rPr>
        <w:t>25.181(e)(2)</w:t>
      </w:r>
      <w:r w:rsidR="003178D7">
        <w:rPr>
          <w:rFonts w:cs="Arial"/>
          <w:b w:val="0"/>
        </w:rPr>
        <w:t xml:space="preserve">. </w:t>
      </w:r>
      <w:r>
        <w:rPr>
          <w:rFonts w:cs="Arial"/>
          <w:b w:val="0"/>
        </w:rPr>
        <w:t xml:space="preserve"> </w:t>
      </w:r>
      <w:r w:rsidR="003178D7">
        <w:rPr>
          <w:rFonts w:cs="Arial"/>
          <w:b w:val="0"/>
        </w:rPr>
        <w:t>T</w:t>
      </w:r>
      <w:r w:rsidR="003403C8">
        <w:rPr>
          <w:rFonts w:cs="Arial"/>
          <w:b w:val="0"/>
        </w:rPr>
        <w:t>he Final O</w:t>
      </w:r>
      <w:r w:rsidR="003178D7" w:rsidRPr="00597FB6">
        <w:rPr>
          <w:rFonts w:cs="Arial"/>
          <w:b w:val="0"/>
        </w:rPr>
        <w:t xml:space="preserve">rder </w:t>
      </w:r>
      <w:r w:rsidR="003178D7" w:rsidRPr="007F0ED7">
        <w:rPr>
          <w:rFonts w:cs="Arial"/>
          <w:b w:val="0"/>
        </w:rPr>
        <w:t xml:space="preserve">of </w:t>
      </w:r>
      <w:r w:rsidR="003178D7" w:rsidRPr="009F60EE">
        <w:rPr>
          <w:rFonts w:cs="Arial"/>
          <w:b w:val="0"/>
        </w:rPr>
        <w:t>Docket No. </w:t>
      </w:r>
      <w:r w:rsidR="009F60EE">
        <w:rPr>
          <w:rFonts w:cs="Arial"/>
          <w:b w:val="0"/>
        </w:rPr>
        <w:t>47125</w:t>
      </w:r>
      <w:r w:rsidR="003178D7" w:rsidRPr="00C94646">
        <w:rPr>
          <w:rStyle w:val="FootnoteReference"/>
          <w:rFonts w:cs="Arial"/>
          <w:b w:val="0"/>
        </w:rPr>
        <w:footnoteReference w:id="1"/>
      </w:r>
      <w:r w:rsidR="003178D7" w:rsidRPr="00C94646">
        <w:rPr>
          <w:rFonts w:cs="Arial"/>
          <w:b w:val="0"/>
        </w:rPr>
        <w:t xml:space="preserve"> issued on</w:t>
      </w:r>
      <w:r w:rsidR="00310A8C" w:rsidRPr="00C94646">
        <w:rPr>
          <w:rFonts w:cs="Arial"/>
        </w:rPr>
        <w:t xml:space="preserve"> </w:t>
      </w:r>
      <w:r w:rsidR="009F60EE">
        <w:rPr>
          <w:rFonts w:cs="Arial"/>
          <w:b w:val="0"/>
        </w:rPr>
        <w:t>February</w:t>
      </w:r>
      <w:r w:rsidR="00DA124E">
        <w:rPr>
          <w:rFonts w:cs="Arial"/>
          <w:b w:val="0"/>
        </w:rPr>
        <w:t xml:space="preserve"> 15</w:t>
      </w:r>
      <w:r w:rsidR="009F60EE">
        <w:rPr>
          <w:rFonts w:cs="Arial"/>
          <w:b w:val="0"/>
        </w:rPr>
        <w:t>,</w:t>
      </w:r>
      <w:r w:rsidR="00940DF2">
        <w:rPr>
          <w:rFonts w:cs="Arial"/>
          <w:b w:val="0"/>
        </w:rPr>
        <w:t xml:space="preserve"> </w:t>
      </w:r>
      <w:r w:rsidR="009F60EE">
        <w:rPr>
          <w:rFonts w:cs="Arial"/>
          <w:b w:val="0"/>
        </w:rPr>
        <w:t>2018</w:t>
      </w:r>
      <w:r w:rsidR="003178D7" w:rsidRPr="00C94646">
        <w:rPr>
          <w:rFonts w:cs="Arial"/>
          <w:b w:val="0"/>
        </w:rPr>
        <w:t>,</w:t>
      </w:r>
      <w:r w:rsidRPr="00C94646">
        <w:rPr>
          <w:rFonts w:cs="Arial"/>
          <w:b w:val="0"/>
        </w:rPr>
        <w:t xml:space="preserve"> established</w:t>
      </w:r>
      <w:r w:rsidR="00AC2C8A" w:rsidRPr="00C94646">
        <w:rPr>
          <w:rFonts w:cs="Arial"/>
          <w:b w:val="0"/>
        </w:rPr>
        <w:t xml:space="preserve"> the</w:t>
      </w:r>
      <w:r w:rsidRPr="00C94646">
        <w:rPr>
          <w:rFonts w:cs="Arial"/>
          <w:b w:val="0"/>
        </w:rPr>
        <w:t xml:space="preserve"> </w:t>
      </w:r>
      <w:r w:rsidR="00AC2C8A" w:rsidRPr="00C94646">
        <w:rPr>
          <w:rFonts w:cs="Arial"/>
          <w:b w:val="0"/>
        </w:rPr>
        <w:t xml:space="preserve">EECRF rates </w:t>
      </w:r>
      <w:r w:rsidRPr="00C94646">
        <w:rPr>
          <w:rFonts w:cs="Arial"/>
          <w:b w:val="0"/>
        </w:rPr>
        <w:t xml:space="preserve">applicable to EPE for </w:t>
      </w:r>
      <w:r w:rsidR="000770B8" w:rsidRPr="00C94646">
        <w:rPr>
          <w:rFonts w:cs="Arial"/>
          <w:b w:val="0"/>
        </w:rPr>
        <w:t>201</w:t>
      </w:r>
      <w:r w:rsidR="000A645C">
        <w:rPr>
          <w:rFonts w:cs="Arial"/>
          <w:b w:val="0"/>
        </w:rPr>
        <w:t>8</w:t>
      </w:r>
      <w:r w:rsidRPr="00C94646">
        <w:rPr>
          <w:rFonts w:cs="Arial"/>
          <w:b w:val="0"/>
        </w:rPr>
        <w:t xml:space="preserve">.  </w:t>
      </w:r>
      <w:r w:rsidR="00AC2C8A" w:rsidRPr="00C94646">
        <w:rPr>
          <w:rFonts w:cs="Arial"/>
          <w:b w:val="0"/>
        </w:rPr>
        <w:t>T</w:t>
      </w:r>
      <w:r w:rsidRPr="00C94646">
        <w:rPr>
          <w:rFonts w:cs="Arial"/>
          <w:b w:val="0"/>
        </w:rPr>
        <w:t xml:space="preserve">he order </w:t>
      </w:r>
      <w:r w:rsidR="00AC2C8A">
        <w:rPr>
          <w:rFonts w:cs="Arial"/>
          <w:b w:val="0"/>
        </w:rPr>
        <w:t xml:space="preserve">also </w:t>
      </w:r>
      <w:r w:rsidR="003178D7">
        <w:rPr>
          <w:rFonts w:cs="Arial"/>
          <w:b w:val="0"/>
        </w:rPr>
        <w:t>left in place</w:t>
      </w:r>
      <w:r w:rsidR="003178D7" w:rsidRPr="00597FB6">
        <w:rPr>
          <w:rFonts w:cs="Arial"/>
          <w:b w:val="0"/>
        </w:rPr>
        <w:t xml:space="preserve"> </w:t>
      </w:r>
      <w:r w:rsidRPr="00597FB6">
        <w:rPr>
          <w:rFonts w:cs="Arial"/>
          <w:b w:val="0"/>
        </w:rPr>
        <w:t xml:space="preserve">the same </w:t>
      </w:r>
      <w:r w:rsidR="00AC2C8A">
        <w:rPr>
          <w:rFonts w:cs="Arial"/>
          <w:b w:val="0"/>
        </w:rPr>
        <w:t xml:space="preserve">demand </w:t>
      </w:r>
      <w:r w:rsidR="000103E8">
        <w:rPr>
          <w:rFonts w:cs="Arial"/>
          <w:b w:val="0"/>
        </w:rPr>
        <w:t xml:space="preserve">reduction </w:t>
      </w:r>
      <w:r>
        <w:rPr>
          <w:rFonts w:cs="Arial"/>
          <w:b w:val="0"/>
        </w:rPr>
        <w:t>goal</w:t>
      </w:r>
      <w:r w:rsidRPr="00597FB6">
        <w:rPr>
          <w:rFonts w:cs="Arial"/>
          <w:b w:val="0"/>
        </w:rPr>
        <w:t xml:space="preserve"> </w:t>
      </w:r>
      <w:r w:rsidR="00A151DA">
        <w:rPr>
          <w:rFonts w:cs="Arial"/>
          <w:b w:val="0"/>
        </w:rPr>
        <w:t xml:space="preserve">as EPE had in </w:t>
      </w:r>
      <w:r w:rsidR="000770B8">
        <w:rPr>
          <w:rFonts w:cs="Arial"/>
          <w:b w:val="0"/>
        </w:rPr>
        <w:t>201</w:t>
      </w:r>
      <w:r w:rsidR="00C5549A">
        <w:rPr>
          <w:rFonts w:cs="Arial"/>
          <w:b w:val="0"/>
        </w:rPr>
        <w:t>7</w:t>
      </w:r>
      <w:r w:rsidR="000A073C">
        <w:rPr>
          <w:rFonts w:cs="Arial"/>
          <w:b w:val="0"/>
        </w:rPr>
        <w:t xml:space="preserve"> </w:t>
      </w:r>
      <w:r w:rsidR="00AC2C8A">
        <w:rPr>
          <w:rFonts w:cs="Arial"/>
          <w:b w:val="0"/>
        </w:rPr>
        <w:t xml:space="preserve">for the </w:t>
      </w:r>
      <w:r w:rsidR="000770B8">
        <w:rPr>
          <w:rFonts w:cs="Arial"/>
          <w:b w:val="0"/>
        </w:rPr>
        <w:t>201</w:t>
      </w:r>
      <w:r w:rsidR="00C5549A">
        <w:rPr>
          <w:rFonts w:cs="Arial"/>
          <w:b w:val="0"/>
        </w:rPr>
        <w:t>8</w:t>
      </w:r>
      <w:r w:rsidR="000A073C">
        <w:rPr>
          <w:rFonts w:cs="Arial"/>
          <w:b w:val="0"/>
        </w:rPr>
        <w:t xml:space="preserve"> </w:t>
      </w:r>
      <w:r w:rsidRPr="00597FB6">
        <w:rPr>
          <w:rFonts w:cs="Arial"/>
          <w:b w:val="0"/>
        </w:rPr>
        <w:t>energy efficiency programs</w:t>
      </w:r>
      <w:r w:rsidR="0076788F" w:rsidRPr="00E73E8F">
        <w:rPr>
          <w:rFonts w:cs="Arial"/>
          <w:b w:val="0"/>
        </w:rPr>
        <w:t xml:space="preserve">. </w:t>
      </w:r>
      <w:r w:rsidR="00AC2C8A">
        <w:rPr>
          <w:rFonts w:cs="Arial"/>
          <w:b w:val="0"/>
        </w:rPr>
        <w:t xml:space="preserve">This </w:t>
      </w:r>
      <w:r w:rsidRPr="00597FB6">
        <w:rPr>
          <w:rFonts w:cs="Arial"/>
          <w:b w:val="0"/>
        </w:rPr>
        <w:t xml:space="preserve">goal </w:t>
      </w:r>
      <w:r w:rsidR="0076788F">
        <w:rPr>
          <w:rFonts w:cs="Arial"/>
          <w:b w:val="0"/>
        </w:rPr>
        <w:t xml:space="preserve">was </w:t>
      </w:r>
      <w:r w:rsidRPr="00597FB6">
        <w:rPr>
          <w:rFonts w:cs="Arial"/>
          <w:b w:val="0"/>
        </w:rPr>
        <w:t>11.16 MW</w:t>
      </w:r>
      <w:r w:rsidR="000103E8">
        <w:rPr>
          <w:rFonts w:cs="Arial"/>
          <w:b w:val="0"/>
        </w:rPr>
        <w:t>,</w:t>
      </w:r>
      <w:r w:rsidRPr="00597FB6">
        <w:rPr>
          <w:rFonts w:cs="Arial"/>
          <w:b w:val="0"/>
        </w:rPr>
        <w:t xml:space="preserve"> </w:t>
      </w:r>
      <w:r w:rsidR="00A151DA">
        <w:rPr>
          <w:rFonts w:cs="Arial"/>
          <w:b w:val="0"/>
        </w:rPr>
        <w:t>which</w:t>
      </w:r>
      <w:r w:rsidR="00EB641B" w:rsidRPr="00E73E8F">
        <w:rPr>
          <w:rFonts w:cs="Arial"/>
          <w:b w:val="0"/>
        </w:rPr>
        <w:t xml:space="preserve"> </w:t>
      </w:r>
      <w:r w:rsidR="00A151DA">
        <w:rPr>
          <w:rFonts w:cs="Arial"/>
          <w:b w:val="0"/>
        </w:rPr>
        <w:t>is</w:t>
      </w:r>
      <w:r w:rsidR="00A5192A">
        <w:rPr>
          <w:rFonts w:cs="Arial"/>
          <w:b w:val="0"/>
        </w:rPr>
        <w:t xml:space="preserve"> greater than four-tenths of one percent of </w:t>
      </w:r>
      <w:r w:rsidR="00253BE6">
        <w:rPr>
          <w:rFonts w:cs="Arial"/>
          <w:b w:val="0"/>
        </w:rPr>
        <w:t>EPE’s average</w:t>
      </w:r>
      <w:r w:rsidR="00AA2BB7">
        <w:rPr>
          <w:rFonts w:cs="Arial"/>
          <w:b w:val="0"/>
        </w:rPr>
        <w:t xml:space="preserve"> </w:t>
      </w:r>
      <w:r w:rsidR="00A5192A">
        <w:rPr>
          <w:rFonts w:cs="Arial"/>
          <w:b w:val="0"/>
        </w:rPr>
        <w:t>weather</w:t>
      </w:r>
      <w:r w:rsidR="00A5192A">
        <w:rPr>
          <w:rFonts w:cs="Arial"/>
          <w:b w:val="0"/>
        </w:rPr>
        <w:noBreakHyphen/>
        <w:t>adjusted peak demand</w:t>
      </w:r>
      <w:r w:rsidR="00AA2BB7">
        <w:rPr>
          <w:rFonts w:cs="Arial"/>
          <w:b w:val="0"/>
        </w:rPr>
        <w:t xml:space="preserve"> at meter for </w:t>
      </w:r>
      <w:r w:rsidR="00F4348E">
        <w:rPr>
          <w:rFonts w:cs="Arial"/>
          <w:b w:val="0"/>
        </w:rPr>
        <w:t>201</w:t>
      </w:r>
      <w:r w:rsidR="00C5549A">
        <w:rPr>
          <w:rFonts w:cs="Arial"/>
          <w:b w:val="0"/>
        </w:rPr>
        <w:t>2</w:t>
      </w:r>
      <w:r w:rsidR="00AA2BB7">
        <w:rPr>
          <w:rFonts w:cs="Arial"/>
          <w:b w:val="0"/>
        </w:rPr>
        <w:t xml:space="preserve"> through </w:t>
      </w:r>
      <w:r w:rsidR="00F4348E">
        <w:rPr>
          <w:rFonts w:cs="Arial"/>
          <w:b w:val="0"/>
        </w:rPr>
        <w:t>201</w:t>
      </w:r>
      <w:r w:rsidR="00C5549A">
        <w:rPr>
          <w:rFonts w:cs="Arial"/>
          <w:b w:val="0"/>
        </w:rPr>
        <w:t>6</w:t>
      </w:r>
      <w:r w:rsidR="00A5192A">
        <w:rPr>
          <w:rFonts w:cs="Arial"/>
          <w:b w:val="0"/>
        </w:rPr>
        <w:t>.</w:t>
      </w:r>
      <w:r w:rsidR="00F1518B">
        <w:rPr>
          <w:rFonts w:cs="Arial"/>
          <w:b w:val="0"/>
        </w:rPr>
        <w:t xml:space="preserve"> Since </w:t>
      </w:r>
      <w:r w:rsidR="00F1518B" w:rsidRPr="00C16CFC">
        <w:rPr>
          <w:rFonts w:cs="Arial"/>
          <w:b w:val="0"/>
        </w:rPr>
        <w:t>EPE</w:t>
      </w:r>
      <w:r w:rsidR="00F1518B">
        <w:rPr>
          <w:rFonts w:cs="Arial"/>
          <w:b w:val="0"/>
        </w:rPr>
        <w:t xml:space="preserve"> has reached a demand reduction goal of greater than four</w:t>
      </w:r>
      <w:r w:rsidR="0031786E">
        <w:rPr>
          <w:rFonts w:cs="Arial"/>
          <w:b w:val="0"/>
        </w:rPr>
        <w:t>-</w:t>
      </w:r>
      <w:r w:rsidR="00F1518B">
        <w:rPr>
          <w:rFonts w:cs="Arial"/>
          <w:b w:val="0"/>
        </w:rPr>
        <w:t>tenths of 1</w:t>
      </w:r>
      <w:r w:rsidR="00330D22">
        <w:rPr>
          <w:rFonts w:cs="Arial"/>
          <w:b w:val="0"/>
        </w:rPr>
        <w:t xml:space="preserve"> </w:t>
      </w:r>
      <w:r w:rsidR="00307E6F">
        <w:rPr>
          <w:rFonts w:cs="Arial"/>
          <w:b w:val="0"/>
        </w:rPr>
        <w:t>percent</w:t>
      </w:r>
      <w:r w:rsidR="00F1518B">
        <w:rPr>
          <w:rFonts w:cs="Arial"/>
          <w:b w:val="0"/>
        </w:rPr>
        <w:t xml:space="preserve"> of its summer weather-adjusted peak demand and in </w:t>
      </w:r>
      <w:r w:rsidR="00285627" w:rsidRPr="00C16CFC">
        <w:rPr>
          <w:rFonts w:cs="Arial"/>
          <w:b w:val="0"/>
        </w:rPr>
        <w:t xml:space="preserve">accordance with </w:t>
      </w:r>
      <w:r w:rsidR="00285627">
        <w:rPr>
          <w:rFonts w:cs="Arial"/>
          <w:b w:val="0"/>
        </w:rPr>
        <w:t>16 TAC</w:t>
      </w:r>
      <w:r w:rsidR="00285627" w:rsidRPr="00C16CFC">
        <w:rPr>
          <w:rFonts w:cs="Arial"/>
          <w:b w:val="0"/>
        </w:rPr>
        <w:t xml:space="preserve"> </w:t>
      </w:r>
      <w:r w:rsidR="00285627" w:rsidRPr="00597FB6">
        <w:rPr>
          <w:rFonts w:cs="Arial"/>
          <w:b w:val="0"/>
        </w:rPr>
        <w:t>§</w:t>
      </w:r>
      <w:r w:rsidR="00285627" w:rsidRPr="00C16CFC">
        <w:rPr>
          <w:rFonts w:cs="Arial"/>
          <w:b w:val="0"/>
        </w:rPr>
        <w:t>25.181(e)(1)(</w:t>
      </w:r>
      <w:r w:rsidR="00285627">
        <w:rPr>
          <w:rFonts w:cs="Arial"/>
          <w:b w:val="0"/>
        </w:rPr>
        <w:t>E</w:t>
      </w:r>
      <w:r w:rsidR="00285627" w:rsidRPr="00C16CFC">
        <w:rPr>
          <w:rFonts w:cs="Arial"/>
          <w:b w:val="0"/>
        </w:rPr>
        <w:t xml:space="preserve">), </w:t>
      </w:r>
      <w:r w:rsidR="00F1518B">
        <w:rPr>
          <w:rFonts w:cs="Arial"/>
          <w:b w:val="0"/>
        </w:rPr>
        <w:t xml:space="preserve">EPE’s </w:t>
      </w:r>
      <w:r w:rsidR="000770B8">
        <w:rPr>
          <w:rFonts w:cs="Arial"/>
          <w:b w:val="0"/>
        </w:rPr>
        <w:t>201</w:t>
      </w:r>
      <w:r w:rsidR="00C5549A">
        <w:rPr>
          <w:rFonts w:cs="Arial"/>
          <w:b w:val="0"/>
        </w:rPr>
        <w:t>9</w:t>
      </w:r>
      <w:r w:rsidR="00285627">
        <w:rPr>
          <w:rFonts w:cs="Arial"/>
          <w:b w:val="0"/>
        </w:rPr>
        <w:t xml:space="preserve"> demand reduction goal </w:t>
      </w:r>
      <w:r w:rsidR="0031786E">
        <w:rPr>
          <w:rFonts w:cs="Arial"/>
          <w:b w:val="0"/>
        </w:rPr>
        <w:t>should</w:t>
      </w:r>
      <w:r w:rsidR="00F4348E">
        <w:rPr>
          <w:rFonts w:cs="Arial"/>
          <w:b w:val="0"/>
        </w:rPr>
        <w:t xml:space="preserve"> </w:t>
      </w:r>
      <w:r w:rsidR="00F1518B">
        <w:rPr>
          <w:rFonts w:cs="Arial"/>
          <w:b w:val="0"/>
        </w:rPr>
        <w:t xml:space="preserve">remain at </w:t>
      </w:r>
      <w:r w:rsidR="00F4348E">
        <w:rPr>
          <w:rFonts w:cs="Arial"/>
          <w:b w:val="0"/>
        </w:rPr>
        <w:t>11.</w:t>
      </w:r>
      <w:r w:rsidR="0062197F">
        <w:rPr>
          <w:rFonts w:cs="Arial"/>
          <w:b w:val="0"/>
        </w:rPr>
        <w:t>16</w:t>
      </w:r>
      <w:r w:rsidR="002B1858">
        <w:rPr>
          <w:rFonts w:cs="Arial"/>
          <w:b w:val="0"/>
        </w:rPr>
        <w:t xml:space="preserve"> </w:t>
      </w:r>
      <w:r w:rsidR="00F4348E">
        <w:rPr>
          <w:rFonts w:cs="Arial"/>
          <w:b w:val="0"/>
        </w:rPr>
        <w:t>MW</w:t>
      </w:r>
      <w:r w:rsidR="00F1518B">
        <w:rPr>
          <w:rFonts w:cs="Arial"/>
          <w:b w:val="0"/>
        </w:rPr>
        <w:t>.</w:t>
      </w:r>
    </w:p>
    <w:p w14:paraId="0BA1C6A4" w14:textId="77777777" w:rsidR="00285627" w:rsidRDefault="00285627" w:rsidP="00911709">
      <w:pPr>
        <w:pStyle w:val="BodyText"/>
        <w:spacing w:before="0" w:after="0" w:line="240" w:lineRule="auto"/>
        <w:rPr>
          <w:rFonts w:cs="Arial"/>
          <w:b w:val="0"/>
        </w:rPr>
      </w:pPr>
    </w:p>
    <w:p w14:paraId="693F60F1" w14:textId="7F50BCB4" w:rsidR="003403C8" w:rsidRDefault="003403C8" w:rsidP="00911709">
      <w:pPr>
        <w:pStyle w:val="BodyText"/>
        <w:spacing w:before="0" w:after="0" w:line="240" w:lineRule="auto"/>
        <w:rPr>
          <w:rFonts w:cs="Arial"/>
          <w:b w:val="0"/>
        </w:rPr>
      </w:pPr>
      <w:r>
        <w:rPr>
          <w:rFonts w:cs="Arial"/>
          <w:b w:val="0"/>
        </w:rPr>
        <w:t>The Final O</w:t>
      </w:r>
      <w:r w:rsidR="00285627" w:rsidRPr="00597FB6">
        <w:rPr>
          <w:rFonts w:cs="Arial"/>
          <w:b w:val="0"/>
        </w:rPr>
        <w:t>rd</w:t>
      </w:r>
      <w:r w:rsidR="00285627" w:rsidRPr="003403C8">
        <w:rPr>
          <w:rFonts w:cs="Arial"/>
          <w:b w:val="0"/>
        </w:rPr>
        <w:t>er of Docket No. </w:t>
      </w:r>
      <w:r w:rsidR="005E3355" w:rsidRPr="003403C8">
        <w:rPr>
          <w:rFonts w:cs="Arial"/>
          <w:b w:val="0"/>
        </w:rPr>
        <w:t xml:space="preserve">47125 </w:t>
      </w:r>
      <w:r w:rsidR="00285627" w:rsidRPr="003403C8">
        <w:rPr>
          <w:rFonts w:cs="Arial"/>
          <w:b w:val="0"/>
        </w:rPr>
        <w:t xml:space="preserve">also established an energy efficiency program budget for </w:t>
      </w:r>
      <w:r w:rsidR="000770B8" w:rsidRPr="003403C8">
        <w:rPr>
          <w:rFonts w:cs="Arial"/>
          <w:b w:val="0"/>
        </w:rPr>
        <w:t>201</w:t>
      </w:r>
      <w:r w:rsidR="00731814" w:rsidRPr="003403C8">
        <w:rPr>
          <w:rFonts w:cs="Arial"/>
          <w:b w:val="0"/>
        </w:rPr>
        <w:t>8</w:t>
      </w:r>
      <w:r w:rsidR="00285627" w:rsidRPr="003403C8">
        <w:rPr>
          <w:rFonts w:cs="Arial"/>
          <w:b w:val="0"/>
        </w:rPr>
        <w:t xml:space="preserve"> of $</w:t>
      </w:r>
      <w:r w:rsidR="00307039" w:rsidRPr="003403C8">
        <w:rPr>
          <w:rFonts w:cs="Arial"/>
          <w:b w:val="0"/>
        </w:rPr>
        <w:t>4,394</w:t>
      </w:r>
      <w:r w:rsidR="00673C99" w:rsidRPr="003403C8">
        <w:rPr>
          <w:rFonts w:cs="Arial"/>
          <w:b w:val="0"/>
        </w:rPr>
        <w:t>,</w:t>
      </w:r>
      <w:r w:rsidR="00307039" w:rsidRPr="003403C8">
        <w:rPr>
          <w:rFonts w:cs="Arial"/>
          <w:b w:val="0"/>
        </w:rPr>
        <w:t>650</w:t>
      </w:r>
      <w:r w:rsidR="00285627" w:rsidRPr="003403C8">
        <w:rPr>
          <w:rFonts w:cs="Arial"/>
          <w:b w:val="0"/>
        </w:rPr>
        <w:t>.</w:t>
      </w:r>
      <w:r w:rsidR="00285627" w:rsidRPr="003403C8">
        <w:rPr>
          <w:rStyle w:val="FootnoteReference"/>
          <w:rFonts w:cs="Arial"/>
          <w:b w:val="0"/>
        </w:rPr>
        <w:footnoteReference w:id="2"/>
      </w:r>
      <w:r w:rsidR="00285627" w:rsidRPr="003403C8">
        <w:rPr>
          <w:rStyle w:val="FootnoteReference"/>
        </w:rPr>
        <w:t xml:space="preserve"> </w:t>
      </w:r>
      <w:r w:rsidRPr="003403C8">
        <w:rPr>
          <w:rFonts w:cs="Arial"/>
          <w:b w:val="0"/>
        </w:rPr>
        <w:t>EPE mad</w:t>
      </w:r>
      <w:r>
        <w:rPr>
          <w:rFonts w:cs="Arial"/>
          <w:b w:val="0"/>
        </w:rPr>
        <w:t>e some modifications to the individual program budgets; however, the overall program budget for</w:t>
      </w:r>
      <w:r w:rsidR="00C85C04">
        <w:rPr>
          <w:rFonts w:cs="Arial"/>
          <w:b w:val="0"/>
        </w:rPr>
        <w:t xml:space="preserve"> 2017 remained the same</w:t>
      </w:r>
      <w:r>
        <w:rPr>
          <w:rFonts w:cs="Arial"/>
          <w:b w:val="0"/>
        </w:rPr>
        <w:t xml:space="preserve"> at $4,394,650. The modifications consisted of the disco</w:t>
      </w:r>
      <w:r w:rsidR="00C85C04">
        <w:rPr>
          <w:rFonts w:cs="Arial"/>
          <w:b w:val="0"/>
        </w:rPr>
        <w:t>ntinuance of the Commercial SOP, a reduction to the Texas SCORE MTP budget, an increase to the Residential Solutions MTP budget, the addition of the new Texas Appliance Recycling MTP, the addition of the Demand R</w:t>
      </w:r>
      <w:r w:rsidR="005E7E83">
        <w:rPr>
          <w:rFonts w:cs="Arial"/>
          <w:b w:val="0"/>
        </w:rPr>
        <w:t>esponse Pilot Program MTP</w:t>
      </w:r>
      <w:r w:rsidR="00C85C04">
        <w:rPr>
          <w:rFonts w:cs="Arial"/>
          <w:b w:val="0"/>
        </w:rPr>
        <w:t>, and a decrease in the Research and Development</w:t>
      </w:r>
      <w:r w:rsidR="005E7E83">
        <w:rPr>
          <w:rFonts w:cs="Arial"/>
          <w:b w:val="0"/>
        </w:rPr>
        <w:t xml:space="preserve"> (R&amp;D)</w:t>
      </w:r>
      <w:r w:rsidR="00C85C04">
        <w:rPr>
          <w:rFonts w:cs="Arial"/>
          <w:b w:val="0"/>
        </w:rPr>
        <w:t xml:space="preserve"> budget.   </w:t>
      </w:r>
    </w:p>
    <w:p w14:paraId="399550B4" w14:textId="77777777" w:rsidR="002A77EA" w:rsidRDefault="002A77EA" w:rsidP="00911709">
      <w:pPr>
        <w:pStyle w:val="BodyText"/>
        <w:spacing w:before="0" w:after="0" w:line="240" w:lineRule="auto"/>
        <w:rPr>
          <w:rFonts w:cs="Arial"/>
          <w:b w:val="0"/>
        </w:rPr>
      </w:pPr>
    </w:p>
    <w:p w14:paraId="494263AF" w14:textId="77777777" w:rsidR="004054CB" w:rsidRDefault="005F615B" w:rsidP="00911709">
      <w:pPr>
        <w:pStyle w:val="BodyText"/>
        <w:spacing w:before="0" w:after="0" w:line="240" w:lineRule="auto"/>
        <w:rPr>
          <w:rFonts w:cs="Arial"/>
          <w:b w:val="0"/>
        </w:rPr>
      </w:pPr>
      <w:r>
        <w:rPr>
          <w:rFonts w:cs="Arial"/>
          <w:b w:val="0"/>
        </w:rPr>
        <w:t>The goals, budgets and implementation plans that are included in this EEPR are influenced substantially by the requirements of the EE Rule and lessons learned regarding energy efficiency service providers and customer participation in the various energy efficiency programs. A summary of projected goals and budgets is presented in Table 1.</w:t>
      </w:r>
      <w:r w:rsidR="004054CB">
        <w:rPr>
          <w:rFonts w:cs="Arial"/>
          <w:b w:val="0"/>
        </w:rPr>
        <w:t xml:space="preserve">  </w:t>
      </w:r>
    </w:p>
    <w:p w14:paraId="12F70519" w14:textId="77777777" w:rsidR="00211413" w:rsidRDefault="00211413" w:rsidP="00911709">
      <w:pPr>
        <w:pStyle w:val="BodyText"/>
        <w:spacing w:before="0" w:after="0" w:line="240" w:lineRule="auto"/>
        <w:rPr>
          <w:rFonts w:cs="Arial"/>
          <w:b w:val="0"/>
        </w:rPr>
      </w:pPr>
    </w:p>
    <w:p w14:paraId="3370C637" w14:textId="3528AFA8" w:rsidR="00525BC1" w:rsidRDefault="00525BC1" w:rsidP="00525BC1">
      <w:pPr>
        <w:pStyle w:val="Caption"/>
        <w:keepNext/>
        <w:keepLines/>
        <w:tabs>
          <w:tab w:val="left" w:pos="1080"/>
        </w:tabs>
        <w:spacing w:before="0" w:after="60"/>
        <w:ind w:left="1080" w:hanging="1080"/>
        <w:jc w:val="both"/>
      </w:pPr>
      <w:r w:rsidRPr="00DD2288">
        <w:t xml:space="preserve">Table </w:t>
      </w:r>
      <w:r w:rsidR="00B90424">
        <w:fldChar w:fldCharType="begin"/>
      </w:r>
      <w:r w:rsidR="00B90424">
        <w:instrText xml:space="preserve"> SEQ Table \* ARABIC </w:instrText>
      </w:r>
      <w:r w:rsidR="00B90424">
        <w:fldChar w:fldCharType="separate"/>
      </w:r>
      <w:r w:rsidR="004757EA">
        <w:rPr>
          <w:noProof/>
        </w:rPr>
        <w:t>1</w:t>
      </w:r>
      <w:r w:rsidR="00B90424">
        <w:rPr>
          <w:noProof/>
        </w:rPr>
        <w:fldChar w:fldCharType="end"/>
      </w:r>
      <w:r w:rsidRPr="00DD2288">
        <w:t>:</w:t>
      </w:r>
      <w:r>
        <w:tab/>
      </w:r>
      <w:r w:rsidRPr="0038535B">
        <w:t xml:space="preserve">Summary of </w:t>
      </w:r>
      <w:r>
        <w:t>201</w:t>
      </w:r>
      <w:r w:rsidR="009F60EE">
        <w:t>8</w:t>
      </w:r>
      <w:r w:rsidRPr="0038535B">
        <w:t xml:space="preserve"> &amp; </w:t>
      </w:r>
      <w:r>
        <w:t>201</w:t>
      </w:r>
      <w:r w:rsidR="009F60EE">
        <w:t>9</w:t>
      </w:r>
      <w:r w:rsidRPr="0038535B">
        <w:t xml:space="preserve"> Projected Goals, Savings and Budgets</w:t>
      </w:r>
      <w:r w:rsidRPr="0038535B">
        <w:rPr>
          <w:rStyle w:val="FootnoteReference"/>
        </w:rPr>
        <w:footnoteReference w:id="3"/>
      </w:r>
    </w:p>
    <w:p w14:paraId="0870F317" w14:textId="77777777" w:rsidR="00525BC1" w:rsidRDefault="00525BC1" w:rsidP="00525BC1">
      <w:pPr>
        <w:pStyle w:val="BodyText"/>
        <w:spacing w:before="0" w:after="0" w:line="240" w:lineRule="auto"/>
        <w:rPr>
          <w:rFonts w:cs="Arial"/>
          <w:b w:val="0"/>
          <w:sz w:val="18"/>
          <w:szCs w:val="18"/>
        </w:rPr>
      </w:pPr>
    </w:p>
    <w:tbl>
      <w:tblPr>
        <w:tblW w:w="9460" w:type="dxa"/>
        <w:jc w:val="center"/>
        <w:tblLook w:val="04A0" w:firstRow="1" w:lastRow="0" w:firstColumn="1" w:lastColumn="0" w:noHBand="0" w:noVBand="1"/>
      </w:tblPr>
      <w:tblGrid>
        <w:gridCol w:w="987"/>
        <w:gridCol w:w="986"/>
        <w:gridCol w:w="1279"/>
        <w:gridCol w:w="1181"/>
        <w:gridCol w:w="954"/>
        <w:gridCol w:w="906"/>
        <w:gridCol w:w="1056"/>
        <w:gridCol w:w="1037"/>
        <w:gridCol w:w="1074"/>
      </w:tblGrid>
      <w:tr w:rsidR="00525BC1" w:rsidRPr="005D5F34" w14:paraId="34923DA8" w14:textId="77777777" w:rsidTr="009A48B2">
        <w:trPr>
          <w:trHeight w:val="1695"/>
          <w:jc w:val="center"/>
        </w:trPr>
        <w:tc>
          <w:tcPr>
            <w:tcW w:w="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02A7B4A"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Calendar Year</w:t>
            </w:r>
          </w:p>
        </w:tc>
        <w:tc>
          <w:tcPr>
            <w:tcW w:w="1000" w:type="dxa"/>
            <w:tcBorders>
              <w:top w:val="single" w:sz="8" w:space="0" w:color="auto"/>
              <w:left w:val="nil"/>
              <w:bottom w:val="single" w:sz="8" w:space="0" w:color="auto"/>
              <w:right w:val="single" w:sz="8" w:space="0" w:color="auto"/>
            </w:tcBorders>
            <w:shd w:val="clear" w:color="000000" w:fill="F2F2F2"/>
            <w:vAlign w:val="center"/>
            <w:hideMark/>
          </w:tcPr>
          <w:p w14:paraId="28C8C018"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Average Growth in Demand (MW at Meter)</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387E1616"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Goal Metric: 30% of 5-year Average Growth of Demand (MW at Meter)</w:t>
            </w:r>
          </w:p>
        </w:tc>
        <w:tc>
          <w:tcPr>
            <w:tcW w:w="1240" w:type="dxa"/>
            <w:tcBorders>
              <w:top w:val="single" w:sz="8" w:space="0" w:color="auto"/>
              <w:left w:val="nil"/>
              <w:bottom w:val="single" w:sz="8" w:space="0" w:color="auto"/>
              <w:right w:val="single" w:sz="8" w:space="0" w:color="auto"/>
            </w:tcBorders>
            <w:shd w:val="clear" w:color="000000" w:fill="F2F2F2"/>
            <w:vAlign w:val="center"/>
            <w:hideMark/>
          </w:tcPr>
          <w:p w14:paraId="58221AC4"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Goal Metric: .4% of 5-year Average Peak Demand (MW at Meter)</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2F69A3B3"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 xml:space="preserve"> Demand Goal (MW)*</w:t>
            </w:r>
          </w:p>
        </w:tc>
        <w:tc>
          <w:tcPr>
            <w:tcW w:w="840" w:type="dxa"/>
            <w:tcBorders>
              <w:top w:val="single" w:sz="8" w:space="0" w:color="auto"/>
              <w:left w:val="nil"/>
              <w:bottom w:val="single" w:sz="8" w:space="0" w:color="auto"/>
              <w:right w:val="single" w:sz="8" w:space="0" w:color="auto"/>
            </w:tcBorders>
            <w:shd w:val="clear" w:color="000000" w:fill="F2F2F2"/>
            <w:vAlign w:val="center"/>
            <w:hideMark/>
          </w:tcPr>
          <w:p w14:paraId="02B9E359"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Energy Goal (MWh)**</w:t>
            </w:r>
          </w:p>
        </w:tc>
        <w:tc>
          <w:tcPr>
            <w:tcW w:w="1060" w:type="dxa"/>
            <w:tcBorders>
              <w:top w:val="single" w:sz="8" w:space="0" w:color="auto"/>
              <w:left w:val="nil"/>
              <w:bottom w:val="single" w:sz="8" w:space="0" w:color="auto"/>
              <w:right w:val="single" w:sz="8" w:space="0" w:color="auto"/>
            </w:tcBorders>
            <w:shd w:val="clear" w:color="000000" w:fill="F2F2F2"/>
            <w:vAlign w:val="center"/>
            <w:hideMark/>
          </w:tcPr>
          <w:p w14:paraId="30536E3A"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Projected MW Savings (at Meter)</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0BB876F3" w14:textId="77777777" w:rsidR="00525BC1" w:rsidRPr="005D5F34" w:rsidRDefault="00525BC1" w:rsidP="008D1CD8">
            <w:pPr>
              <w:jc w:val="center"/>
              <w:rPr>
                <w:rFonts w:ascii="Arial" w:hAnsi="Arial" w:cs="Arial"/>
                <w:bCs/>
                <w:sz w:val="18"/>
                <w:szCs w:val="18"/>
              </w:rPr>
            </w:pPr>
            <w:r w:rsidRPr="005D5F34">
              <w:rPr>
                <w:rFonts w:ascii="Arial" w:hAnsi="Arial" w:cs="Arial"/>
                <w:bCs/>
                <w:sz w:val="18"/>
                <w:szCs w:val="18"/>
              </w:rPr>
              <w:t>Projected MWh Savings (at Meter)</w:t>
            </w:r>
          </w:p>
        </w:tc>
        <w:tc>
          <w:tcPr>
            <w:tcW w:w="1080" w:type="dxa"/>
            <w:tcBorders>
              <w:top w:val="single" w:sz="8" w:space="0" w:color="auto"/>
              <w:left w:val="nil"/>
              <w:bottom w:val="single" w:sz="8" w:space="0" w:color="auto"/>
              <w:right w:val="single" w:sz="8" w:space="0" w:color="auto"/>
            </w:tcBorders>
            <w:shd w:val="clear" w:color="000000" w:fill="F2F2F2"/>
            <w:vAlign w:val="center"/>
            <w:hideMark/>
          </w:tcPr>
          <w:p w14:paraId="3EB80485" w14:textId="62ACDB22" w:rsidR="00525BC1" w:rsidRPr="005D5F34" w:rsidRDefault="00525BC1" w:rsidP="008D1CD8">
            <w:pPr>
              <w:jc w:val="center"/>
              <w:rPr>
                <w:rFonts w:ascii="Arial" w:hAnsi="Arial" w:cs="Arial"/>
                <w:bCs/>
                <w:sz w:val="18"/>
                <w:szCs w:val="18"/>
              </w:rPr>
            </w:pPr>
            <w:r w:rsidRPr="005D5F34">
              <w:rPr>
                <w:rFonts w:ascii="Arial" w:hAnsi="Arial" w:cs="Arial"/>
                <w:bCs/>
                <w:sz w:val="18"/>
                <w:szCs w:val="18"/>
              </w:rPr>
              <w:t>Proposed  Budget (000's)</w:t>
            </w:r>
            <w:r w:rsidR="00B37158">
              <w:rPr>
                <w:rFonts w:ascii="Arial" w:hAnsi="Arial" w:cs="Arial"/>
                <w:bCs/>
                <w:sz w:val="18"/>
                <w:szCs w:val="18"/>
              </w:rPr>
              <w:t>***</w:t>
            </w:r>
          </w:p>
        </w:tc>
      </w:tr>
      <w:tr w:rsidR="00525BC1" w:rsidRPr="005D5F34" w14:paraId="1B7AE35E" w14:textId="77777777" w:rsidTr="009A48B2">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54199D" w14:textId="7FB9D990" w:rsidR="00525BC1" w:rsidRPr="002A77EA" w:rsidRDefault="00201F7F" w:rsidP="008D1CD8">
            <w:pPr>
              <w:jc w:val="center"/>
              <w:rPr>
                <w:rFonts w:ascii="Arial" w:hAnsi="Arial" w:cs="Arial"/>
                <w:b w:val="0"/>
                <w:sz w:val="20"/>
                <w:szCs w:val="20"/>
              </w:rPr>
            </w:pPr>
            <w:r>
              <w:rPr>
                <w:rFonts w:ascii="Arial" w:hAnsi="Arial" w:cs="Arial"/>
                <w:b w:val="0"/>
                <w:sz w:val="20"/>
                <w:szCs w:val="20"/>
              </w:rPr>
              <w:t>2018</w:t>
            </w:r>
          </w:p>
        </w:tc>
        <w:tc>
          <w:tcPr>
            <w:tcW w:w="1000" w:type="dxa"/>
            <w:tcBorders>
              <w:top w:val="nil"/>
              <w:left w:val="nil"/>
              <w:bottom w:val="single" w:sz="8" w:space="0" w:color="auto"/>
              <w:right w:val="single" w:sz="8" w:space="0" w:color="auto"/>
            </w:tcBorders>
            <w:shd w:val="clear" w:color="auto" w:fill="auto"/>
            <w:vAlign w:val="center"/>
            <w:hideMark/>
          </w:tcPr>
          <w:p w14:paraId="5A679618" w14:textId="42BD8F6E" w:rsidR="00525BC1" w:rsidRPr="002A77EA" w:rsidRDefault="00201F7F" w:rsidP="008D1CD8">
            <w:pPr>
              <w:jc w:val="center"/>
              <w:rPr>
                <w:rFonts w:ascii="Arial" w:hAnsi="Arial" w:cs="Arial"/>
                <w:b w:val="0"/>
                <w:sz w:val="20"/>
                <w:szCs w:val="20"/>
              </w:rPr>
            </w:pPr>
            <w:r>
              <w:rPr>
                <w:rFonts w:ascii="Arial" w:hAnsi="Arial" w:cs="Arial"/>
                <w:b w:val="0"/>
                <w:sz w:val="20"/>
                <w:szCs w:val="20"/>
              </w:rPr>
              <w:t>38.0</w:t>
            </w:r>
          </w:p>
        </w:tc>
        <w:tc>
          <w:tcPr>
            <w:tcW w:w="1360" w:type="dxa"/>
            <w:tcBorders>
              <w:top w:val="nil"/>
              <w:left w:val="nil"/>
              <w:bottom w:val="single" w:sz="8" w:space="0" w:color="auto"/>
              <w:right w:val="single" w:sz="8" w:space="0" w:color="auto"/>
            </w:tcBorders>
            <w:shd w:val="clear" w:color="auto" w:fill="auto"/>
            <w:vAlign w:val="center"/>
            <w:hideMark/>
          </w:tcPr>
          <w:p w14:paraId="52F5EC70" w14:textId="52A20143" w:rsidR="00525BC1" w:rsidRPr="002A77EA" w:rsidRDefault="00201F7F" w:rsidP="008D1CD8">
            <w:pPr>
              <w:jc w:val="center"/>
              <w:rPr>
                <w:rFonts w:ascii="Arial" w:hAnsi="Arial" w:cs="Arial"/>
                <w:b w:val="0"/>
                <w:sz w:val="20"/>
                <w:szCs w:val="20"/>
              </w:rPr>
            </w:pPr>
            <w:r>
              <w:rPr>
                <w:rFonts w:ascii="Arial" w:hAnsi="Arial" w:cs="Arial"/>
                <w:b w:val="0"/>
                <w:sz w:val="20"/>
                <w:szCs w:val="20"/>
              </w:rPr>
              <w:t>11.39</w:t>
            </w:r>
          </w:p>
        </w:tc>
        <w:tc>
          <w:tcPr>
            <w:tcW w:w="1240" w:type="dxa"/>
            <w:tcBorders>
              <w:top w:val="nil"/>
              <w:left w:val="nil"/>
              <w:bottom w:val="single" w:sz="8" w:space="0" w:color="auto"/>
              <w:right w:val="single" w:sz="8" w:space="0" w:color="auto"/>
            </w:tcBorders>
            <w:shd w:val="clear" w:color="auto" w:fill="auto"/>
            <w:vAlign w:val="center"/>
            <w:hideMark/>
          </w:tcPr>
          <w:p w14:paraId="3F7C56BC" w14:textId="0737D959" w:rsidR="00525BC1" w:rsidRPr="002A77EA" w:rsidRDefault="00201F7F" w:rsidP="008D1CD8">
            <w:pPr>
              <w:jc w:val="center"/>
              <w:rPr>
                <w:rFonts w:ascii="Arial" w:hAnsi="Arial" w:cs="Arial"/>
                <w:b w:val="0"/>
                <w:sz w:val="20"/>
                <w:szCs w:val="20"/>
              </w:rPr>
            </w:pPr>
            <w:r>
              <w:rPr>
                <w:rFonts w:ascii="Arial" w:hAnsi="Arial" w:cs="Arial"/>
                <w:b w:val="0"/>
                <w:sz w:val="20"/>
                <w:szCs w:val="20"/>
              </w:rPr>
              <w:t>4.68</w:t>
            </w:r>
          </w:p>
        </w:tc>
        <w:tc>
          <w:tcPr>
            <w:tcW w:w="960" w:type="dxa"/>
            <w:tcBorders>
              <w:top w:val="nil"/>
              <w:left w:val="nil"/>
              <w:bottom w:val="single" w:sz="8" w:space="0" w:color="auto"/>
              <w:right w:val="single" w:sz="8" w:space="0" w:color="auto"/>
            </w:tcBorders>
            <w:shd w:val="clear" w:color="auto" w:fill="auto"/>
            <w:vAlign w:val="center"/>
            <w:hideMark/>
          </w:tcPr>
          <w:p w14:paraId="2018402B" w14:textId="77777777" w:rsidR="00525BC1" w:rsidRPr="002A77EA" w:rsidRDefault="00525BC1" w:rsidP="008D1CD8">
            <w:pPr>
              <w:jc w:val="center"/>
              <w:rPr>
                <w:rFonts w:ascii="Arial" w:hAnsi="Arial" w:cs="Arial"/>
                <w:b w:val="0"/>
                <w:sz w:val="20"/>
                <w:szCs w:val="20"/>
              </w:rPr>
            </w:pPr>
            <w:r w:rsidRPr="002A77EA">
              <w:rPr>
                <w:rFonts w:ascii="Arial" w:hAnsi="Arial" w:cs="Arial"/>
                <w:b w:val="0"/>
                <w:sz w:val="20"/>
                <w:szCs w:val="20"/>
              </w:rPr>
              <w:t>11.16</w:t>
            </w:r>
          </w:p>
        </w:tc>
        <w:tc>
          <w:tcPr>
            <w:tcW w:w="840" w:type="dxa"/>
            <w:tcBorders>
              <w:top w:val="nil"/>
              <w:left w:val="nil"/>
              <w:bottom w:val="single" w:sz="8" w:space="0" w:color="auto"/>
              <w:right w:val="single" w:sz="8" w:space="0" w:color="auto"/>
            </w:tcBorders>
            <w:shd w:val="clear" w:color="auto" w:fill="auto"/>
            <w:vAlign w:val="center"/>
            <w:hideMark/>
          </w:tcPr>
          <w:p w14:paraId="5D626B3D" w14:textId="77777777" w:rsidR="00525BC1" w:rsidRPr="002A77EA" w:rsidRDefault="00525BC1" w:rsidP="008D1CD8">
            <w:pPr>
              <w:jc w:val="center"/>
              <w:rPr>
                <w:rFonts w:ascii="Arial" w:hAnsi="Arial" w:cs="Arial"/>
                <w:b w:val="0"/>
                <w:sz w:val="20"/>
                <w:szCs w:val="20"/>
              </w:rPr>
            </w:pPr>
            <w:r w:rsidRPr="002A77EA">
              <w:rPr>
                <w:rFonts w:ascii="Arial" w:hAnsi="Arial" w:cs="Arial"/>
                <w:b w:val="0"/>
                <w:sz w:val="20"/>
                <w:szCs w:val="20"/>
              </w:rPr>
              <w:t>19,552</w:t>
            </w:r>
          </w:p>
        </w:tc>
        <w:tc>
          <w:tcPr>
            <w:tcW w:w="1060" w:type="dxa"/>
            <w:tcBorders>
              <w:top w:val="nil"/>
              <w:left w:val="nil"/>
              <w:bottom w:val="single" w:sz="8" w:space="0" w:color="auto"/>
              <w:right w:val="single" w:sz="8" w:space="0" w:color="auto"/>
            </w:tcBorders>
            <w:shd w:val="clear" w:color="auto" w:fill="auto"/>
            <w:vAlign w:val="center"/>
            <w:hideMark/>
          </w:tcPr>
          <w:p w14:paraId="23B8F727" w14:textId="788BEA2C" w:rsidR="00525BC1" w:rsidRPr="005D5F34" w:rsidRDefault="00201F7F" w:rsidP="008D1CD8">
            <w:pPr>
              <w:jc w:val="center"/>
              <w:rPr>
                <w:rFonts w:ascii="Arial" w:hAnsi="Arial" w:cs="Arial"/>
                <w:b w:val="0"/>
                <w:sz w:val="20"/>
                <w:szCs w:val="20"/>
              </w:rPr>
            </w:pPr>
            <w:r>
              <w:rPr>
                <w:rFonts w:ascii="Arial" w:hAnsi="Arial" w:cs="Arial"/>
                <w:b w:val="0"/>
                <w:sz w:val="20"/>
                <w:szCs w:val="20"/>
              </w:rPr>
              <w:t>14.181</w:t>
            </w:r>
          </w:p>
        </w:tc>
        <w:tc>
          <w:tcPr>
            <w:tcW w:w="960" w:type="dxa"/>
            <w:tcBorders>
              <w:top w:val="nil"/>
              <w:left w:val="nil"/>
              <w:bottom w:val="single" w:sz="8" w:space="0" w:color="auto"/>
              <w:right w:val="single" w:sz="8" w:space="0" w:color="auto"/>
            </w:tcBorders>
            <w:shd w:val="clear" w:color="auto" w:fill="auto"/>
            <w:vAlign w:val="center"/>
            <w:hideMark/>
          </w:tcPr>
          <w:p w14:paraId="09EE4D8A" w14:textId="2B828397" w:rsidR="00525BC1" w:rsidRPr="005D5F34" w:rsidRDefault="00201F7F" w:rsidP="008D1CD8">
            <w:pPr>
              <w:jc w:val="center"/>
              <w:rPr>
                <w:rFonts w:ascii="Arial" w:hAnsi="Arial" w:cs="Arial"/>
                <w:b w:val="0"/>
                <w:sz w:val="20"/>
                <w:szCs w:val="20"/>
              </w:rPr>
            </w:pPr>
            <w:r>
              <w:rPr>
                <w:rFonts w:ascii="Arial" w:hAnsi="Arial" w:cs="Arial"/>
                <w:b w:val="0"/>
                <w:sz w:val="20"/>
                <w:szCs w:val="20"/>
              </w:rPr>
              <w:t>21</w:t>
            </w:r>
            <w:r w:rsidR="00DC3C0B">
              <w:rPr>
                <w:rFonts w:ascii="Arial" w:hAnsi="Arial" w:cs="Arial"/>
                <w:b w:val="0"/>
                <w:sz w:val="20"/>
                <w:szCs w:val="20"/>
              </w:rPr>
              <w:t>,</w:t>
            </w:r>
            <w:r>
              <w:rPr>
                <w:rFonts w:ascii="Arial" w:hAnsi="Arial" w:cs="Arial"/>
                <w:b w:val="0"/>
                <w:sz w:val="20"/>
                <w:szCs w:val="20"/>
              </w:rPr>
              <w:t>054</w:t>
            </w:r>
          </w:p>
        </w:tc>
        <w:tc>
          <w:tcPr>
            <w:tcW w:w="1080" w:type="dxa"/>
            <w:tcBorders>
              <w:top w:val="nil"/>
              <w:left w:val="nil"/>
              <w:bottom w:val="single" w:sz="8" w:space="0" w:color="auto"/>
              <w:right w:val="single" w:sz="8" w:space="0" w:color="auto"/>
            </w:tcBorders>
            <w:shd w:val="clear" w:color="auto" w:fill="auto"/>
            <w:vAlign w:val="center"/>
            <w:hideMark/>
          </w:tcPr>
          <w:p w14:paraId="16216DB8" w14:textId="293999A4" w:rsidR="00525BC1" w:rsidRPr="005D5F34" w:rsidRDefault="00201F7F" w:rsidP="008D1CD8">
            <w:pPr>
              <w:jc w:val="center"/>
              <w:rPr>
                <w:rFonts w:ascii="Arial" w:hAnsi="Arial" w:cs="Arial"/>
                <w:b w:val="0"/>
                <w:sz w:val="20"/>
                <w:szCs w:val="20"/>
              </w:rPr>
            </w:pPr>
            <w:r>
              <w:rPr>
                <w:rFonts w:ascii="Arial" w:hAnsi="Arial" w:cs="Arial"/>
                <w:b w:val="0"/>
                <w:sz w:val="20"/>
                <w:szCs w:val="20"/>
              </w:rPr>
              <w:t>$4,551</w:t>
            </w:r>
            <w:r w:rsidR="00525BC1" w:rsidRPr="005D5F34">
              <w:rPr>
                <w:rFonts w:ascii="Arial" w:hAnsi="Arial" w:cs="Arial"/>
                <w:b w:val="0"/>
                <w:sz w:val="20"/>
                <w:szCs w:val="20"/>
              </w:rPr>
              <w:t xml:space="preserve"> </w:t>
            </w:r>
          </w:p>
        </w:tc>
      </w:tr>
      <w:tr w:rsidR="00525BC1" w:rsidRPr="005D5F34" w14:paraId="07EEC2B6" w14:textId="77777777" w:rsidTr="009A48B2">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71577A" w14:textId="7F3E6DE2" w:rsidR="00525BC1" w:rsidRPr="002A77EA" w:rsidRDefault="00201F7F" w:rsidP="008D1CD8">
            <w:pPr>
              <w:jc w:val="center"/>
              <w:rPr>
                <w:rFonts w:ascii="Arial" w:hAnsi="Arial" w:cs="Arial"/>
                <w:b w:val="0"/>
                <w:sz w:val="20"/>
                <w:szCs w:val="20"/>
              </w:rPr>
            </w:pPr>
            <w:r>
              <w:rPr>
                <w:rFonts w:ascii="Arial" w:hAnsi="Arial" w:cs="Arial"/>
                <w:b w:val="0"/>
                <w:sz w:val="20"/>
                <w:szCs w:val="20"/>
              </w:rPr>
              <w:t>2019</w:t>
            </w:r>
          </w:p>
        </w:tc>
        <w:tc>
          <w:tcPr>
            <w:tcW w:w="1000" w:type="dxa"/>
            <w:tcBorders>
              <w:top w:val="nil"/>
              <w:left w:val="nil"/>
              <w:bottom w:val="single" w:sz="8" w:space="0" w:color="auto"/>
              <w:right w:val="single" w:sz="8" w:space="0" w:color="auto"/>
            </w:tcBorders>
            <w:shd w:val="clear" w:color="auto" w:fill="auto"/>
            <w:vAlign w:val="center"/>
            <w:hideMark/>
          </w:tcPr>
          <w:p w14:paraId="1B35C45B" w14:textId="582D656A" w:rsidR="00525BC1" w:rsidRPr="002A77EA" w:rsidRDefault="00201F7F" w:rsidP="008D1CD8">
            <w:pPr>
              <w:jc w:val="center"/>
              <w:rPr>
                <w:rFonts w:ascii="Arial" w:hAnsi="Arial" w:cs="Arial"/>
                <w:b w:val="0"/>
                <w:sz w:val="20"/>
                <w:szCs w:val="20"/>
              </w:rPr>
            </w:pPr>
            <w:r>
              <w:rPr>
                <w:rFonts w:ascii="Arial" w:hAnsi="Arial" w:cs="Arial"/>
                <w:b w:val="0"/>
                <w:sz w:val="20"/>
                <w:szCs w:val="20"/>
              </w:rPr>
              <w:t>50.8</w:t>
            </w:r>
          </w:p>
        </w:tc>
        <w:tc>
          <w:tcPr>
            <w:tcW w:w="1360" w:type="dxa"/>
            <w:tcBorders>
              <w:top w:val="nil"/>
              <w:left w:val="nil"/>
              <w:bottom w:val="single" w:sz="8" w:space="0" w:color="auto"/>
              <w:right w:val="single" w:sz="8" w:space="0" w:color="auto"/>
            </w:tcBorders>
            <w:shd w:val="clear" w:color="000000" w:fill="FFFFFF"/>
            <w:vAlign w:val="center"/>
            <w:hideMark/>
          </w:tcPr>
          <w:p w14:paraId="78BA9326" w14:textId="145745F0" w:rsidR="00525BC1" w:rsidRPr="002A77EA" w:rsidRDefault="00201F7F" w:rsidP="008D1CD8">
            <w:pPr>
              <w:jc w:val="center"/>
              <w:rPr>
                <w:rFonts w:ascii="Arial" w:hAnsi="Arial" w:cs="Arial"/>
                <w:b w:val="0"/>
                <w:sz w:val="20"/>
                <w:szCs w:val="20"/>
              </w:rPr>
            </w:pPr>
            <w:r>
              <w:rPr>
                <w:rFonts w:ascii="Arial" w:hAnsi="Arial" w:cs="Arial"/>
                <w:b w:val="0"/>
                <w:sz w:val="20"/>
                <w:szCs w:val="20"/>
              </w:rPr>
              <w:t>15.24</w:t>
            </w:r>
          </w:p>
        </w:tc>
        <w:tc>
          <w:tcPr>
            <w:tcW w:w="1240" w:type="dxa"/>
            <w:tcBorders>
              <w:top w:val="nil"/>
              <w:left w:val="nil"/>
              <w:bottom w:val="single" w:sz="8" w:space="0" w:color="auto"/>
              <w:right w:val="single" w:sz="8" w:space="0" w:color="auto"/>
            </w:tcBorders>
            <w:shd w:val="clear" w:color="auto" w:fill="auto"/>
            <w:vAlign w:val="center"/>
            <w:hideMark/>
          </w:tcPr>
          <w:p w14:paraId="28AC0C92" w14:textId="1C1A09FB" w:rsidR="00525BC1" w:rsidRPr="002A77EA" w:rsidRDefault="00201F7F" w:rsidP="008D1CD8">
            <w:pPr>
              <w:jc w:val="center"/>
              <w:rPr>
                <w:rFonts w:ascii="Arial" w:hAnsi="Arial" w:cs="Arial"/>
                <w:b w:val="0"/>
                <w:sz w:val="20"/>
                <w:szCs w:val="20"/>
              </w:rPr>
            </w:pPr>
            <w:r>
              <w:rPr>
                <w:rFonts w:ascii="Arial" w:hAnsi="Arial" w:cs="Arial"/>
                <w:b w:val="0"/>
                <w:sz w:val="20"/>
                <w:szCs w:val="20"/>
              </w:rPr>
              <w:t>4.89</w:t>
            </w:r>
          </w:p>
        </w:tc>
        <w:tc>
          <w:tcPr>
            <w:tcW w:w="960" w:type="dxa"/>
            <w:tcBorders>
              <w:top w:val="nil"/>
              <w:left w:val="nil"/>
              <w:bottom w:val="single" w:sz="8" w:space="0" w:color="auto"/>
              <w:right w:val="single" w:sz="8" w:space="0" w:color="auto"/>
            </w:tcBorders>
            <w:shd w:val="clear" w:color="auto" w:fill="auto"/>
            <w:vAlign w:val="center"/>
            <w:hideMark/>
          </w:tcPr>
          <w:p w14:paraId="6B6B08F0" w14:textId="77777777" w:rsidR="00525BC1" w:rsidRPr="002A77EA" w:rsidRDefault="00525BC1" w:rsidP="008D1CD8">
            <w:pPr>
              <w:jc w:val="center"/>
              <w:rPr>
                <w:rFonts w:ascii="Arial" w:hAnsi="Arial" w:cs="Arial"/>
                <w:b w:val="0"/>
                <w:sz w:val="20"/>
                <w:szCs w:val="20"/>
              </w:rPr>
            </w:pPr>
            <w:r w:rsidRPr="002A77EA">
              <w:rPr>
                <w:rFonts w:ascii="Arial" w:hAnsi="Arial" w:cs="Arial"/>
                <w:b w:val="0"/>
                <w:sz w:val="20"/>
                <w:szCs w:val="20"/>
              </w:rPr>
              <w:t>11.16</w:t>
            </w:r>
          </w:p>
        </w:tc>
        <w:tc>
          <w:tcPr>
            <w:tcW w:w="840" w:type="dxa"/>
            <w:tcBorders>
              <w:top w:val="nil"/>
              <w:left w:val="nil"/>
              <w:bottom w:val="single" w:sz="8" w:space="0" w:color="auto"/>
              <w:right w:val="single" w:sz="8" w:space="0" w:color="auto"/>
            </w:tcBorders>
            <w:shd w:val="clear" w:color="auto" w:fill="auto"/>
            <w:vAlign w:val="center"/>
            <w:hideMark/>
          </w:tcPr>
          <w:p w14:paraId="0442DF78" w14:textId="77777777" w:rsidR="00525BC1" w:rsidRPr="002A77EA" w:rsidRDefault="00525BC1" w:rsidP="008D1CD8">
            <w:pPr>
              <w:jc w:val="center"/>
              <w:rPr>
                <w:rFonts w:ascii="Arial" w:hAnsi="Arial" w:cs="Arial"/>
                <w:b w:val="0"/>
                <w:sz w:val="20"/>
                <w:szCs w:val="20"/>
              </w:rPr>
            </w:pPr>
            <w:r w:rsidRPr="002A77EA">
              <w:rPr>
                <w:rFonts w:ascii="Arial" w:hAnsi="Arial" w:cs="Arial"/>
                <w:b w:val="0"/>
                <w:sz w:val="20"/>
                <w:szCs w:val="20"/>
              </w:rPr>
              <w:t>19,552</w:t>
            </w:r>
          </w:p>
        </w:tc>
        <w:tc>
          <w:tcPr>
            <w:tcW w:w="1060" w:type="dxa"/>
            <w:tcBorders>
              <w:top w:val="nil"/>
              <w:left w:val="nil"/>
              <w:bottom w:val="single" w:sz="8" w:space="0" w:color="auto"/>
              <w:right w:val="single" w:sz="8" w:space="0" w:color="auto"/>
            </w:tcBorders>
            <w:shd w:val="clear" w:color="auto" w:fill="auto"/>
            <w:vAlign w:val="center"/>
            <w:hideMark/>
          </w:tcPr>
          <w:p w14:paraId="1483B0E0" w14:textId="57B3241A" w:rsidR="00525BC1" w:rsidRPr="005D5F34" w:rsidRDefault="002F542C" w:rsidP="008D1CD8">
            <w:pPr>
              <w:jc w:val="center"/>
              <w:rPr>
                <w:rFonts w:ascii="Arial" w:hAnsi="Arial" w:cs="Arial"/>
                <w:b w:val="0"/>
                <w:sz w:val="20"/>
                <w:szCs w:val="20"/>
              </w:rPr>
            </w:pPr>
            <w:r>
              <w:rPr>
                <w:rFonts w:ascii="Arial" w:hAnsi="Arial" w:cs="Arial"/>
                <w:b w:val="0"/>
                <w:sz w:val="20"/>
                <w:szCs w:val="20"/>
              </w:rPr>
              <w:t>14.181</w:t>
            </w:r>
          </w:p>
        </w:tc>
        <w:tc>
          <w:tcPr>
            <w:tcW w:w="960" w:type="dxa"/>
            <w:tcBorders>
              <w:top w:val="nil"/>
              <w:left w:val="nil"/>
              <w:bottom w:val="single" w:sz="8" w:space="0" w:color="auto"/>
              <w:right w:val="single" w:sz="8" w:space="0" w:color="auto"/>
            </w:tcBorders>
            <w:shd w:val="clear" w:color="auto" w:fill="auto"/>
            <w:vAlign w:val="center"/>
            <w:hideMark/>
          </w:tcPr>
          <w:p w14:paraId="1B253048" w14:textId="3C7D6415" w:rsidR="00525BC1" w:rsidRPr="005D5F34" w:rsidRDefault="002F542C" w:rsidP="008D1CD8">
            <w:pPr>
              <w:jc w:val="center"/>
              <w:rPr>
                <w:rFonts w:ascii="Arial" w:hAnsi="Arial" w:cs="Arial"/>
                <w:b w:val="0"/>
                <w:sz w:val="20"/>
                <w:szCs w:val="20"/>
              </w:rPr>
            </w:pPr>
            <w:r>
              <w:rPr>
                <w:rFonts w:ascii="Arial" w:hAnsi="Arial" w:cs="Arial"/>
                <w:b w:val="0"/>
                <w:sz w:val="20"/>
                <w:szCs w:val="20"/>
              </w:rPr>
              <w:t>21,054</w:t>
            </w:r>
          </w:p>
        </w:tc>
        <w:tc>
          <w:tcPr>
            <w:tcW w:w="1080" w:type="dxa"/>
            <w:tcBorders>
              <w:top w:val="nil"/>
              <w:left w:val="nil"/>
              <w:bottom w:val="single" w:sz="8" w:space="0" w:color="auto"/>
              <w:right w:val="single" w:sz="8" w:space="0" w:color="auto"/>
            </w:tcBorders>
            <w:shd w:val="clear" w:color="auto" w:fill="auto"/>
            <w:vAlign w:val="center"/>
            <w:hideMark/>
          </w:tcPr>
          <w:p w14:paraId="7CBA08C1" w14:textId="5469DB4E" w:rsidR="00525BC1" w:rsidRPr="005D5F34" w:rsidRDefault="00730A39" w:rsidP="008D1CD8">
            <w:pPr>
              <w:jc w:val="center"/>
              <w:rPr>
                <w:rFonts w:ascii="Arial" w:hAnsi="Arial" w:cs="Arial"/>
                <w:b w:val="0"/>
                <w:sz w:val="20"/>
                <w:szCs w:val="20"/>
              </w:rPr>
            </w:pPr>
            <w:r>
              <w:rPr>
                <w:rFonts w:ascii="Arial" w:hAnsi="Arial" w:cs="Arial"/>
                <w:b w:val="0"/>
                <w:sz w:val="20"/>
                <w:szCs w:val="20"/>
              </w:rPr>
              <w:t>$4,552</w:t>
            </w:r>
            <w:r w:rsidR="00525BC1" w:rsidRPr="005D5F34">
              <w:rPr>
                <w:rFonts w:ascii="Arial" w:hAnsi="Arial" w:cs="Arial"/>
                <w:b w:val="0"/>
                <w:sz w:val="20"/>
                <w:szCs w:val="20"/>
              </w:rPr>
              <w:t xml:space="preserve"> </w:t>
            </w:r>
          </w:p>
        </w:tc>
      </w:tr>
    </w:tbl>
    <w:p w14:paraId="6DB0777D" w14:textId="77777777" w:rsidR="00525BC1" w:rsidRDefault="00525BC1" w:rsidP="00525BC1">
      <w:pPr>
        <w:pStyle w:val="BodyText"/>
        <w:spacing w:before="0" w:after="0" w:line="240" w:lineRule="auto"/>
        <w:rPr>
          <w:rFonts w:cs="Arial"/>
          <w:b w:val="0"/>
          <w:sz w:val="18"/>
          <w:szCs w:val="18"/>
        </w:rPr>
      </w:pPr>
    </w:p>
    <w:p w14:paraId="25E4D92B" w14:textId="77777777" w:rsidR="00525BC1" w:rsidRPr="00AB6B4C" w:rsidRDefault="00525BC1" w:rsidP="00525BC1">
      <w:pPr>
        <w:pStyle w:val="BodyText"/>
        <w:spacing w:before="60" w:after="0" w:line="240" w:lineRule="auto"/>
        <w:rPr>
          <w:rFonts w:cs="Arial"/>
          <w:b w:val="0"/>
          <w:sz w:val="18"/>
          <w:szCs w:val="18"/>
        </w:rPr>
      </w:pPr>
      <w:r w:rsidRPr="00AB6B4C">
        <w:rPr>
          <w:rFonts w:cs="Arial"/>
          <w:b w:val="0"/>
          <w:sz w:val="18"/>
          <w:szCs w:val="18"/>
        </w:rPr>
        <w:t>*</w:t>
      </w:r>
      <w:r>
        <w:rPr>
          <w:rFonts w:cs="Arial"/>
          <w:b w:val="0"/>
          <w:sz w:val="18"/>
          <w:szCs w:val="18"/>
        </w:rPr>
        <w:t xml:space="preserve"> P</w:t>
      </w:r>
      <w:r w:rsidRPr="002A77EA">
        <w:rPr>
          <w:rFonts w:cs="Arial"/>
          <w:b w:val="0"/>
          <w:sz w:val="18"/>
          <w:szCs w:val="18"/>
        </w:rPr>
        <w:t>ursuant to 16 TAC §</w:t>
      </w:r>
      <w:r w:rsidRPr="0062197F">
        <w:rPr>
          <w:rFonts w:cs="Arial"/>
          <w:b w:val="0"/>
          <w:sz w:val="18"/>
          <w:szCs w:val="18"/>
        </w:rPr>
        <w:t>25.181(e)(</w:t>
      </w:r>
      <w:r>
        <w:rPr>
          <w:rFonts w:cs="Arial"/>
          <w:b w:val="0"/>
          <w:sz w:val="18"/>
          <w:szCs w:val="18"/>
        </w:rPr>
        <w:t>1</w:t>
      </w:r>
      <w:r w:rsidRPr="002A77EA">
        <w:rPr>
          <w:rFonts w:cs="Arial"/>
          <w:b w:val="0"/>
          <w:sz w:val="18"/>
          <w:szCs w:val="18"/>
        </w:rPr>
        <w:t>)</w:t>
      </w:r>
      <w:r>
        <w:rPr>
          <w:rFonts w:cs="Arial"/>
          <w:b w:val="0"/>
          <w:sz w:val="18"/>
          <w:szCs w:val="18"/>
        </w:rPr>
        <w:t xml:space="preserve">  </w:t>
      </w:r>
    </w:p>
    <w:p w14:paraId="576C0988" w14:textId="77777777" w:rsidR="00525BC1" w:rsidRDefault="00525BC1" w:rsidP="00525BC1">
      <w:pPr>
        <w:pStyle w:val="BodyText"/>
        <w:spacing w:before="0" w:after="0" w:line="240" w:lineRule="auto"/>
        <w:rPr>
          <w:rFonts w:cs="Arial"/>
          <w:b w:val="0"/>
          <w:sz w:val="18"/>
          <w:szCs w:val="18"/>
        </w:rPr>
      </w:pPr>
      <w:r w:rsidRPr="00AB6B4C">
        <w:rPr>
          <w:rFonts w:cs="Arial"/>
          <w:b w:val="0"/>
          <w:sz w:val="18"/>
          <w:szCs w:val="18"/>
        </w:rPr>
        <w:t>** Calculated using a 20% conservation load factor</w:t>
      </w:r>
    </w:p>
    <w:p w14:paraId="1C5F9F04" w14:textId="580866D0" w:rsidR="00B37158" w:rsidRPr="00AB6B4C" w:rsidRDefault="00B37158" w:rsidP="00525BC1">
      <w:pPr>
        <w:pStyle w:val="BodyText"/>
        <w:spacing w:before="0" w:after="0" w:line="240" w:lineRule="auto"/>
        <w:rPr>
          <w:rFonts w:cs="Arial"/>
          <w:b w:val="0"/>
          <w:sz w:val="18"/>
          <w:szCs w:val="18"/>
        </w:rPr>
      </w:pPr>
      <w:r>
        <w:rPr>
          <w:rFonts w:cs="Arial"/>
          <w:b w:val="0"/>
          <w:sz w:val="18"/>
          <w:szCs w:val="18"/>
        </w:rPr>
        <w:t>***Proposed budget includes the overall program budget, EM&amp;V expenses, and EECRF proceeding expenses</w:t>
      </w:r>
    </w:p>
    <w:p w14:paraId="039094FC" w14:textId="77777777" w:rsidR="00525BC1" w:rsidRDefault="00525BC1" w:rsidP="00911709">
      <w:pPr>
        <w:pStyle w:val="BodyText"/>
        <w:spacing w:before="0" w:after="0" w:line="240" w:lineRule="auto"/>
        <w:rPr>
          <w:rFonts w:cs="Arial"/>
          <w:b w:val="0"/>
        </w:rPr>
      </w:pPr>
    </w:p>
    <w:p w14:paraId="298B3F5D" w14:textId="681930C1" w:rsidR="00750757" w:rsidRPr="00C16CFC" w:rsidRDefault="008A5C09" w:rsidP="00911709">
      <w:pPr>
        <w:pStyle w:val="BodyText"/>
        <w:spacing w:before="0" w:after="0" w:line="240" w:lineRule="auto"/>
        <w:rPr>
          <w:rFonts w:cs="Arial"/>
          <w:b w:val="0"/>
        </w:rPr>
      </w:pPr>
      <w:r w:rsidRPr="008A5C09">
        <w:rPr>
          <w:rFonts w:cs="Arial"/>
          <w:b w:val="0"/>
        </w:rPr>
        <w:t>The Energy Efficiency R</w:t>
      </w:r>
      <w:r w:rsidRPr="00CD23F7">
        <w:rPr>
          <w:rFonts w:cs="Arial"/>
          <w:b w:val="0"/>
        </w:rPr>
        <w:t xml:space="preserve">eport portion of this EEPR shows that, in </w:t>
      </w:r>
      <w:r w:rsidR="000770B8" w:rsidRPr="00CD23F7">
        <w:rPr>
          <w:rFonts w:cs="Arial"/>
          <w:b w:val="0"/>
        </w:rPr>
        <w:t>201</w:t>
      </w:r>
      <w:r w:rsidR="009D668B" w:rsidRPr="00CD23F7">
        <w:rPr>
          <w:rFonts w:cs="Arial"/>
          <w:b w:val="0"/>
        </w:rPr>
        <w:t>7</w:t>
      </w:r>
      <w:r w:rsidRPr="00CD23F7">
        <w:rPr>
          <w:rFonts w:cs="Arial"/>
          <w:b w:val="0"/>
        </w:rPr>
        <w:t>, EPE achieved a demand reduction in excess of its goal</w:t>
      </w:r>
      <w:r w:rsidR="007F2387" w:rsidRPr="00CD23F7">
        <w:rPr>
          <w:rFonts w:cs="Arial"/>
          <w:b w:val="0"/>
        </w:rPr>
        <w:t xml:space="preserve">. </w:t>
      </w:r>
      <w:r w:rsidR="008B0E32" w:rsidRPr="00CD23F7">
        <w:rPr>
          <w:rFonts w:cs="Arial"/>
          <w:b w:val="0"/>
        </w:rPr>
        <w:t>In 2017, the Company achieved a demand reduction of 15.1</w:t>
      </w:r>
      <w:r w:rsidR="00BF471F" w:rsidRPr="00CD23F7">
        <w:rPr>
          <w:rFonts w:cs="Arial"/>
          <w:b w:val="0"/>
        </w:rPr>
        <w:t>19</w:t>
      </w:r>
      <w:r w:rsidR="008B0E32" w:rsidRPr="00CD23F7">
        <w:rPr>
          <w:rFonts w:cs="Arial"/>
          <w:b w:val="0"/>
        </w:rPr>
        <w:t xml:space="preserve"> MW, which exceeded the demand red</w:t>
      </w:r>
      <w:r w:rsidR="00B37158" w:rsidRPr="00CD23F7">
        <w:rPr>
          <w:rFonts w:cs="Arial"/>
          <w:b w:val="0"/>
        </w:rPr>
        <w:t>uction goal of 11.16 MW by 35.47</w:t>
      </w:r>
      <w:r w:rsidR="008B0E32" w:rsidRPr="00CD23F7">
        <w:rPr>
          <w:rFonts w:cs="Arial"/>
          <w:b w:val="0"/>
        </w:rPr>
        <w:t xml:space="preserve">%.  </w:t>
      </w:r>
      <w:r w:rsidR="007F2387" w:rsidRPr="00CD23F7">
        <w:rPr>
          <w:rFonts w:cs="Arial"/>
          <w:b w:val="0"/>
        </w:rPr>
        <w:t xml:space="preserve">This was accomplished </w:t>
      </w:r>
      <w:r w:rsidRPr="00CD23F7">
        <w:rPr>
          <w:rFonts w:cs="Arial"/>
          <w:b w:val="0"/>
        </w:rPr>
        <w:t xml:space="preserve">through the implementation of </w:t>
      </w:r>
      <w:r w:rsidR="00A359E5" w:rsidRPr="00CD23F7">
        <w:rPr>
          <w:rFonts w:cs="Arial"/>
          <w:b w:val="0"/>
        </w:rPr>
        <w:t xml:space="preserve">EPE’s </w:t>
      </w:r>
      <w:r w:rsidRPr="00CD23F7">
        <w:rPr>
          <w:rFonts w:cs="Arial"/>
          <w:b w:val="0"/>
        </w:rPr>
        <w:t xml:space="preserve">SOPs, </w:t>
      </w:r>
      <w:r w:rsidR="00740A5D" w:rsidRPr="00CD23F7">
        <w:rPr>
          <w:rFonts w:cs="Arial"/>
          <w:b w:val="0"/>
        </w:rPr>
        <w:t xml:space="preserve">and </w:t>
      </w:r>
      <w:r w:rsidRPr="00CD23F7">
        <w:rPr>
          <w:rFonts w:cs="Arial"/>
          <w:b w:val="0"/>
        </w:rPr>
        <w:t>MTPs.</w:t>
      </w:r>
      <w:r w:rsidRPr="00AC4D60">
        <w:rPr>
          <w:rFonts w:cs="Arial"/>
          <w:b w:val="0"/>
        </w:rPr>
        <w:t xml:space="preserve">  </w:t>
      </w:r>
    </w:p>
    <w:p w14:paraId="5E0A9DDD" w14:textId="77777777" w:rsidR="00750757" w:rsidRPr="00844971" w:rsidRDefault="00750757" w:rsidP="00911709">
      <w:pPr>
        <w:pStyle w:val="BodyText"/>
        <w:spacing w:before="0" w:after="0" w:line="240" w:lineRule="auto"/>
        <w:rPr>
          <w:rFonts w:cs="Arial"/>
          <w:b w:val="0"/>
          <w:sz w:val="16"/>
        </w:rPr>
      </w:pPr>
    </w:p>
    <w:p w14:paraId="58570146" w14:textId="2853941C" w:rsidR="006F2C9E" w:rsidRPr="005E4C0D" w:rsidRDefault="00597FB6" w:rsidP="00911709">
      <w:pPr>
        <w:pStyle w:val="BodyText"/>
        <w:spacing w:before="0" w:after="0" w:line="240" w:lineRule="auto"/>
        <w:rPr>
          <w:rFonts w:cs="Arial"/>
          <w:b w:val="0"/>
          <w:sz w:val="10"/>
        </w:rPr>
      </w:pPr>
      <w:r w:rsidRPr="00597FB6">
        <w:rPr>
          <w:rFonts w:cs="Arial"/>
          <w:b w:val="0"/>
        </w:rPr>
        <w:lastRenderedPageBreak/>
        <w:t xml:space="preserve">The SOPs </w:t>
      </w:r>
      <w:r w:rsidR="002955E5">
        <w:rPr>
          <w:rFonts w:cs="Arial"/>
          <w:b w:val="0"/>
        </w:rPr>
        <w:t>that EPE provided</w:t>
      </w:r>
      <w:r w:rsidR="00AC778D">
        <w:rPr>
          <w:rFonts w:cs="Arial"/>
          <w:b w:val="0"/>
        </w:rPr>
        <w:t xml:space="preserve"> in </w:t>
      </w:r>
      <w:r w:rsidR="004B11D0">
        <w:rPr>
          <w:rFonts w:cs="Arial"/>
          <w:b w:val="0"/>
        </w:rPr>
        <w:t>201</w:t>
      </w:r>
      <w:r w:rsidR="009D668B">
        <w:rPr>
          <w:rFonts w:cs="Arial"/>
          <w:b w:val="0"/>
        </w:rPr>
        <w:t>7</w:t>
      </w:r>
      <w:r w:rsidR="005860B0">
        <w:rPr>
          <w:rFonts w:cs="Arial"/>
          <w:b w:val="0"/>
        </w:rPr>
        <w:t xml:space="preserve"> </w:t>
      </w:r>
      <w:r w:rsidR="007F2387">
        <w:rPr>
          <w:rFonts w:cs="Arial"/>
          <w:b w:val="0"/>
        </w:rPr>
        <w:t>were</w:t>
      </w:r>
      <w:r w:rsidR="007F2387" w:rsidRPr="00597FB6">
        <w:rPr>
          <w:rFonts w:cs="Arial"/>
          <w:b w:val="0"/>
        </w:rPr>
        <w:t xml:space="preserve"> </w:t>
      </w:r>
      <w:r w:rsidRPr="00597FB6">
        <w:rPr>
          <w:rFonts w:cs="Arial"/>
          <w:b w:val="0"/>
        </w:rPr>
        <w:t>the Commercial SO</w:t>
      </w:r>
      <w:r w:rsidR="00A00556">
        <w:rPr>
          <w:rFonts w:cs="Arial"/>
          <w:b w:val="0"/>
        </w:rPr>
        <w:t xml:space="preserve">P and the Load Management SOP. </w:t>
      </w:r>
      <w:r w:rsidRPr="00597FB6">
        <w:rPr>
          <w:rFonts w:cs="Arial"/>
          <w:b w:val="0"/>
        </w:rPr>
        <w:t>The MTPs</w:t>
      </w:r>
      <w:r w:rsidR="00AC778D">
        <w:rPr>
          <w:rFonts w:cs="Arial"/>
          <w:b w:val="0"/>
        </w:rPr>
        <w:t xml:space="preserve"> </w:t>
      </w:r>
      <w:r w:rsidR="007F2387">
        <w:rPr>
          <w:rFonts w:cs="Arial"/>
          <w:b w:val="0"/>
        </w:rPr>
        <w:t>were</w:t>
      </w:r>
      <w:r w:rsidR="007F2387" w:rsidRPr="00597FB6">
        <w:rPr>
          <w:rFonts w:cs="Arial"/>
          <w:b w:val="0"/>
        </w:rPr>
        <w:t xml:space="preserve"> </w:t>
      </w:r>
      <w:r w:rsidR="00E25B1D" w:rsidRPr="00597FB6">
        <w:rPr>
          <w:rFonts w:cs="Arial"/>
          <w:b w:val="0"/>
        </w:rPr>
        <w:t xml:space="preserve">the </w:t>
      </w:r>
      <w:r w:rsidR="002D6F65" w:rsidRPr="00597FB6">
        <w:rPr>
          <w:rFonts w:cs="Arial"/>
          <w:b w:val="0"/>
        </w:rPr>
        <w:t>Small Commercial Solutions MTP</w:t>
      </w:r>
      <w:r w:rsidR="002D6F65">
        <w:rPr>
          <w:rFonts w:cs="Arial"/>
          <w:b w:val="0"/>
        </w:rPr>
        <w:t>, the</w:t>
      </w:r>
      <w:r w:rsidR="002D6F65" w:rsidRPr="00597FB6">
        <w:rPr>
          <w:rFonts w:cs="Arial"/>
          <w:b w:val="0"/>
        </w:rPr>
        <w:t xml:space="preserve"> </w:t>
      </w:r>
      <w:r w:rsidR="00E25B1D" w:rsidRPr="00597FB6">
        <w:rPr>
          <w:rFonts w:cs="Arial"/>
          <w:b w:val="0"/>
        </w:rPr>
        <w:t>Large Commercial</w:t>
      </w:r>
      <w:r w:rsidR="00193DDC">
        <w:rPr>
          <w:rFonts w:cs="Arial"/>
          <w:b w:val="0"/>
        </w:rPr>
        <w:t xml:space="preserve"> &amp; Industrial (C&amp;I)</w:t>
      </w:r>
      <w:r w:rsidR="00E25B1D" w:rsidRPr="00597FB6">
        <w:rPr>
          <w:rFonts w:cs="Arial"/>
          <w:b w:val="0"/>
        </w:rPr>
        <w:t xml:space="preserve"> Solutions MTP, </w:t>
      </w:r>
      <w:r w:rsidRPr="00597FB6">
        <w:rPr>
          <w:rFonts w:cs="Arial"/>
          <w:b w:val="0"/>
        </w:rPr>
        <w:t xml:space="preserve">the Texas </w:t>
      </w:r>
      <w:r w:rsidR="009C37C9">
        <w:rPr>
          <w:rFonts w:cs="Arial"/>
          <w:b w:val="0"/>
        </w:rPr>
        <w:t>SCORE</w:t>
      </w:r>
      <w:r w:rsidRPr="00597FB6">
        <w:rPr>
          <w:rFonts w:cs="Arial"/>
          <w:b w:val="0"/>
        </w:rPr>
        <w:t xml:space="preserve"> MTP</w:t>
      </w:r>
      <w:r w:rsidR="007F2387" w:rsidRPr="00597FB6">
        <w:rPr>
          <w:rFonts w:cs="Arial"/>
          <w:b w:val="0"/>
        </w:rPr>
        <w:t xml:space="preserve">, </w:t>
      </w:r>
      <w:r w:rsidR="007F2387">
        <w:rPr>
          <w:rFonts w:cs="Arial"/>
          <w:b w:val="0"/>
        </w:rPr>
        <w:t>the</w:t>
      </w:r>
      <w:r w:rsidR="00E25B1D" w:rsidRPr="00597FB6">
        <w:rPr>
          <w:rFonts w:cs="Arial"/>
          <w:b w:val="0"/>
        </w:rPr>
        <w:t xml:space="preserve"> Residential Solutions MTP</w:t>
      </w:r>
      <w:r w:rsidR="00E25B1D">
        <w:rPr>
          <w:rFonts w:cs="Arial"/>
          <w:b w:val="0"/>
        </w:rPr>
        <w:t>,</w:t>
      </w:r>
      <w:r w:rsidR="00E25B1D" w:rsidRPr="00597FB6">
        <w:rPr>
          <w:rFonts w:cs="Arial"/>
          <w:b w:val="0"/>
        </w:rPr>
        <w:t xml:space="preserve"> the LivingWise</w:t>
      </w:r>
      <w:r w:rsidR="00E25B1D" w:rsidRPr="00E5175F">
        <w:rPr>
          <w:rFonts w:cs="Arial"/>
          <w:b w:val="0"/>
          <w:vertAlign w:val="superscript"/>
        </w:rPr>
        <w:t>®</w:t>
      </w:r>
      <w:r w:rsidR="00E25B1D" w:rsidRPr="00597FB6">
        <w:rPr>
          <w:rFonts w:cs="Arial"/>
          <w:b w:val="0"/>
        </w:rPr>
        <w:t xml:space="preserve"> MTP</w:t>
      </w:r>
      <w:r w:rsidR="00E25B1D">
        <w:rPr>
          <w:rFonts w:cs="Arial"/>
          <w:b w:val="0"/>
        </w:rPr>
        <w:t>,</w:t>
      </w:r>
      <w:r w:rsidR="00E25B1D" w:rsidRPr="00E25B1D">
        <w:rPr>
          <w:rFonts w:cs="Arial"/>
          <w:b w:val="0"/>
        </w:rPr>
        <w:t xml:space="preserve"> </w:t>
      </w:r>
      <w:r w:rsidR="00967F00">
        <w:rPr>
          <w:rFonts w:cs="Arial"/>
          <w:b w:val="0"/>
        </w:rPr>
        <w:t xml:space="preserve">and </w:t>
      </w:r>
      <w:r w:rsidR="007F2387" w:rsidRPr="00597FB6">
        <w:rPr>
          <w:rFonts w:cs="Arial"/>
          <w:b w:val="0"/>
        </w:rPr>
        <w:t>the Hard-to-Reach Solutions MTP</w:t>
      </w:r>
      <w:r w:rsidR="00967F00">
        <w:rPr>
          <w:rFonts w:cs="Arial"/>
          <w:b w:val="0"/>
        </w:rPr>
        <w:t>.</w:t>
      </w:r>
    </w:p>
    <w:p w14:paraId="14949BCB" w14:textId="77777777" w:rsidR="00106ED1" w:rsidRDefault="00106ED1" w:rsidP="00911709">
      <w:pPr>
        <w:pStyle w:val="BodyText"/>
        <w:spacing w:before="0" w:after="0" w:line="240" w:lineRule="auto"/>
        <w:rPr>
          <w:rFonts w:cs="Arial"/>
          <w:b w:val="0"/>
        </w:rPr>
      </w:pPr>
    </w:p>
    <w:p w14:paraId="24296635" w14:textId="31A07AFB" w:rsidR="00C30FC1" w:rsidRDefault="00A154CB" w:rsidP="00911709">
      <w:pPr>
        <w:pStyle w:val="BodyText"/>
        <w:spacing w:before="0" w:after="0" w:line="240" w:lineRule="auto"/>
        <w:rPr>
          <w:rFonts w:cs="Arial"/>
          <w:b w:val="0"/>
        </w:rPr>
      </w:pPr>
      <w:r w:rsidRPr="00380D16">
        <w:rPr>
          <w:rFonts w:cs="Arial"/>
          <w:b w:val="0"/>
        </w:rPr>
        <w:t xml:space="preserve">In order to reach the projected savings for </w:t>
      </w:r>
      <w:r w:rsidR="004B11D0">
        <w:rPr>
          <w:rFonts w:cs="Arial"/>
          <w:b w:val="0"/>
        </w:rPr>
        <w:t>201</w:t>
      </w:r>
      <w:r w:rsidR="00E24DAE">
        <w:rPr>
          <w:rFonts w:cs="Arial"/>
          <w:b w:val="0"/>
        </w:rPr>
        <w:t>8</w:t>
      </w:r>
      <w:r w:rsidR="00072C31">
        <w:rPr>
          <w:rFonts w:cs="Arial"/>
          <w:b w:val="0"/>
        </w:rPr>
        <w:t xml:space="preserve"> and 2019,</w:t>
      </w:r>
      <w:r w:rsidR="00525BC1">
        <w:rPr>
          <w:rFonts w:cs="Arial"/>
          <w:b w:val="0"/>
        </w:rPr>
        <w:t xml:space="preserve"> as shown in Table 1,</w:t>
      </w:r>
      <w:r w:rsidRPr="00380D16">
        <w:rPr>
          <w:rFonts w:cs="Arial"/>
          <w:b w:val="0"/>
        </w:rPr>
        <w:t xml:space="preserve"> EPE proposes to </w:t>
      </w:r>
      <w:r w:rsidR="001A2D00">
        <w:rPr>
          <w:rFonts w:cs="Arial"/>
          <w:b w:val="0"/>
        </w:rPr>
        <w:t>offer</w:t>
      </w:r>
      <w:r w:rsidR="001A2D00" w:rsidRPr="00380D16">
        <w:rPr>
          <w:rFonts w:cs="Arial"/>
          <w:b w:val="0"/>
        </w:rPr>
        <w:t xml:space="preserve"> </w:t>
      </w:r>
      <w:r w:rsidRPr="00380D16">
        <w:rPr>
          <w:rFonts w:cs="Arial"/>
          <w:b w:val="0"/>
        </w:rPr>
        <w:t xml:space="preserve">the following programs: </w:t>
      </w:r>
    </w:p>
    <w:p w14:paraId="6342C037" w14:textId="77777777" w:rsidR="00960D6B" w:rsidRPr="00380D16" w:rsidRDefault="00960D6B" w:rsidP="00911709">
      <w:pPr>
        <w:pStyle w:val="BodyText"/>
        <w:spacing w:before="0" w:after="0" w:line="240" w:lineRule="auto"/>
        <w:rPr>
          <w:rFonts w:cs="Arial"/>
          <w:b w:val="0"/>
        </w:rPr>
      </w:pPr>
    </w:p>
    <w:p w14:paraId="12D4EA54" w14:textId="622ACF6A" w:rsidR="00C30FC1" w:rsidRPr="00B04597" w:rsidRDefault="00960D6B" w:rsidP="007265D8">
      <w:pPr>
        <w:pStyle w:val="BodyText"/>
        <w:numPr>
          <w:ilvl w:val="0"/>
          <w:numId w:val="9"/>
        </w:numPr>
        <w:spacing w:before="0" w:after="0" w:line="240" w:lineRule="auto"/>
        <w:ind w:left="360"/>
        <w:rPr>
          <w:rFonts w:cs="Arial"/>
          <w:szCs w:val="22"/>
        </w:rPr>
      </w:pPr>
      <w:r w:rsidRPr="00B04597">
        <w:rPr>
          <w:rFonts w:cs="Arial"/>
          <w:szCs w:val="22"/>
        </w:rPr>
        <w:t>Standard Offer Program</w:t>
      </w:r>
    </w:p>
    <w:p w14:paraId="0D2E6505" w14:textId="77777777" w:rsidR="00960D6B" w:rsidRPr="009F4849" w:rsidRDefault="00960D6B" w:rsidP="00911709">
      <w:pPr>
        <w:pStyle w:val="BodyText"/>
        <w:spacing w:before="0" w:after="0" w:line="240" w:lineRule="auto"/>
        <w:rPr>
          <w:rFonts w:cs="Arial"/>
          <w:szCs w:val="22"/>
        </w:rPr>
      </w:pPr>
    </w:p>
    <w:p w14:paraId="65A8E4C8" w14:textId="77777777" w:rsidR="000B679D" w:rsidRPr="003A781B" w:rsidRDefault="00A154CB" w:rsidP="007265D8">
      <w:pPr>
        <w:pStyle w:val="ListBullet"/>
        <w:numPr>
          <w:ilvl w:val="0"/>
          <w:numId w:val="10"/>
        </w:numPr>
        <w:spacing w:before="0" w:after="0" w:line="240" w:lineRule="auto"/>
        <w:rPr>
          <w:rFonts w:ascii="Arial" w:hAnsi="Arial" w:cs="Arial"/>
          <w:b w:val="0"/>
          <w:sz w:val="22"/>
          <w:szCs w:val="22"/>
        </w:rPr>
      </w:pPr>
      <w:r w:rsidRPr="003A781B">
        <w:rPr>
          <w:rFonts w:ascii="Arial" w:hAnsi="Arial" w:cs="Arial"/>
          <w:b w:val="0"/>
          <w:sz w:val="22"/>
          <w:szCs w:val="22"/>
        </w:rPr>
        <w:t>Load Management SOP</w:t>
      </w:r>
    </w:p>
    <w:p w14:paraId="1B5DCB4A" w14:textId="77777777" w:rsidR="00981D9E" w:rsidRPr="003A781B" w:rsidRDefault="00981D9E" w:rsidP="00911709">
      <w:pPr>
        <w:pStyle w:val="ListBullet"/>
        <w:spacing w:before="0" w:after="0" w:line="240" w:lineRule="auto"/>
        <w:rPr>
          <w:rFonts w:ascii="Arial" w:hAnsi="Arial" w:cs="Arial"/>
          <w:sz w:val="22"/>
          <w:szCs w:val="22"/>
        </w:rPr>
      </w:pPr>
    </w:p>
    <w:p w14:paraId="784C884E" w14:textId="77777777" w:rsidR="00C30FC1" w:rsidRPr="00B04597" w:rsidRDefault="00A154CB" w:rsidP="007265D8">
      <w:pPr>
        <w:pStyle w:val="BodyText"/>
        <w:numPr>
          <w:ilvl w:val="0"/>
          <w:numId w:val="9"/>
        </w:numPr>
        <w:spacing w:before="0" w:after="0" w:line="240" w:lineRule="auto"/>
        <w:ind w:left="360"/>
        <w:rPr>
          <w:rFonts w:cs="Arial"/>
          <w:szCs w:val="22"/>
        </w:rPr>
      </w:pPr>
      <w:r w:rsidRPr="00B04597">
        <w:rPr>
          <w:rFonts w:cs="Arial"/>
          <w:szCs w:val="22"/>
        </w:rPr>
        <w:t>Market Transformation Programs</w:t>
      </w:r>
    </w:p>
    <w:p w14:paraId="2B1621E8" w14:textId="77777777" w:rsidR="00981D9E" w:rsidRPr="003A781B" w:rsidRDefault="00981D9E" w:rsidP="00911709">
      <w:pPr>
        <w:pStyle w:val="ListBullet"/>
        <w:spacing w:before="0" w:after="0" w:line="240" w:lineRule="auto"/>
        <w:rPr>
          <w:rFonts w:ascii="Arial" w:hAnsi="Arial" w:cs="Arial"/>
          <w:sz w:val="22"/>
          <w:szCs w:val="22"/>
        </w:rPr>
      </w:pPr>
    </w:p>
    <w:p w14:paraId="0B1F87A4" w14:textId="77777777" w:rsidR="002D6F65" w:rsidRPr="00AE500E" w:rsidRDefault="002D6F65" w:rsidP="007265D8">
      <w:pPr>
        <w:pStyle w:val="ListBullet"/>
        <w:numPr>
          <w:ilvl w:val="0"/>
          <w:numId w:val="10"/>
        </w:numPr>
        <w:spacing w:before="0" w:after="0" w:line="240" w:lineRule="auto"/>
        <w:rPr>
          <w:rFonts w:ascii="Arial" w:hAnsi="Arial" w:cs="Arial"/>
          <w:b w:val="0"/>
          <w:sz w:val="22"/>
          <w:szCs w:val="22"/>
        </w:rPr>
      </w:pPr>
      <w:r w:rsidRPr="00AE500E">
        <w:rPr>
          <w:rFonts w:ascii="Arial" w:hAnsi="Arial" w:cs="Arial"/>
          <w:b w:val="0"/>
          <w:sz w:val="22"/>
          <w:szCs w:val="22"/>
        </w:rPr>
        <w:t>Small Commercial Solutions MTP</w:t>
      </w:r>
    </w:p>
    <w:p w14:paraId="53A3678F" w14:textId="77777777" w:rsidR="009C4DC9" w:rsidRPr="00296EB4" w:rsidRDefault="002D6F65" w:rsidP="007265D8">
      <w:pPr>
        <w:pStyle w:val="ListBullet"/>
        <w:numPr>
          <w:ilvl w:val="0"/>
          <w:numId w:val="10"/>
        </w:numPr>
        <w:spacing w:before="0" w:after="0" w:line="240" w:lineRule="auto"/>
        <w:rPr>
          <w:rFonts w:ascii="Arial" w:hAnsi="Arial" w:cs="Arial"/>
          <w:b w:val="0"/>
          <w:sz w:val="22"/>
          <w:szCs w:val="22"/>
        </w:rPr>
      </w:pPr>
      <w:r>
        <w:rPr>
          <w:rFonts w:ascii="Arial" w:hAnsi="Arial" w:cs="Arial"/>
          <w:b w:val="0"/>
          <w:sz w:val="22"/>
          <w:szCs w:val="22"/>
        </w:rPr>
        <w:t>Large C&amp;I Solutions MTP</w:t>
      </w:r>
    </w:p>
    <w:p w14:paraId="3EC8AFA4" w14:textId="77777777" w:rsidR="00C30FC1" w:rsidRPr="009C4DC9" w:rsidRDefault="00A154CB" w:rsidP="007265D8">
      <w:pPr>
        <w:pStyle w:val="ListBullet"/>
        <w:numPr>
          <w:ilvl w:val="0"/>
          <w:numId w:val="10"/>
        </w:numPr>
        <w:spacing w:before="0" w:after="0" w:line="240" w:lineRule="auto"/>
        <w:rPr>
          <w:rFonts w:ascii="Arial" w:hAnsi="Arial" w:cs="Arial"/>
          <w:b w:val="0"/>
          <w:sz w:val="22"/>
          <w:szCs w:val="22"/>
        </w:rPr>
      </w:pPr>
      <w:r w:rsidRPr="009C4DC9">
        <w:rPr>
          <w:rFonts w:ascii="Arial" w:hAnsi="Arial" w:cs="Arial"/>
          <w:b w:val="0"/>
          <w:sz w:val="22"/>
          <w:szCs w:val="22"/>
        </w:rPr>
        <w:t>Texas SCORE MTP</w:t>
      </w:r>
    </w:p>
    <w:p w14:paraId="3407067D" w14:textId="77777777" w:rsidR="009C4DC9" w:rsidRPr="00050473" w:rsidRDefault="009C4DC9" w:rsidP="007265D8">
      <w:pPr>
        <w:pStyle w:val="ListBullet"/>
        <w:numPr>
          <w:ilvl w:val="0"/>
          <w:numId w:val="10"/>
        </w:numPr>
        <w:spacing w:before="0" w:after="0" w:line="240" w:lineRule="auto"/>
        <w:rPr>
          <w:rFonts w:ascii="Arial" w:hAnsi="Arial" w:cs="Arial"/>
          <w:b w:val="0"/>
          <w:sz w:val="22"/>
          <w:szCs w:val="22"/>
        </w:rPr>
      </w:pPr>
      <w:r w:rsidRPr="00050473">
        <w:rPr>
          <w:rFonts w:ascii="Arial" w:hAnsi="Arial" w:cs="Arial"/>
          <w:b w:val="0"/>
          <w:sz w:val="22"/>
          <w:szCs w:val="22"/>
        </w:rPr>
        <w:t>Residential Solutions MTP</w:t>
      </w:r>
    </w:p>
    <w:p w14:paraId="0C90B012" w14:textId="77777777" w:rsidR="00C30FC1" w:rsidRPr="009C4DC9" w:rsidRDefault="00ED0A9B" w:rsidP="007265D8">
      <w:pPr>
        <w:pStyle w:val="ListBullet"/>
        <w:numPr>
          <w:ilvl w:val="0"/>
          <w:numId w:val="10"/>
        </w:numPr>
        <w:spacing w:before="0" w:after="0" w:line="240" w:lineRule="auto"/>
        <w:rPr>
          <w:rFonts w:ascii="Arial" w:hAnsi="Arial" w:cs="Arial"/>
          <w:b w:val="0"/>
          <w:sz w:val="22"/>
          <w:szCs w:val="22"/>
        </w:rPr>
      </w:pPr>
      <w:r w:rsidRPr="009C4DC9">
        <w:rPr>
          <w:rFonts w:ascii="Arial" w:hAnsi="Arial" w:cs="Arial"/>
          <w:b w:val="0"/>
          <w:sz w:val="22"/>
          <w:szCs w:val="22"/>
        </w:rPr>
        <w:t>LivingWise</w:t>
      </w:r>
      <w:r w:rsidR="00ED6C55" w:rsidRPr="00ED6C55">
        <w:rPr>
          <w:b w:val="0"/>
          <w:vertAlign w:val="superscript"/>
        </w:rPr>
        <w:t>®</w:t>
      </w:r>
      <w:r w:rsidR="00A154CB" w:rsidRPr="009C4DC9">
        <w:rPr>
          <w:rFonts w:ascii="Arial" w:hAnsi="Arial" w:cs="Arial"/>
          <w:b w:val="0"/>
          <w:sz w:val="22"/>
          <w:szCs w:val="22"/>
        </w:rPr>
        <w:t xml:space="preserve"> MTP</w:t>
      </w:r>
    </w:p>
    <w:p w14:paraId="25BF6108" w14:textId="77777777" w:rsidR="00091CF3" w:rsidRDefault="00091CF3" w:rsidP="007265D8">
      <w:pPr>
        <w:pStyle w:val="ListBullet"/>
        <w:numPr>
          <w:ilvl w:val="0"/>
          <w:numId w:val="10"/>
        </w:numPr>
        <w:spacing w:before="0" w:after="0" w:line="240" w:lineRule="auto"/>
        <w:rPr>
          <w:rFonts w:ascii="Arial" w:hAnsi="Arial" w:cs="Arial"/>
          <w:b w:val="0"/>
          <w:sz w:val="22"/>
          <w:szCs w:val="22"/>
        </w:rPr>
      </w:pPr>
      <w:r w:rsidRPr="009C4DC9">
        <w:rPr>
          <w:rFonts w:ascii="Arial" w:hAnsi="Arial" w:cs="Arial"/>
          <w:b w:val="0"/>
          <w:sz w:val="22"/>
          <w:szCs w:val="22"/>
        </w:rPr>
        <w:t>Hard-to-Reach Solutions MTP</w:t>
      </w:r>
    </w:p>
    <w:p w14:paraId="5AD5F8FD" w14:textId="7932A2CA" w:rsidR="00072C31" w:rsidRDefault="00072C31" w:rsidP="007265D8">
      <w:pPr>
        <w:pStyle w:val="ListBullet"/>
        <w:numPr>
          <w:ilvl w:val="0"/>
          <w:numId w:val="10"/>
        </w:numPr>
        <w:spacing w:before="0" w:after="0" w:line="240" w:lineRule="auto"/>
        <w:rPr>
          <w:rFonts w:ascii="Arial" w:hAnsi="Arial" w:cs="Arial"/>
          <w:b w:val="0"/>
          <w:sz w:val="22"/>
          <w:szCs w:val="22"/>
        </w:rPr>
      </w:pPr>
      <w:r>
        <w:rPr>
          <w:rFonts w:ascii="Arial" w:hAnsi="Arial" w:cs="Arial"/>
          <w:b w:val="0"/>
          <w:sz w:val="22"/>
          <w:szCs w:val="22"/>
        </w:rPr>
        <w:t>Demand Response Pilot Program (DRPP) MTP</w:t>
      </w:r>
    </w:p>
    <w:p w14:paraId="5DBDF7FF" w14:textId="269C2090" w:rsidR="00072C31" w:rsidRDefault="00072C31" w:rsidP="007265D8">
      <w:pPr>
        <w:pStyle w:val="ListBullet"/>
        <w:numPr>
          <w:ilvl w:val="0"/>
          <w:numId w:val="10"/>
        </w:numPr>
        <w:spacing w:before="0" w:after="0" w:line="240" w:lineRule="auto"/>
        <w:rPr>
          <w:rFonts w:ascii="Arial" w:hAnsi="Arial" w:cs="Arial"/>
          <w:b w:val="0"/>
          <w:sz w:val="22"/>
          <w:szCs w:val="22"/>
        </w:rPr>
      </w:pPr>
      <w:r>
        <w:rPr>
          <w:rFonts w:ascii="Arial" w:hAnsi="Arial" w:cs="Arial"/>
          <w:b w:val="0"/>
          <w:sz w:val="22"/>
          <w:szCs w:val="22"/>
        </w:rPr>
        <w:t>Texas Appliance Recycling MTP</w:t>
      </w:r>
    </w:p>
    <w:p w14:paraId="39FA361D" w14:textId="77777777" w:rsidR="00DA76D4" w:rsidRDefault="00DA76D4" w:rsidP="00911709">
      <w:pPr>
        <w:pStyle w:val="ListBullet"/>
        <w:spacing w:before="0" w:after="0" w:line="240" w:lineRule="auto"/>
        <w:jc w:val="both"/>
        <w:rPr>
          <w:rFonts w:ascii="Arial" w:hAnsi="Arial" w:cs="Arial"/>
          <w:b w:val="0"/>
          <w:sz w:val="22"/>
          <w:szCs w:val="22"/>
        </w:rPr>
      </w:pPr>
    </w:p>
    <w:p w14:paraId="6019F1F4" w14:textId="77777777" w:rsidR="007B5E31" w:rsidRPr="003A781B" w:rsidRDefault="007B5E31" w:rsidP="00911709">
      <w:pPr>
        <w:pStyle w:val="ListBullet"/>
        <w:spacing w:before="0" w:after="0" w:line="240" w:lineRule="auto"/>
        <w:jc w:val="both"/>
        <w:rPr>
          <w:rFonts w:ascii="Arial" w:hAnsi="Arial" w:cs="Arial"/>
          <w:b w:val="0"/>
          <w:sz w:val="22"/>
          <w:szCs w:val="22"/>
        </w:rPr>
      </w:pPr>
      <w:bookmarkStart w:id="4" w:name="_Toc190729539"/>
    </w:p>
    <w:p w14:paraId="5E640557" w14:textId="0C74D937" w:rsidR="007B5E31" w:rsidRPr="003A781B" w:rsidRDefault="007B5E31" w:rsidP="00911709">
      <w:pPr>
        <w:pStyle w:val="ListBullet"/>
        <w:spacing w:before="0" w:after="0" w:line="240" w:lineRule="auto"/>
        <w:jc w:val="both"/>
        <w:rPr>
          <w:rFonts w:ascii="Arial" w:hAnsi="Arial" w:cs="Arial"/>
          <w:b w:val="0"/>
          <w:sz w:val="22"/>
          <w:szCs w:val="22"/>
        </w:rPr>
      </w:pPr>
      <w:r w:rsidRPr="003A781B">
        <w:rPr>
          <w:rFonts w:ascii="Arial" w:hAnsi="Arial" w:cs="Arial"/>
          <w:b w:val="0"/>
          <w:sz w:val="22"/>
          <w:szCs w:val="22"/>
        </w:rPr>
        <w:t xml:space="preserve">EPE </w:t>
      </w:r>
      <w:r w:rsidR="001F332C">
        <w:rPr>
          <w:rFonts w:ascii="Arial" w:hAnsi="Arial" w:cs="Arial"/>
          <w:b w:val="0"/>
          <w:sz w:val="22"/>
          <w:szCs w:val="22"/>
        </w:rPr>
        <w:t>will continue its</w:t>
      </w:r>
      <w:r w:rsidRPr="003A781B">
        <w:rPr>
          <w:rFonts w:ascii="Arial" w:hAnsi="Arial" w:cs="Arial"/>
          <w:b w:val="0"/>
          <w:sz w:val="22"/>
          <w:szCs w:val="22"/>
        </w:rPr>
        <w:t xml:space="preserve"> agreement with CLEAResult</w:t>
      </w:r>
      <w:r w:rsidR="00F81929">
        <w:rPr>
          <w:rFonts w:ascii="Arial" w:hAnsi="Arial" w:cs="Arial"/>
          <w:b w:val="0"/>
          <w:sz w:val="22"/>
          <w:szCs w:val="22"/>
        </w:rPr>
        <w:t xml:space="preserve"> Consulting</w:t>
      </w:r>
      <w:r w:rsidR="00EC7BFB">
        <w:rPr>
          <w:rFonts w:ascii="Arial" w:hAnsi="Arial" w:cs="Arial"/>
          <w:b w:val="0"/>
          <w:sz w:val="22"/>
          <w:szCs w:val="22"/>
        </w:rPr>
        <w:t>,</w:t>
      </w:r>
      <w:r w:rsidR="00F81929">
        <w:rPr>
          <w:rFonts w:ascii="Arial" w:hAnsi="Arial" w:cs="Arial"/>
          <w:b w:val="0"/>
          <w:sz w:val="22"/>
          <w:szCs w:val="22"/>
        </w:rPr>
        <w:t xml:space="preserve"> Inc. (CLEAResult)</w:t>
      </w:r>
      <w:r w:rsidRPr="003A781B">
        <w:rPr>
          <w:rFonts w:ascii="Arial" w:hAnsi="Arial" w:cs="Arial"/>
          <w:b w:val="0"/>
          <w:sz w:val="22"/>
          <w:szCs w:val="22"/>
        </w:rPr>
        <w:t xml:space="preserve"> to </w:t>
      </w:r>
      <w:r>
        <w:rPr>
          <w:rFonts w:ascii="Arial" w:hAnsi="Arial" w:cs="Arial"/>
          <w:b w:val="0"/>
          <w:sz w:val="22"/>
          <w:szCs w:val="22"/>
        </w:rPr>
        <w:t>implement</w:t>
      </w:r>
      <w:r w:rsidRPr="003A781B">
        <w:rPr>
          <w:rFonts w:ascii="Arial" w:hAnsi="Arial" w:cs="Arial"/>
          <w:b w:val="0"/>
          <w:sz w:val="22"/>
          <w:szCs w:val="22"/>
        </w:rPr>
        <w:t xml:space="preserve"> EPE's Texas SCORE MTP and the four "Solutions" MTPs.</w:t>
      </w:r>
    </w:p>
    <w:p w14:paraId="3E2DC36E" w14:textId="77777777" w:rsidR="007B5E31" w:rsidRPr="003A781B" w:rsidRDefault="007B5E31" w:rsidP="00911709">
      <w:pPr>
        <w:pStyle w:val="ListBullet"/>
        <w:spacing w:before="0" w:after="0" w:line="240" w:lineRule="auto"/>
        <w:jc w:val="both"/>
        <w:rPr>
          <w:rFonts w:ascii="Arial" w:hAnsi="Arial" w:cs="Arial"/>
          <w:b w:val="0"/>
          <w:sz w:val="22"/>
          <w:szCs w:val="22"/>
        </w:rPr>
      </w:pPr>
    </w:p>
    <w:p w14:paraId="1BC4920A" w14:textId="78C798AB" w:rsidR="00581E87" w:rsidRDefault="007B5E31" w:rsidP="00911709">
      <w:pPr>
        <w:pStyle w:val="BodyText"/>
        <w:spacing w:before="0" w:after="0" w:line="240" w:lineRule="auto"/>
        <w:rPr>
          <w:rFonts w:cs="Arial"/>
          <w:b w:val="0"/>
          <w:szCs w:val="22"/>
        </w:rPr>
      </w:pPr>
      <w:r w:rsidRPr="003A781B">
        <w:rPr>
          <w:rFonts w:cs="Arial"/>
          <w:b w:val="0"/>
          <w:szCs w:val="22"/>
        </w:rPr>
        <w:t xml:space="preserve">EPE </w:t>
      </w:r>
      <w:r w:rsidR="001F332C">
        <w:rPr>
          <w:rFonts w:cs="Arial"/>
          <w:b w:val="0"/>
          <w:szCs w:val="22"/>
        </w:rPr>
        <w:t>will continue its</w:t>
      </w:r>
      <w:r w:rsidRPr="003A781B">
        <w:rPr>
          <w:rFonts w:cs="Arial"/>
          <w:b w:val="0"/>
          <w:szCs w:val="22"/>
        </w:rPr>
        <w:t xml:space="preserve"> agreement with Resource Action Programs to offer EPE's LivingWise</w:t>
      </w:r>
      <w:r w:rsidRPr="001F061D">
        <w:rPr>
          <w:b w:val="0"/>
          <w:vertAlign w:val="superscript"/>
        </w:rPr>
        <w:t>®</w:t>
      </w:r>
      <w:r w:rsidRPr="003A781B">
        <w:rPr>
          <w:rFonts w:cs="Arial"/>
          <w:b w:val="0"/>
          <w:szCs w:val="22"/>
        </w:rPr>
        <w:t xml:space="preserve"> MTP</w:t>
      </w:r>
      <w:r>
        <w:rPr>
          <w:rFonts w:cs="Arial"/>
          <w:b w:val="0"/>
          <w:szCs w:val="22"/>
        </w:rPr>
        <w:t>.</w:t>
      </w:r>
    </w:p>
    <w:p w14:paraId="6A738B52" w14:textId="77777777" w:rsidR="00581E87" w:rsidRDefault="00581E87" w:rsidP="00E14BE9">
      <w:pPr>
        <w:pStyle w:val="ListBullet"/>
        <w:spacing w:before="0" w:after="0" w:line="240" w:lineRule="auto"/>
        <w:jc w:val="both"/>
        <w:rPr>
          <w:rFonts w:ascii="Arial" w:hAnsi="Arial" w:cs="Arial"/>
          <w:b w:val="0"/>
          <w:sz w:val="22"/>
          <w:szCs w:val="22"/>
        </w:rPr>
      </w:pPr>
    </w:p>
    <w:p w14:paraId="6DB4A985" w14:textId="59CEDEBB" w:rsidR="00581E87" w:rsidRPr="00E14BE9" w:rsidRDefault="00581E87" w:rsidP="00E14BE9">
      <w:pPr>
        <w:pStyle w:val="ListBullet"/>
        <w:spacing w:before="0" w:after="0" w:line="240" w:lineRule="auto"/>
        <w:jc w:val="both"/>
        <w:rPr>
          <w:rFonts w:ascii="Arial" w:hAnsi="Arial" w:cs="Arial"/>
          <w:b w:val="0"/>
          <w:sz w:val="22"/>
          <w:szCs w:val="22"/>
        </w:rPr>
      </w:pPr>
      <w:r>
        <w:rPr>
          <w:rFonts w:ascii="Arial" w:hAnsi="Arial" w:cs="Arial"/>
          <w:b w:val="0"/>
          <w:sz w:val="22"/>
          <w:szCs w:val="22"/>
        </w:rPr>
        <w:t>EPE</w:t>
      </w:r>
      <w:r w:rsidR="00072C31">
        <w:rPr>
          <w:rFonts w:ascii="Arial" w:hAnsi="Arial" w:cs="Arial"/>
          <w:b w:val="0"/>
          <w:sz w:val="22"/>
          <w:szCs w:val="22"/>
        </w:rPr>
        <w:t xml:space="preserve"> will continue its agreement</w:t>
      </w:r>
      <w:r>
        <w:rPr>
          <w:rFonts w:ascii="Arial" w:hAnsi="Arial" w:cs="Arial"/>
          <w:b w:val="0"/>
          <w:sz w:val="22"/>
          <w:szCs w:val="22"/>
        </w:rPr>
        <w:t xml:space="preserve"> with EnergyHub</w:t>
      </w:r>
      <w:r w:rsidR="009546F6">
        <w:rPr>
          <w:rFonts w:ascii="Arial" w:hAnsi="Arial" w:cs="Arial"/>
          <w:b w:val="0"/>
          <w:sz w:val="22"/>
          <w:szCs w:val="22"/>
        </w:rPr>
        <w:t>, Inc. (EnergyHub)</w:t>
      </w:r>
      <w:r>
        <w:rPr>
          <w:rFonts w:ascii="Arial" w:hAnsi="Arial" w:cs="Arial"/>
          <w:b w:val="0"/>
          <w:sz w:val="22"/>
          <w:szCs w:val="22"/>
        </w:rPr>
        <w:t xml:space="preserve"> to implement the</w:t>
      </w:r>
      <w:r w:rsidR="00C321B0">
        <w:rPr>
          <w:rFonts w:ascii="Arial" w:hAnsi="Arial" w:cs="Arial"/>
          <w:b w:val="0"/>
          <w:sz w:val="22"/>
          <w:szCs w:val="22"/>
        </w:rPr>
        <w:t xml:space="preserve"> </w:t>
      </w:r>
      <w:r w:rsidR="001907EB">
        <w:rPr>
          <w:rFonts w:ascii="Arial" w:hAnsi="Arial" w:cs="Arial"/>
          <w:b w:val="0"/>
          <w:sz w:val="22"/>
          <w:szCs w:val="22"/>
        </w:rPr>
        <w:t>DRPP</w:t>
      </w:r>
      <w:r w:rsidR="00EB10AD">
        <w:rPr>
          <w:rFonts w:ascii="Arial" w:hAnsi="Arial" w:cs="Arial"/>
          <w:b w:val="0"/>
          <w:sz w:val="22"/>
          <w:szCs w:val="22"/>
        </w:rPr>
        <w:t xml:space="preserve"> MTP</w:t>
      </w:r>
      <w:r>
        <w:rPr>
          <w:rFonts w:ascii="Arial" w:hAnsi="Arial" w:cs="Arial"/>
          <w:b w:val="0"/>
          <w:sz w:val="22"/>
          <w:szCs w:val="22"/>
        </w:rPr>
        <w:t>.</w:t>
      </w:r>
    </w:p>
    <w:p w14:paraId="02A4157B" w14:textId="77777777" w:rsidR="00740A5D" w:rsidRDefault="00740A5D" w:rsidP="00E14BE9">
      <w:pPr>
        <w:pStyle w:val="ListBullet"/>
        <w:spacing w:before="0" w:after="0" w:line="240" w:lineRule="auto"/>
        <w:rPr>
          <w:rFonts w:cs="Arial"/>
          <w:b w:val="0"/>
          <w:szCs w:val="22"/>
        </w:rPr>
      </w:pPr>
    </w:p>
    <w:p w14:paraId="22A7043A" w14:textId="7F9A3421" w:rsidR="00581E87" w:rsidRPr="008B6F20" w:rsidRDefault="00581E87" w:rsidP="00581E87">
      <w:pPr>
        <w:pStyle w:val="ListBullet"/>
        <w:spacing w:before="0" w:after="0" w:line="240" w:lineRule="auto"/>
        <w:jc w:val="both"/>
        <w:rPr>
          <w:rFonts w:ascii="Arial" w:hAnsi="Arial" w:cs="Arial"/>
          <w:b w:val="0"/>
          <w:sz w:val="22"/>
          <w:szCs w:val="22"/>
        </w:rPr>
      </w:pPr>
      <w:r>
        <w:rPr>
          <w:rFonts w:ascii="Arial" w:hAnsi="Arial" w:cs="Arial"/>
          <w:b w:val="0"/>
          <w:sz w:val="22"/>
          <w:szCs w:val="22"/>
        </w:rPr>
        <w:t xml:space="preserve">EPE </w:t>
      </w:r>
      <w:r w:rsidR="00072C31">
        <w:rPr>
          <w:rFonts w:ascii="Arial" w:hAnsi="Arial" w:cs="Arial"/>
          <w:b w:val="0"/>
          <w:sz w:val="22"/>
          <w:szCs w:val="22"/>
        </w:rPr>
        <w:t xml:space="preserve">executed an agreement </w:t>
      </w:r>
      <w:r>
        <w:rPr>
          <w:rFonts w:ascii="Arial" w:hAnsi="Arial" w:cs="Arial"/>
          <w:b w:val="0"/>
          <w:sz w:val="22"/>
          <w:szCs w:val="22"/>
        </w:rPr>
        <w:t xml:space="preserve">with ARCA </w:t>
      </w:r>
      <w:r w:rsidR="008E466E">
        <w:rPr>
          <w:rFonts w:ascii="Arial" w:hAnsi="Arial" w:cs="Arial"/>
          <w:b w:val="0"/>
          <w:sz w:val="22"/>
          <w:szCs w:val="22"/>
        </w:rPr>
        <w:t>Recycling, Inc.</w:t>
      </w:r>
      <w:r w:rsidR="007B6068">
        <w:rPr>
          <w:rFonts w:ascii="Arial" w:hAnsi="Arial" w:cs="Arial"/>
          <w:b w:val="0"/>
          <w:sz w:val="22"/>
          <w:szCs w:val="22"/>
        </w:rPr>
        <w:t xml:space="preserve"> (ARCA)</w:t>
      </w:r>
      <w:r w:rsidR="008E466E">
        <w:rPr>
          <w:rFonts w:ascii="Arial" w:hAnsi="Arial" w:cs="Arial"/>
          <w:b w:val="0"/>
          <w:sz w:val="22"/>
          <w:szCs w:val="22"/>
        </w:rPr>
        <w:t xml:space="preserve"> </w:t>
      </w:r>
      <w:r>
        <w:rPr>
          <w:rFonts w:ascii="Arial" w:hAnsi="Arial" w:cs="Arial"/>
          <w:b w:val="0"/>
          <w:sz w:val="22"/>
          <w:szCs w:val="22"/>
        </w:rPr>
        <w:t xml:space="preserve">to implement the </w:t>
      </w:r>
      <w:r w:rsidR="00EB10AD">
        <w:rPr>
          <w:rFonts w:ascii="Arial" w:hAnsi="Arial" w:cs="Arial"/>
          <w:b w:val="0"/>
          <w:sz w:val="22"/>
          <w:szCs w:val="22"/>
        </w:rPr>
        <w:t xml:space="preserve">Texas </w:t>
      </w:r>
      <w:r>
        <w:rPr>
          <w:rFonts w:ascii="Arial" w:hAnsi="Arial" w:cs="Arial"/>
          <w:b w:val="0"/>
          <w:sz w:val="22"/>
          <w:szCs w:val="22"/>
        </w:rPr>
        <w:t>Appliance Recycling MTP.</w:t>
      </w:r>
    </w:p>
    <w:p w14:paraId="19AD2667" w14:textId="77777777" w:rsidR="00581E87" w:rsidRDefault="00581E87" w:rsidP="00E14BE9">
      <w:pPr>
        <w:pStyle w:val="ListBullet"/>
        <w:spacing w:before="0" w:after="0" w:line="240" w:lineRule="auto"/>
        <w:rPr>
          <w:rFonts w:cs="Arial"/>
          <w:b w:val="0"/>
          <w:szCs w:val="22"/>
        </w:rPr>
      </w:pPr>
    </w:p>
    <w:p w14:paraId="6BD8AEED" w14:textId="77777777" w:rsidR="00740A5D" w:rsidRPr="009C4DC9" w:rsidRDefault="00740A5D" w:rsidP="00E14BE9">
      <w:pPr>
        <w:pStyle w:val="ListBullet"/>
        <w:spacing w:before="0" w:after="0" w:line="240" w:lineRule="auto"/>
        <w:rPr>
          <w:rFonts w:ascii="Arial" w:hAnsi="Arial" w:cs="Arial"/>
          <w:b w:val="0"/>
          <w:sz w:val="22"/>
          <w:szCs w:val="22"/>
        </w:rPr>
      </w:pPr>
    </w:p>
    <w:p w14:paraId="6C299F70" w14:textId="77777777" w:rsidR="00981D9E" w:rsidRPr="00981D9E" w:rsidRDefault="001904AE" w:rsidP="00911709">
      <w:pPr>
        <w:pStyle w:val="Heading5"/>
        <w:keepNext w:val="0"/>
        <w:spacing w:before="0" w:after="0"/>
        <w:jc w:val="center"/>
        <w:rPr>
          <w:rFonts w:cs="Arial"/>
          <w:spacing w:val="0"/>
          <w:sz w:val="28"/>
          <w:szCs w:val="28"/>
        </w:rPr>
      </w:pPr>
      <w:r w:rsidRPr="00BA4766">
        <w:rPr>
          <w:color w:val="FF0000"/>
        </w:rPr>
        <w:br w:type="page"/>
      </w:r>
      <w:bookmarkStart w:id="5" w:name="OLE_LINK1"/>
      <w:bookmarkStart w:id="6" w:name="_Toc509500749"/>
      <w:r w:rsidR="00513355" w:rsidRPr="00981D9E">
        <w:rPr>
          <w:rFonts w:cs="Arial"/>
          <w:spacing w:val="0"/>
          <w:sz w:val="28"/>
          <w:szCs w:val="28"/>
        </w:rPr>
        <w:lastRenderedPageBreak/>
        <w:t>Energy Efficiency Plan</w:t>
      </w:r>
      <w:bookmarkEnd w:id="5"/>
      <w:bookmarkEnd w:id="6"/>
    </w:p>
    <w:p w14:paraId="13D669BA" w14:textId="77777777" w:rsidR="00C30FC1" w:rsidRDefault="00C30FC1" w:rsidP="00911709"/>
    <w:p w14:paraId="23A2B68D" w14:textId="542403E4" w:rsidR="009C1382" w:rsidRDefault="004B11D0" w:rsidP="00911709">
      <w:pPr>
        <w:pStyle w:val="Heading1"/>
        <w:keepNext w:val="0"/>
        <w:tabs>
          <w:tab w:val="clear" w:pos="360"/>
          <w:tab w:val="num" w:pos="720"/>
        </w:tabs>
        <w:spacing w:before="0" w:after="0"/>
        <w:rPr>
          <w:rFonts w:cs="Arial"/>
          <w:spacing w:val="0"/>
        </w:rPr>
      </w:pPr>
      <w:bookmarkStart w:id="7" w:name="_Toc509500750"/>
      <w:r>
        <w:rPr>
          <w:rFonts w:cs="Arial"/>
          <w:spacing w:val="0"/>
        </w:rPr>
        <w:t>201</w:t>
      </w:r>
      <w:r w:rsidR="00824DA0">
        <w:rPr>
          <w:rFonts w:cs="Arial"/>
          <w:spacing w:val="0"/>
        </w:rPr>
        <w:t>8</w:t>
      </w:r>
      <w:r w:rsidR="00EE4744" w:rsidRPr="00981D9E">
        <w:rPr>
          <w:rFonts w:cs="Arial"/>
          <w:spacing w:val="0"/>
        </w:rPr>
        <w:t xml:space="preserve"> </w:t>
      </w:r>
      <w:r w:rsidR="001904AE" w:rsidRPr="00981D9E">
        <w:rPr>
          <w:rFonts w:cs="Arial"/>
          <w:spacing w:val="0"/>
        </w:rPr>
        <w:t>Programs</w:t>
      </w:r>
      <w:bookmarkEnd w:id="4"/>
      <w:bookmarkEnd w:id="7"/>
    </w:p>
    <w:p w14:paraId="3441F89E" w14:textId="77777777" w:rsidR="00981D9E" w:rsidRPr="00981D9E" w:rsidRDefault="00981D9E" w:rsidP="00911709"/>
    <w:p w14:paraId="61EBA47B" w14:textId="529E3253" w:rsidR="001904AE" w:rsidRPr="00981D9E" w:rsidRDefault="004B11D0" w:rsidP="00911709">
      <w:pPr>
        <w:pStyle w:val="Heading2"/>
        <w:keepNext w:val="0"/>
        <w:tabs>
          <w:tab w:val="num" w:pos="0"/>
        </w:tabs>
        <w:spacing w:before="0" w:after="0"/>
        <w:rPr>
          <w:rFonts w:cs="Arial"/>
          <w:spacing w:val="0"/>
        </w:rPr>
      </w:pPr>
      <w:bookmarkStart w:id="8" w:name="_Toc190729540"/>
      <w:bookmarkStart w:id="9" w:name="_Toc509500751"/>
      <w:r>
        <w:rPr>
          <w:rFonts w:cs="Arial"/>
          <w:spacing w:val="0"/>
        </w:rPr>
        <w:t>201</w:t>
      </w:r>
      <w:r w:rsidR="00824DA0">
        <w:rPr>
          <w:rFonts w:cs="Arial"/>
          <w:spacing w:val="0"/>
        </w:rPr>
        <w:t>8</w:t>
      </w:r>
      <w:r w:rsidR="00EE4744" w:rsidRPr="00981D9E">
        <w:rPr>
          <w:rFonts w:cs="Arial"/>
          <w:spacing w:val="0"/>
        </w:rPr>
        <w:t xml:space="preserve"> </w:t>
      </w:r>
      <w:r w:rsidR="001904AE" w:rsidRPr="00981D9E">
        <w:rPr>
          <w:rFonts w:cs="Arial"/>
          <w:spacing w:val="0"/>
        </w:rPr>
        <w:t>Program Portfolio</w:t>
      </w:r>
      <w:bookmarkEnd w:id="8"/>
      <w:bookmarkEnd w:id="9"/>
    </w:p>
    <w:p w14:paraId="2811EFC8" w14:textId="77777777" w:rsidR="00981D9E" w:rsidRDefault="00981D9E" w:rsidP="00911709">
      <w:pPr>
        <w:pStyle w:val="BodyText"/>
        <w:spacing w:before="0" w:after="0" w:line="240" w:lineRule="auto"/>
        <w:rPr>
          <w:rFonts w:cs="Arial"/>
          <w:b w:val="0"/>
        </w:rPr>
      </w:pPr>
    </w:p>
    <w:p w14:paraId="5328911D" w14:textId="2BD9718A" w:rsidR="00C30FC1" w:rsidRDefault="00D53580" w:rsidP="00911709">
      <w:pPr>
        <w:pStyle w:val="BodyText"/>
        <w:spacing w:before="0" w:after="0" w:line="240" w:lineRule="auto"/>
        <w:rPr>
          <w:rFonts w:cs="Arial"/>
          <w:b w:val="0"/>
        </w:rPr>
      </w:pPr>
      <w:r w:rsidRPr="00981D9E">
        <w:rPr>
          <w:rFonts w:cs="Arial"/>
          <w:b w:val="0"/>
        </w:rPr>
        <w:t>El Paso Electric Company (EPE</w:t>
      </w:r>
      <w:r w:rsidR="008270D8">
        <w:rPr>
          <w:rFonts w:cs="Arial"/>
          <w:b w:val="0"/>
        </w:rPr>
        <w:t xml:space="preserve"> or Company</w:t>
      </w:r>
      <w:r w:rsidRPr="00981D9E">
        <w:rPr>
          <w:rFonts w:cs="Arial"/>
          <w:b w:val="0"/>
        </w:rPr>
        <w:t>)</w:t>
      </w:r>
      <w:r w:rsidR="001904AE" w:rsidRPr="00981D9E">
        <w:rPr>
          <w:rFonts w:cs="Arial"/>
          <w:b w:val="0"/>
        </w:rPr>
        <w:t xml:space="preserve"> plans to </w:t>
      </w:r>
      <w:r w:rsidR="0015085C">
        <w:rPr>
          <w:rFonts w:cs="Arial"/>
          <w:b w:val="0"/>
        </w:rPr>
        <w:t xml:space="preserve">continue the </w:t>
      </w:r>
      <w:r w:rsidR="001904AE" w:rsidRPr="00981D9E">
        <w:rPr>
          <w:rFonts w:cs="Arial"/>
          <w:b w:val="0"/>
        </w:rPr>
        <w:t>implement</w:t>
      </w:r>
      <w:r w:rsidR="0015085C">
        <w:rPr>
          <w:rFonts w:cs="Arial"/>
          <w:b w:val="0"/>
        </w:rPr>
        <w:t>ation of</w:t>
      </w:r>
      <w:r w:rsidR="001904AE" w:rsidRPr="00981D9E">
        <w:rPr>
          <w:rFonts w:cs="Arial"/>
          <w:b w:val="0"/>
        </w:rPr>
        <w:t xml:space="preserve"> </w:t>
      </w:r>
      <w:r w:rsidR="00536817">
        <w:rPr>
          <w:rFonts w:cs="Arial"/>
          <w:b w:val="0"/>
        </w:rPr>
        <w:t>one</w:t>
      </w:r>
      <w:r w:rsidR="004221BC" w:rsidRPr="00981D9E">
        <w:rPr>
          <w:rFonts w:cs="Arial"/>
          <w:b w:val="0"/>
        </w:rPr>
        <w:t xml:space="preserve"> </w:t>
      </w:r>
      <w:r w:rsidR="00D27748" w:rsidRPr="00981D9E">
        <w:rPr>
          <w:rFonts w:cs="Arial"/>
          <w:b w:val="0"/>
        </w:rPr>
        <w:t>SOP</w:t>
      </w:r>
      <w:r w:rsidR="00D73A52" w:rsidRPr="00981D9E">
        <w:rPr>
          <w:rFonts w:cs="Arial"/>
          <w:b w:val="0"/>
        </w:rPr>
        <w:t xml:space="preserve"> </w:t>
      </w:r>
      <w:r w:rsidR="003E4B6B">
        <w:rPr>
          <w:rFonts w:cs="Arial"/>
          <w:b w:val="0"/>
        </w:rPr>
        <w:t xml:space="preserve">and </w:t>
      </w:r>
      <w:r w:rsidR="00536817">
        <w:rPr>
          <w:rFonts w:cs="Arial"/>
          <w:b w:val="0"/>
        </w:rPr>
        <w:t>eight</w:t>
      </w:r>
      <w:r w:rsidR="007A32B6">
        <w:rPr>
          <w:rFonts w:cs="Arial"/>
          <w:b w:val="0"/>
        </w:rPr>
        <w:t xml:space="preserve"> MTPs in</w:t>
      </w:r>
      <w:r w:rsidR="0041566C">
        <w:rPr>
          <w:rFonts w:cs="Arial"/>
          <w:b w:val="0"/>
        </w:rPr>
        <w:t xml:space="preserve"> </w:t>
      </w:r>
      <w:r w:rsidR="004B11D0">
        <w:rPr>
          <w:rFonts w:cs="Arial"/>
          <w:b w:val="0"/>
        </w:rPr>
        <w:t>201</w:t>
      </w:r>
      <w:r w:rsidR="00536817">
        <w:rPr>
          <w:rFonts w:cs="Arial"/>
          <w:b w:val="0"/>
        </w:rPr>
        <w:t>8</w:t>
      </w:r>
      <w:r w:rsidR="00D9437A" w:rsidRPr="00981D9E">
        <w:rPr>
          <w:rFonts w:cs="Arial"/>
          <w:b w:val="0"/>
        </w:rPr>
        <w:t xml:space="preserve">. </w:t>
      </w:r>
      <w:r w:rsidR="001904AE" w:rsidRPr="00981D9E">
        <w:rPr>
          <w:rFonts w:cs="Arial"/>
          <w:b w:val="0"/>
        </w:rPr>
        <w:t xml:space="preserve"> These programs have been structured to comply with </w:t>
      </w:r>
      <w:r w:rsidR="00985668">
        <w:rPr>
          <w:rFonts w:cs="Arial"/>
          <w:b w:val="0"/>
        </w:rPr>
        <w:t xml:space="preserve">the </w:t>
      </w:r>
      <w:r w:rsidR="001904AE" w:rsidRPr="00981D9E">
        <w:rPr>
          <w:rFonts w:cs="Arial"/>
          <w:b w:val="0"/>
        </w:rPr>
        <w:t xml:space="preserve">rules </w:t>
      </w:r>
      <w:r w:rsidR="001F332C">
        <w:rPr>
          <w:rFonts w:cs="Arial"/>
          <w:b w:val="0"/>
        </w:rPr>
        <w:t xml:space="preserve">of the Public Utility Commission of Texas (PUCT) </w:t>
      </w:r>
      <w:r w:rsidR="001904AE" w:rsidRPr="00981D9E">
        <w:rPr>
          <w:rFonts w:cs="Arial"/>
          <w:b w:val="0"/>
        </w:rPr>
        <w:t>governing program design and evaluation.</w:t>
      </w:r>
      <w:r w:rsidR="00FE78A4" w:rsidRPr="00981D9E">
        <w:rPr>
          <w:rFonts w:cs="Arial"/>
          <w:b w:val="0"/>
          <w:color w:val="FF0000"/>
        </w:rPr>
        <w:t xml:space="preserve">  </w:t>
      </w:r>
      <w:r w:rsidR="001904AE" w:rsidRPr="00981D9E">
        <w:rPr>
          <w:rFonts w:cs="Arial"/>
          <w:b w:val="0"/>
        </w:rPr>
        <w:t xml:space="preserve">These programs target both broad market segments and specific market segments that offer significant opportunities for cost-effective savings. </w:t>
      </w:r>
      <w:r w:rsidRPr="00981D9E">
        <w:rPr>
          <w:rFonts w:cs="Arial"/>
          <w:b w:val="0"/>
        </w:rPr>
        <w:t>EPE</w:t>
      </w:r>
      <w:r w:rsidR="001904AE" w:rsidRPr="00981D9E">
        <w:rPr>
          <w:rFonts w:cs="Arial"/>
          <w:b w:val="0"/>
        </w:rPr>
        <w:t xml:space="preserve"> anticipates that targeted outreach to a broad range of service provider</w:t>
      </w:r>
      <w:r w:rsidR="00190C28">
        <w:rPr>
          <w:rFonts w:cs="Arial"/>
          <w:b w:val="0"/>
        </w:rPr>
        <w:t>s</w:t>
      </w:r>
      <w:r w:rsidR="001904AE" w:rsidRPr="00981D9E">
        <w:rPr>
          <w:rFonts w:cs="Arial"/>
          <w:b w:val="0"/>
        </w:rPr>
        <w:t xml:space="preserve"> </w:t>
      </w:r>
      <w:r w:rsidR="00985668">
        <w:rPr>
          <w:rFonts w:cs="Arial"/>
          <w:b w:val="0"/>
        </w:rPr>
        <w:t xml:space="preserve">and customers </w:t>
      </w:r>
      <w:r w:rsidR="001904AE" w:rsidRPr="00981D9E">
        <w:rPr>
          <w:rFonts w:cs="Arial"/>
          <w:b w:val="0"/>
        </w:rPr>
        <w:t xml:space="preserve">will be necessary in order to meet the </w:t>
      </w:r>
      <w:r w:rsidR="006E5499">
        <w:rPr>
          <w:rFonts w:cs="Arial"/>
          <w:b w:val="0"/>
        </w:rPr>
        <w:t>demand reduction</w:t>
      </w:r>
      <w:r w:rsidR="006E5499" w:rsidRPr="00981D9E">
        <w:rPr>
          <w:rFonts w:cs="Arial"/>
          <w:b w:val="0"/>
        </w:rPr>
        <w:t xml:space="preserve"> </w:t>
      </w:r>
      <w:r w:rsidR="001904AE" w:rsidRPr="00981D9E">
        <w:rPr>
          <w:rFonts w:cs="Arial"/>
          <w:b w:val="0"/>
        </w:rPr>
        <w:t xml:space="preserve">goals </w:t>
      </w:r>
      <w:r w:rsidR="006E5499">
        <w:rPr>
          <w:rFonts w:cs="Arial"/>
          <w:b w:val="0"/>
        </w:rPr>
        <w:t>established</w:t>
      </w:r>
      <w:r w:rsidR="006E5499" w:rsidRPr="00981D9E">
        <w:rPr>
          <w:rFonts w:cs="Arial"/>
          <w:b w:val="0"/>
        </w:rPr>
        <w:t xml:space="preserve"> </w:t>
      </w:r>
      <w:r w:rsidR="001904AE" w:rsidRPr="00981D9E">
        <w:rPr>
          <w:rFonts w:cs="Arial"/>
          <w:b w:val="0"/>
        </w:rPr>
        <w:t xml:space="preserve">by </w:t>
      </w:r>
      <w:r w:rsidR="00130DF7">
        <w:rPr>
          <w:rFonts w:cs="Arial"/>
          <w:b w:val="0"/>
        </w:rPr>
        <w:t xml:space="preserve">the </w:t>
      </w:r>
      <w:r w:rsidR="00B366F2">
        <w:rPr>
          <w:rFonts w:cs="Arial"/>
          <w:b w:val="0"/>
        </w:rPr>
        <w:t>PUCT</w:t>
      </w:r>
      <w:r w:rsidR="00130DF7">
        <w:rPr>
          <w:rFonts w:cs="Arial"/>
          <w:b w:val="0"/>
        </w:rPr>
        <w:t xml:space="preserve"> for EPE</w:t>
      </w:r>
      <w:r w:rsidR="009C3C03" w:rsidRPr="00981D9E">
        <w:rPr>
          <w:rFonts w:cs="Arial"/>
          <w:b w:val="0"/>
        </w:rPr>
        <w:t xml:space="preserve">. </w:t>
      </w:r>
      <w:r w:rsidR="00327CF2" w:rsidRPr="00981D9E">
        <w:rPr>
          <w:rFonts w:cs="Arial"/>
          <w:b w:val="0"/>
        </w:rPr>
        <w:t xml:space="preserve">Table 2 </w:t>
      </w:r>
      <w:r w:rsidR="001904AE" w:rsidRPr="00981D9E">
        <w:rPr>
          <w:rFonts w:cs="Arial"/>
          <w:b w:val="0"/>
        </w:rPr>
        <w:t>below summarizes the programs and target markets</w:t>
      </w:r>
      <w:bookmarkStart w:id="10" w:name="_Ref197422860"/>
      <w:r w:rsidR="00190C28">
        <w:rPr>
          <w:rFonts w:cs="Arial"/>
          <w:b w:val="0"/>
        </w:rPr>
        <w:t>:</w:t>
      </w:r>
    </w:p>
    <w:p w14:paraId="5653EDFC" w14:textId="77777777" w:rsidR="00981D9E" w:rsidRPr="00981D9E" w:rsidRDefault="00981D9E" w:rsidP="00911709">
      <w:pPr>
        <w:pStyle w:val="BodyText"/>
        <w:spacing w:before="0" w:after="0" w:line="240" w:lineRule="auto"/>
        <w:rPr>
          <w:rFonts w:cs="Arial"/>
          <w:b w:val="0"/>
        </w:rPr>
      </w:pPr>
    </w:p>
    <w:p w14:paraId="6CDDBE53" w14:textId="4FE59545" w:rsidR="00C30FC1" w:rsidRDefault="00597C51" w:rsidP="00911709">
      <w:pPr>
        <w:pStyle w:val="Caption"/>
        <w:spacing w:before="0" w:after="0"/>
        <w:rPr>
          <w:rFonts w:cs="Arial"/>
        </w:rPr>
      </w:pPr>
      <w:r w:rsidRPr="00981D9E">
        <w:rPr>
          <w:rFonts w:cs="Arial"/>
        </w:rPr>
        <w:t xml:space="preserve">Table </w:t>
      </w:r>
      <w:r w:rsidR="006309E0" w:rsidRPr="00981D9E">
        <w:rPr>
          <w:rFonts w:cs="Arial"/>
        </w:rPr>
        <w:fldChar w:fldCharType="begin"/>
      </w:r>
      <w:r w:rsidR="005F1782" w:rsidRPr="00981D9E">
        <w:rPr>
          <w:rFonts w:cs="Arial"/>
        </w:rPr>
        <w:instrText xml:space="preserve"> SEQ Table \* ARABIC </w:instrText>
      </w:r>
      <w:r w:rsidR="006309E0" w:rsidRPr="00981D9E">
        <w:rPr>
          <w:rFonts w:cs="Arial"/>
        </w:rPr>
        <w:fldChar w:fldCharType="separate"/>
      </w:r>
      <w:r w:rsidR="004757EA">
        <w:rPr>
          <w:rFonts w:cs="Arial"/>
          <w:noProof/>
        </w:rPr>
        <w:t>2</w:t>
      </w:r>
      <w:r w:rsidR="006309E0" w:rsidRPr="00981D9E">
        <w:rPr>
          <w:rFonts w:cs="Arial"/>
        </w:rPr>
        <w:fldChar w:fldCharType="end"/>
      </w:r>
      <w:r w:rsidRPr="00981D9E">
        <w:rPr>
          <w:rFonts w:cs="Arial"/>
        </w:rPr>
        <w:t xml:space="preserve">: </w:t>
      </w:r>
      <w:r w:rsidR="00742B04" w:rsidRPr="00981D9E">
        <w:rPr>
          <w:rFonts w:cs="Arial"/>
        </w:rPr>
        <w:t xml:space="preserve"> </w:t>
      </w:r>
      <w:r w:rsidR="004B11D0">
        <w:rPr>
          <w:rFonts w:cs="Arial"/>
        </w:rPr>
        <w:t>201</w:t>
      </w:r>
      <w:r w:rsidR="00F72983">
        <w:rPr>
          <w:rFonts w:cs="Arial"/>
        </w:rPr>
        <w:t>8</w:t>
      </w:r>
      <w:r w:rsidR="00E40187" w:rsidRPr="00981D9E">
        <w:rPr>
          <w:rFonts w:cs="Arial"/>
        </w:rPr>
        <w:t xml:space="preserve"> </w:t>
      </w:r>
      <w:r w:rsidRPr="00981D9E">
        <w:rPr>
          <w:rFonts w:cs="Arial"/>
        </w:rPr>
        <w:t xml:space="preserve">Energy Efficiency Program </w:t>
      </w:r>
      <w:bookmarkEnd w:id="10"/>
      <w:r w:rsidR="00735EFD" w:rsidRPr="00981D9E">
        <w:rPr>
          <w:rFonts w:cs="Arial"/>
        </w:rPr>
        <w:t>Portfolios</w:t>
      </w:r>
    </w:p>
    <w:p w14:paraId="11DB77EE" w14:textId="77777777" w:rsidR="00981D9E" w:rsidRPr="00981D9E" w:rsidRDefault="00981D9E" w:rsidP="00911709"/>
    <w:tbl>
      <w:tblPr>
        <w:tblW w:w="9640" w:type="dxa"/>
        <w:jc w:val="center"/>
        <w:tblLook w:val="04A0" w:firstRow="1" w:lastRow="0" w:firstColumn="1" w:lastColumn="0" w:noHBand="0" w:noVBand="1"/>
      </w:tblPr>
      <w:tblGrid>
        <w:gridCol w:w="3040"/>
        <w:gridCol w:w="3630"/>
        <w:gridCol w:w="2970"/>
      </w:tblGrid>
      <w:tr w:rsidR="000809F1" w:rsidRPr="0071175C" w14:paraId="0D3036BF" w14:textId="77777777" w:rsidTr="009A48B2">
        <w:trPr>
          <w:trHeight w:val="300"/>
          <w:jc w:val="center"/>
        </w:trPr>
        <w:tc>
          <w:tcPr>
            <w:tcW w:w="3040"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2B94B004" w14:textId="77777777" w:rsidR="00C30FC1" w:rsidRPr="00DF4CCE" w:rsidRDefault="000809F1" w:rsidP="00911709">
            <w:pPr>
              <w:jc w:val="center"/>
              <w:rPr>
                <w:rFonts w:ascii="Arial" w:hAnsi="Arial" w:cs="Arial"/>
                <w:sz w:val="22"/>
                <w:szCs w:val="22"/>
              </w:rPr>
            </w:pPr>
            <w:r w:rsidRPr="00DF4CCE">
              <w:rPr>
                <w:rFonts w:ascii="Arial" w:hAnsi="Arial" w:cs="Arial"/>
                <w:sz w:val="22"/>
                <w:szCs w:val="22"/>
              </w:rPr>
              <w:t>Program</w:t>
            </w:r>
          </w:p>
        </w:tc>
        <w:tc>
          <w:tcPr>
            <w:tcW w:w="3630" w:type="dxa"/>
            <w:tcBorders>
              <w:top w:val="single" w:sz="8" w:space="0" w:color="auto"/>
              <w:left w:val="nil"/>
              <w:bottom w:val="nil"/>
              <w:right w:val="single" w:sz="8" w:space="0" w:color="auto"/>
            </w:tcBorders>
            <w:shd w:val="clear" w:color="auto" w:fill="F2F2F2" w:themeFill="background1" w:themeFillShade="F2"/>
            <w:vAlign w:val="center"/>
            <w:hideMark/>
          </w:tcPr>
          <w:p w14:paraId="02315908" w14:textId="77777777" w:rsidR="00C30FC1" w:rsidRPr="00DF4CCE" w:rsidRDefault="000809F1" w:rsidP="00911709">
            <w:pPr>
              <w:jc w:val="center"/>
              <w:rPr>
                <w:rFonts w:ascii="Arial" w:hAnsi="Arial" w:cs="Arial"/>
                <w:sz w:val="22"/>
                <w:szCs w:val="22"/>
              </w:rPr>
            </w:pPr>
            <w:r w:rsidRPr="00DF4CCE">
              <w:rPr>
                <w:rFonts w:ascii="Arial" w:hAnsi="Arial" w:cs="Arial"/>
                <w:sz w:val="22"/>
                <w:szCs w:val="22"/>
              </w:rPr>
              <w:t>Target Market</w:t>
            </w:r>
          </w:p>
        </w:tc>
        <w:tc>
          <w:tcPr>
            <w:tcW w:w="2970" w:type="dxa"/>
            <w:tcBorders>
              <w:top w:val="single" w:sz="8" w:space="0" w:color="auto"/>
              <w:left w:val="nil"/>
              <w:bottom w:val="nil"/>
              <w:right w:val="single" w:sz="8" w:space="0" w:color="auto"/>
            </w:tcBorders>
            <w:shd w:val="clear" w:color="auto" w:fill="F2F2F2" w:themeFill="background1" w:themeFillShade="F2"/>
            <w:vAlign w:val="center"/>
            <w:hideMark/>
          </w:tcPr>
          <w:p w14:paraId="3A3137A3" w14:textId="77777777" w:rsidR="00C30FC1" w:rsidRPr="00DF4CCE" w:rsidRDefault="000809F1" w:rsidP="00911709">
            <w:pPr>
              <w:jc w:val="center"/>
              <w:rPr>
                <w:rFonts w:ascii="Arial" w:hAnsi="Arial" w:cs="Arial"/>
                <w:sz w:val="22"/>
                <w:szCs w:val="22"/>
              </w:rPr>
            </w:pPr>
            <w:r w:rsidRPr="00DF4CCE">
              <w:rPr>
                <w:rFonts w:ascii="Arial" w:hAnsi="Arial" w:cs="Arial"/>
                <w:sz w:val="22"/>
                <w:szCs w:val="22"/>
              </w:rPr>
              <w:t>Application</w:t>
            </w:r>
          </w:p>
        </w:tc>
      </w:tr>
      <w:tr w:rsidR="008E44DE" w:rsidRPr="0071175C" w14:paraId="3138957D" w14:textId="77777777" w:rsidTr="00A23121">
        <w:trPr>
          <w:trHeight w:val="525"/>
          <w:jc w:val="center"/>
        </w:trPr>
        <w:tc>
          <w:tcPr>
            <w:tcW w:w="3040" w:type="dxa"/>
            <w:tcBorders>
              <w:top w:val="single" w:sz="8" w:space="0" w:color="auto"/>
              <w:left w:val="single" w:sz="8" w:space="0" w:color="auto"/>
              <w:bottom w:val="single" w:sz="4" w:space="0" w:color="auto"/>
              <w:right w:val="single" w:sz="4" w:space="0" w:color="auto"/>
            </w:tcBorders>
            <w:shd w:val="clear" w:color="auto" w:fill="auto"/>
            <w:vAlign w:val="center"/>
          </w:tcPr>
          <w:p w14:paraId="386A6A68" w14:textId="41FDD5DB" w:rsidR="008E44DE" w:rsidRPr="00DF4CCE" w:rsidDel="00A23121" w:rsidRDefault="008E44DE" w:rsidP="008E44DE">
            <w:pPr>
              <w:jc w:val="center"/>
              <w:rPr>
                <w:rFonts w:ascii="Arial" w:hAnsi="Arial" w:cs="Arial"/>
                <w:b w:val="0"/>
                <w:sz w:val="22"/>
                <w:szCs w:val="22"/>
              </w:rPr>
            </w:pPr>
            <w:r w:rsidRPr="00DF4CCE">
              <w:rPr>
                <w:rFonts w:ascii="Arial" w:hAnsi="Arial" w:cs="Arial"/>
                <w:b w:val="0"/>
                <w:sz w:val="22"/>
                <w:szCs w:val="22"/>
              </w:rPr>
              <w:t>Load Management SOP</w:t>
            </w:r>
          </w:p>
        </w:tc>
        <w:tc>
          <w:tcPr>
            <w:tcW w:w="3630" w:type="dxa"/>
            <w:tcBorders>
              <w:top w:val="single" w:sz="8" w:space="0" w:color="auto"/>
              <w:left w:val="nil"/>
              <w:bottom w:val="single" w:sz="4" w:space="0" w:color="auto"/>
              <w:right w:val="single" w:sz="4" w:space="0" w:color="auto"/>
            </w:tcBorders>
            <w:shd w:val="clear" w:color="auto" w:fill="auto"/>
            <w:vAlign w:val="center"/>
          </w:tcPr>
          <w:p w14:paraId="6580DE96" w14:textId="4202176A" w:rsidR="008E44DE" w:rsidRPr="00DF4CCE" w:rsidDel="00A23121" w:rsidRDefault="008E44DE" w:rsidP="00911709">
            <w:pPr>
              <w:jc w:val="center"/>
              <w:rPr>
                <w:rFonts w:ascii="Arial" w:hAnsi="Arial" w:cs="Arial"/>
                <w:b w:val="0"/>
                <w:sz w:val="22"/>
                <w:szCs w:val="22"/>
              </w:rPr>
            </w:pPr>
            <w:r w:rsidRPr="00DF4CCE">
              <w:rPr>
                <w:rFonts w:ascii="Arial" w:hAnsi="Arial" w:cs="Arial"/>
                <w:b w:val="0"/>
                <w:sz w:val="22"/>
                <w:szCs w:val="22"/>
              </w:rPr>
              <w:t>Commercial</w:t>
            </w:r>
            <w:r>
              <w:rPr>
                <w:rFonts w:ascii="Arial" w:hAnsi="Arial" w:cs="Arial"/>
                <w:b w:val="0"/>
                <w:sz w:val="22"/>
                <w:szCs w:val="22"/>
              </w:rPr>
              <w:t>,</w:t>
            </w:r>
            <w:r w:rsidRPr="00DF4CCE">
              <w:rPr>
                <w:rFonts w:ascii="Arial" w:hAnsi="Arial" w:cs="Arial"/>
                <w:b w:val="0"/>
                <w:sz w:val="22"/>
                <w:szCs w:val="22"/>
              </w:rPr>
              <w:t xml:space="preserve"> Government </w:t>
            </w:r>
            <w:r>
              <w:rPr>
                <w:rFonts w:ascii="Arial" w:hAnsi="Arial" w:cs="Arial"/>
                <w:b w:val="0"/>
                <w:sz w:val="22"/>
                <w:szCs w:val="22"/>
              </w:rPr>
              <w:t>and</w:t>
            </w:r>
            <w:r w:rsidRPr="00DF4CCE">
              <w:rPr>
                <w:rFonts w:ascii="Arial" w:hAnsi="Arial" w:cs="Arial"/>
                <w:b w:val="0"/>
                <w:sz w:val="22"/>
                <w:szCs w:val="22"/>
              </w:rPr>
              <w:t xml:space="preserve"> Schools</w:t>
            </w:r>
          </w:p>
        </w:tc>
        <w:tc>
          <w:tcPr>
            <w:tcW w:w="2970" w:type="dxa"/>
            <w:tcBorders>
              <w:top w:val="single" w:sz="8" w:space="0" w:color="auto"/>
              <w:left w:val="nil"/>
              <w:bottom w:val="single" w:sz="4" w:space="0" w:color="auto"/>
              <w:right w:val="single" w:sz="8" w:space="0" w:color="auto"/>
            </w:tcBorders>
            <w:shd w:val="clear" w:color="auto" w:fill="auto"/>
            <w:vAlign w:val="center"/>
          </w:tcPr>
          <w:p w14:paraId="1BE81349" w14:textId="654903B7" w:rsidR="008E44DE" w:rsidRPr="00DF4CCE" w:rsidDel="00A23121" w:rsidRDefault="008E44DE" w:rsidP="00911709">
            <w:pPr>
              <w:jc w:val="center"/>
              <w:rPr>
                <w:rFonts w:ascii="Arial" w:hAnsi="Arial" w:cs="Arial"/>
                <w:b w:val="0"/>
                <w:sz w:val="22"/>
                <w:szCs w:val="22"/>
              </w:rPr>
            </w:pPr>
            <w:r w:rsidRPr="00DF4CCE">
              <w:rPr>
                <w:rFonts w:ascii="Arial" w:hAnsi="Arial" w:cs="Arial"/>
                <w:b w:val="0"/>
                <w:sz w:val="22"/>
                <w:szCs w:val="22"/>
              </w:rPr>
              <w:t>Load Management</w:t>
            </w:r>
          </w:p>
        </w:tc>
      </w:tr>
      <w:tr w:rsidR="008E44DE" w:rsidRPr="0071175C" w14:paraId="1B8BC6EF" w14:textId="77777777" w:rsidTr="009A48B2">
        <w:trPr>
          <w:trHeight w:val="510"/>
          <w:jc w:val="center"/>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35A03360" w14:textId="77777777" w:rsidR="008E44DE" w:rsidRPr="00DF4CCE" w:rsidRDefault="008E44DE" w:rsidP="00911709">
            <w:pPr>
              <w:jc w:val="center"/>
              <w:rPr>
                <w:rFonts w:ascii="Arial" w:hAnsi="Arial" w:cs="Arial"/>
                <w:b w:val="0"/>
                <w:sz w:val="22"/>
                <w:szCs w:val="22"/>
              </w:rPr>
            </w:pPr>
            <w:r>
              <w:rPr>
                <w:rFonts w:ascii="Arial" w:hAnsi="Arial" w:cs="Arial"/>
                <w:b w:val="0"/>
                <w:sz w:val="22"/>
                <w:szCs w:val="22"/>
              </w:rPr>
              <w:t xml:space="preserve">Small Commercial </w:t>
            </w:r>
            <w:r w:rsidRPr="00DF4CCE">
              <w:rPr>
                <w:rFonts w:ascii="Arial" w:hAnsi="Arial" w:cs="Arial"/>
                <w:b w:val="0"/>
                <w:sz w:val="22"/>
                <w:szCs w:val="22"/>
              </w:rPr>
              <w:t>Solutions MTP</w:t>
            </w:r>
          </w:p>
        </w:tc>
        <w:tc>
          <w:tcPr>
            <w:tcW w:w="3630" w:type="dxa"/>
            <w:tcBorders>
              <w:top w:val="nil"/>
              <w:left w:val="nil"/>
              <w:bottom w:val="single" w:sz="4" w:space="0" w:color="auto"/>
              <w:right w:val="single" w:sz="4" w:space="0" w:color="auto"/>
            </w:tcBorders>
            <w:shd w:val="clear" w:color="auto" w:fill="auto"/>
            <w:vAlign w:val="center"/>
            <w:hideMark/>
          </w:tcPr>
          <w:p w14:paraId="5DDFC0B7" w14:textId="77777777" w:rsidR="008E44DE" w:rsidRPr="00DF4CCE" w:rsidRDefault="008E44DE" w:rsidP="00911709">
            <w:pPr>
              <w:jc w:val="center"/>
              <w:rPr>
                <w:rFonts w:ascii="Arial" w:hAnsi="Arial" w:cs="Arial"/>
                <w:b w:val="0"/>
                <w:sz w:val="22"/>
                <w:szCs w:val="22"/>
              </w:rPr>
            </w:pPr>
            <w:r>
              <w:rPr>
                <w:rFonts w:ascii="Arial" w:hAnsi="Arial" w:cs="Arial"/>
                <w:b w:val="0"/>
                <w:sz w:val="22"/>
                <w:szCs w:val="22"/>
              </w:rPr>
              <w:t>Small Commercial</w:t>
            </w:r>
            <w:r w:rsidRPr="00DF4CCE">
              <w:rPr>
                <w:rFonts w:ascii="Arial" w:hAnsi="Arial" w:cs="Arial"/>
                <w:b w:val="0"/>
                <w:sz w:val="22"/>
                <w:szCs w:val="22"/>
              </w:rPr>
              <w:t xml:space="preserve"> (</w:t>
            </w:r>
            <w:r>
              <w:rPr>
                <w:rFonts w:ascii="Arial" w:hAnsi="Arial" w:cs="Arial"/>
                <w:b w:val="0"/>
                <w:sz w:val="22"/>
                <w:szCs w:val="22"/>
              </w:rPr>
              <w:t>&lt;</w:t>
            </w:r>
            <w:r w:rsidRPr="00DF4CCE">
              <w:rPr>
                <w:rFonts w:ascii="Arial" w:hAnsi="Arial" w:cs="Arial"/>
                <w:b w:val="0"/>
                <w:sz w:val="22"/>
                <w:szCs w:val="22"/>
              </w:rPr>
              <w:t>100kW)</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14:paraId="6BF11A53"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Retrofit; New Construction</w:t>
            </w:r>
          </w:p>
        </w:tc>
      </w:tr>
      <w:tr w:rsidR="008E44DE" w:rsidRPr="0071175C" w14:paraId="6FD31F23" w14:textId="77777777" w:rsidTr="009A48B2">
        <w:trPr>
          <w:trHeight w:val="510"/>
          <w:jc w:val="center"/>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5C5B7E23" w14:textId="77777777" w:rsidR="008E44DE" w:rsidRPr="00DF4CCE" w:rsidRDefault="008E44DE" w:rsidP="00911709">
            <w:pPr>
              <w:jc w:val="center"/>
              <w:rPr>
                <w:rFonts w:ascii="Arial" w:hAnsi="Arial" w:cs="Arial"/>
                <w:b w:val="0"/>
                <w:sz w:val="22"/>
                <w:szCs w:val="22"/>
              </w:rPr>
            </w:pPr>
            <w:r>
              <w:rPr>
                <w:rFonts w:ascii="Arial" w:hAnsi="Arial" w:cs="Arial"/>
                <w:b w:val="0"/>
                <w:sz w:val="22"/>
                <w:szCs w:val="22"/>
              </w:rPr>
              <w:t xml:space="preserve">Large </w:t>
            </w:r>
            <w:r w:rsidRPr="00653C7A">
              <w:rPr>
                <w:rFonts w:ascii="Arial" w:hAnsi="Arial" w:cs="Arial"/>
                <w:b w:val="0"/>
                <w:sz w:val="22"/>
                <w:szCs w:val="22"/>
              </w:rPr>
              <w:t>C&amp;I</w:t>
            </w:r>
            <w:r w:rsidRPr="00DF4CCE">
              <w:rPr>
                <w:rFonts w:ascii="Arial" w:hAnsi="Arial" w:cs="Arial"/>
                <w:b w:val="0"/>
                <w:sz w:val="22"/>
                <w:szCs w:val="22"/>
              </w:rPr>
              <w:t xml:space="preserve"> Solutions MTP</w:t>
            </w:r>
          </w:p>
        </w:tc>
        <w:tc>
          <w:tcPr>
            <w:tcW w:w="3630" w:type="dxa"/>
            <w:tcBorders>
              <w:top w:val="nil"/>
              <w:left w:val="nil"/>
              <w:bottom w:val="single" w:sz="4" w:space="0" w:color="auto"/>
              <w:right w:val="single" w:sz="4" w:space="0" w:color="auto"/>
            </w:tcBorders>
            <w:shd w:val="clear" w:color="auto" w:fill="auto"/>
            <w:vAlign w:val="center"/>
            <w:hideMark/>
          </w:tcPr>
          <w:p w14:paraId="3D02F136" w14:textId="77777777" w:rsidR="008E44DE" w:rsidRPr="00DF4CCE" w:rsidRDefault="008E44DE" w:rsidP="00911709">
            <w:pPr>
              <w:jc w:val="center"/>
              <w:rPr>
                <w:rFonts w:ascii="Arial" w:hAnsi="Arial" w:cs="Arial"/>
                <w:b w:val="0"/>
                <w:sz w:val="22"/>
                <w:szCs w:val="22"/>
              </w:rPr>
            </w:pPr>
            <w:r>
              <w:rPr>
                <w:rFonts w:ascii="Arial" w:hAnsi="Arial" w:cs="Arial"/>
                <w:b w:val="0"/>
                <w:sz w:val="22"/>
                <w:szCs w:val="22"/>
              </w:rPr>
              <w:t xml:space="preserve">Large Commercial </w:t>
            </w:r>
            <w:r w:rsidRPr="00653C7A">
              <w:rPr>
                <w:rFonts w:ascii="Arial" w:hAnsi="Arial" w:cs="Arial"/>
                <w:b w:val="0"/>
                <w:sz w:val="22"/>
                <w:szCs w:val="22"/>
              </w:rPr>
              <w:t>and Industrial</w:t>
            </w:r>
            <w:r w:rsidRPr="00DF4CCE">
              <w:rPr>
                <w:rFonts w:ascii="Arial" w:hAnsi="Arial" w:cs="Arial"/>
                <w:b w:val="0"/>
                <w:sz w:val="22"/>
                <w:szCs w:val="22"/>
              </w:rPr>
              <w:t xml:space="preserve"> (</w:t>
            </w:r>
            <w:r>
              <w:rPr>
                <w:rFonts w:ascii="Arial" w:hAnsi="Arial" w:cs="Arial"/>
                <w:b w:val="0"/>
                <w:sz w:val="22"/>
                <w:szCs w:val="22"/>
              </w:rPr>
              <w:t>≥</w:t>
            </w:r>
            <w:r w:rsidRPr="00DF4CCE">
              <w:rPr>
                <w:rFonts w:ascii="Arial" w:hAnsi="Arial" w:cs="Arial"/>
                <w:b w:val="0"/>
                <w:sz w:val="22"/>
                <w:szCs w:val="22"/>
              </w:rPr>
              <w:t>100kW)</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14:paraId="34EC7F0E"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Retrofit; New Construction</w:t>
            </w:r>
          </w:p>
        </w:tc>
      </w:tr>
      <w:tr w:rsidR="008E44DE" w:rsidRPr="0071175C" w14:paraId="63297476" w14:textId="77777777" w:rsidTr="009A48B2">
        <w:trPr>
          <w:trHeight w:val="629"/>
          <w:jc w:val="center"/>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115E86DE"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Texas SCORE MTP</w:t>
            </w:r>
          </w:p>
        </w:tc>
        <w:tc>
          <w:tcPr>
            <w:tcW w:w="3630" w:type="dxa"/>
            <w:tcBorders>
              <w:top w:val="nil"/>
              <w:left w:val="nil"/>
              <w:bottom w:val="single" w:sz="4" w:space="0" w:color="auto"/>
              <w:right w:val="single" w:sz="4" w:space="0" w:color="auto"/>
            </w:tcBorders>
            <w:shd w:val="clear" w:color="auto" w:fill="auto"/>
            <w:vAlign w:val="center"/>
            <w:hideMark/>
          </w:tcPr>
          <w:p w14:paraId="72689D94"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City, County Governments</w:t>
            </w:r>
            <w:r>
              <w:rPr>
                <w:rFonts w:ascii="Arial" w:hAnsi="Arial" w:cs="Arial"/>
                <w:b w:val="0"/>
                <w:sz w:val="22"/>
                <w:szCs w:val="22"/>
              </w:rPr>
              <w:t xml:space="preserve"> and</w:t>
            </w:r>
            <w:r w:rsidRPr="00DF4CCE">
              <w:rPr>
                <w:rFonts w:ascii="Arial" w:hAnsi="Arial" w:cs="Arial"/>
                <w:b w:val="0"/>
                <w:sz w:val="22"/>
                <w:szCs w:val="22"/>
              </w:rPr>
              <w:t xml:space="preserve"> Schools</w:t>
            </w:r>
          </w:p>
        </w:tc>
        <w:tc>
          <w:tcPr>
            <w:tcW w:w="2970" w:type="dxa"/>
            <w:tcBorders>
              <w:top w:val="nil"/>
              <w:left w:val="nil"/>
              <w:bottom w:val="single" w:sz="4" w:space="0" w:color="auto"/>
              <w:right w:val="single" w:sz="8" w:space="0" w:color="auto"/>
            </w:tcBorders>
            <w:shd w:val="clear" w:color="auto" w:fill="auto"/>
            <w:vAlign w:val="center"/>
            <w:hideMark/>
          </w:tcPr>
          <w:p w14:paraId="32723A0B"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Retrofit; New Construction</w:t>
            </w:r>
          </w:p>
        </w:tc>
      </w:tr>
      <w:tr w:rsidR="008E44DE" w:rsidRPr="0071175C" w14:paraId="5C42D922" w14:textId="77777777" w:rsidTr="009A48B2">
        <w:trPr>
          <w:trHeight w:val="510"/>
          <w:jc w:val="center"/>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1D07A5F6"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Residential Solutions MTP</w:t>
            </w:r>
          </w:p>
        </w:tc>
        <w:tc>
          <w:tcPr>
            <w:tcW w:w="3630" w:type="dxa"/>
            <w:tcBorders>
              <w:top w:val="nil"/>
              <w:left w:val="nil"/>
              <w:bottom w:val="single" w:sz="4" w:space="0" w:color="auto"/>
              <w:right w:val="single" w:sz="4" w:space="0" w:color="auto"/>
            </w:tcBorders>
            <w:shd w:val="clear" w:color="auto" w:fill="auto"/>
            <w:vAlign w:val="center"/>
            <w:hideMark/>
          </w:tcPr>
          <w:p w14:paraId="4976995F"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Residential</w:t>
            </w:r>
          </w:p>
        </w:tc>
        <w:tc>
          <w:tcPr>
            <w:tcW w:w="2970" w:type="dxa"/>
            <w:tcBorders>
              <w:top w:val="nil"/>
              <w:left w:val="nil"/>
              <w:bottom w:val="single" w:sz="4" w:space="0" w:color="auto"/>
              <w:right w:val="single" w:sz="8" w:space="0" w:color="auto"/>
            </w:tcBorders>
            <w:shd w:val="clear" w:color="auto" w:fill="auto"/>
            <w:vAlign w:val="center"/>
            <w:hideMark/>
          </w:tcPr>
          <w:p w14:paraId="65E6A488"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Retrofit</w:t>
            </w:r>
            <w:r>
              <w:rPr>
                <w:rFonts w:ascii="Arial" w:hAnsi="Arial" w:cs="Arial"/>
                <w:b w:val="0"/>
                <w:sz w:val="22"/>
                <w:szCs w:val="22"/>
              </w:rPr>
              <w:t>; New Construction</w:t>
            </w:r>
          </w:p>
        </w:tc>
      </w:tr>
      <w:tr w:rsidR="008E44DE" w:rsidRPr="0071175C" w14:paraId="2E90E6D7" w14:textId="77777777" w:rsidTr="009A48B2">
        <w:trPr>
          <w:trHeight w:val="345"/>
          <w:jc w:val="center"/>
        </w:trPr>
        <w:tc>
          <w:tcPr>
            <w:tcW w:w="3040" w:type="dxa"/>
            <w:tcBorders>
              <w:top w:val="nil"/>
              <w:left w:val="single" w:sz="8" w:space="0" w:color="auto"/>
              <w:bottom w:val="single" w:sz="4" w:space="0" w:color="auto"/>
              <w:right w:val="single" w:sz="4" w:space="0" w:color="auto"/>
            </w:tcBorders>
            <w:shd w:val="clear" w:color="auto" w:fill="auto"/>
            <w:vAlign w:val="center"/>
            <w:hideMark/>
          </w:tcPr>
          <w:p w14:paraId="0B90E47E"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LivingWise</w:t>
            </w:r>
            <w:r w:rsidRPr="001F061D">
              <w:rPr>
                <w:b w:val="0"/>
                <w:vertAlign w:val="superscript"/>
              </w:rPr>
              <w:t>®</w:t>
            </w:r>
            <w:r w:rsidRPr="00DF4CCE">
              <w:rPr>
                <w:rFonts w:ascii="Arial" w:hAnsi="Arial" w:cs="Arial"/>
                <w:b w:val="0"/>
                <w:sz w:val="22"/>
                <w:szCs w:val="22"/>
              </w:rPr>
              <w:t xml:space="preserve"> MTP</w:t>
            </w:r>
          </w:p>
        </w:tc>
        <w:tc>
          <w:tcPr>
            <w:tcW w:w="3630" w:type="dxa"/>
            <w:tcBorders>
              <w:top w:val="nil"/>
              <w:left w:val="nil"/>
              <w:bottom w:val="single" w:sz="4" w:space="0" w:color="auto"/>
              <w:right w:val="single" w:sz="4" w:space="0" w:color="auto"/>
            </w:tcBorders>
            <w:shd w:val="clear" w:color="auto" w:fill="auto"/>
            <w:vAlign w:val="center"/>
            <w:hideMark/>
          </w:tcPr>
          <w:p w14:paraId="509A61E8"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Residential</w:t>
            </w:r>
          </w:p>
        </w:tc>
        <w:tc>
          <w:tcPr>
            <w:tcW w:w="2970" w:type="dxa"/>
            <w:tcBorders>
              <w:top w:val="nil"/>
              <w:left w:val="nil"/>
              <w:bottom w:val="single" w:sz="4" w:space="0" w:color="auto"/>
              <w:right w:val="single" w:sz="8" w:space="0" w:color="auto"/>
            </w:tcBorders>
            <w:shd w:val="clear" w:color="auto" w:fill="auto"/>
            <w:vAlign w:val="center"/>
            <w:hideMark/>
          </w:tcPr>
          <w:p w14:paraId="4DAADA98"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Educational; Retrofit</w:t>
            </w:r>
          </w:p>
        </w:tc>
      </w:tr>
      <w:tr w:rsidR="008E44DE" w:rsidRPr="0071175C" w14:paraId="10B9C05D" w14:textId="77777777" w:rsidTr="00EB10AD">
        <w:trPr>
          <w:trHeight w:val="345"/>
          <w:jc w:val="center"/>
        </w:trPr>
        <w:tc>
          <w:tcPr>
            <w:tcW w:w="3040" w:type="dxa"/>
            <w:tcBorders>
              <w:top w:val="nil"/>
              <w:left w:val="single" w:sz="8" w:space="0" w:color="auto"/>
              <w:bottom w:val="single" w:sz="4" w:space="0" w:color="auto"/>
              <w:right w:val="single" w:sz="4" w:space="0" w:color="auto"/>
            </w:tcBorders>
            <w:shd w:val="clear" w:color="auto" w:fill="auto"/>
            <w:vAlign w:val="center"/>
          </w:tcPr>
          <w:p w14:paraId="07F495FC"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 xml:space="preserve">Hard-to-Reach Solutions </w:t>
            </w:r>
            <w:r>
              <w:rPr>
                <w:rFonts w:ascii="Arial" w:hAnsi="Arial" w:cs="Arial"/>
                <w:b w:val="0"/>
                <w:sz w:val="22"/>
                <w:szCs w:val="22"/>
              </w:rPr>
              <w:t>MTP</w:t>
            </w:r>
          </w:p>
        </w:tc>
        <w:tc>
          <w:tcPr>
            <w:tcW w:w="3630" w:type="dxa"/>
            <w:tcBorders>
              <w:top w:val="nil"/>
              <w:left w:val="nil"/>
              <w:bottom w:val="single" w:sz="4" w:space="0" w:color="auto"/>
              <w:right w:val="single" w:sz="4" w:space="0" w:color="auto"/>
            </w:tcBorders>
            <w:shd w:val="clear" w:color="auto" w:fill="auto"/>
            <w:vAlign w:val="center"/>
          </w:tcPr>
          <w:p w14:paraId="4D2A89C9"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Residential Hard-to-Reach</w:t>
            </w:r>
          </w:p>
        </w:tc>
        <w:tc>
          <w:tcPr>
            <w:tcW w:w="2970" w:type="dxa"/>
            <w:tcBorders>
              <w:top w:val="nil"/>
              <w:left w:val="nil"/>
              <w:bottom w:val="single" w:sz="4" w:space="0" w:color="auto"/>
              <w:right w:val="single" w:sz="8" w:space="0" w:color="auto"/>
            </w:tcBorders>
            <w:shd w:val="clear" w:color="auto" w:fill="auto"/>
            <w:vAlign w:val="center"/>
          </w:tcPr>
          <w:p w14:paraId="73F4C86C" w14:textId="77777777" w:rsidR="008E44DE" w:rsidRPr="00DF4CCE" w:rsidRDefault="008E44DE" w:rsidP="00911709">
            <w:pPr>
              <w:jc w:val="center"/>
              <w:rPr>
                <w:rFonts w:ascii="Arial" w:hAnsi="Arial" w:cs="Arial"/>
                <w:b w:val="0"/>
                <w:sz w:val="22"/>
                <w:szCs w:val="22"/>
              </w:rPr>
            </w:pPr>
            <w:r w:rsidRPr="00DF4CCE">
              <w:rPr>
                <w:rFonts w:ascii="Arial" w:hAnsi="Arial" w:cs="Arial"/>
                <w:b w:val="0"/>
                <w:sz w:val="22"/>
                <w:szCs w:val="22"/>
              </w:rPr>
              <w:t>Retrofit</w:t>
            </w:r>
            <w:r>
              <w:rPr>
                <w:rFonts w:ascii="Arial" w:hAnsi="Arial" w:cs="Arial"/>
                <w:b w:val="0"/>
                <w:sz w:val="22"/>
                <w:szCs w:val="22"/>
              </w:rPr>
              <w:t>; New Construction</w:t>
            </w:r>
          </w:p>
        </w:tc>
      </w:tr>
      <w:tr w:rsidR="008E44DE" w:rsidRPr="0071175C" w14:paraId="395B30C1" w14:textId="77777777" w:rsidTr="00EB10AD">
        <w:trPr>
          <w:trHeight w:val="345"/>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3E5DFDFD" w14:textId="325383A8" w:rsidR="008E44DE" w:rsidRPr="00DF4CCE" w:rsidRDefault="008E44DE" w:rsidP="00911709">
            <w:pPr>
              <w:jc w:val="center"/>
              <w:rPr>
                <w:rFonts w:ascii="Arial" w:hAnsi="Arial" w:cs="Arial"/>
                <w:b w:val="0"/>
                <w:sz w:val="22"/>
                <w:szCs w:val="22"/>
              </w:rPr>
            </w:pPr>
            <w:r>
              <w:rPr>
                <w:rFonts w:ascii="Arial" w:hAnsi="Arial" w:cs="Arial"/>
                <w:b w:val="0"/>
                <w:sz w:val="22"/>
                <w:szCs w:val="22"/>
              </w:rPr>
              <w:t>Demand Response Pilot Program</w:t>
            </w:r>
            <w:r w:rsidR="00EB10AD">
              <w:rPr>
                <w:rFonts w:ascii="Arial" w:hAnsi="Arial" w:cs="Arial"/>
                <w:b w:val="0"/>
                <w:sz w:val="22"/>
                <w:szCs w:val="22"/>
              </w:rPr>
              <w:t xml:space="preserve"> MTP</w:t>
            </w:r>
          </w:p>
        </w:tc>
        <w:tc>
          <w:tcPr>
            <w:tcW w:w="3630" w:type="dxa"/>
            <w:tcBorders>
              <w:top w:val="single" w:sz="4" w:space="0" w:color="auto"/>
              <w:left w:val="nil"/>
              <w:bottom w:val="single" w:sz="4" w:space="0" w:color="auto"/>
              <w:right w:val="single" w:sz="4" w:space="0" w:color="auto"/>
            </w:tcBorders>
            <w:shd w:val="clear" w:color="auto" w:fill="auto"/>
            <w:vAlign w:val="center"/>
          </w:tcPr>
          <w:p w14:paraId="36E5B6F1" w14:textId="429E4313" w:rsidR="008E44DE" w:rsidRPr="00DF4CCE" w:rsidRDefault="008E44DE" w:rsidP="00911709">
            <w:pPr>
              <w:jc w:val="center"/>
              <w:rPr>
                <w:rFonts w:ascii="Arial" w:hAnsi="Arial" w:cs="Arial"/>
                <w:b w:val="0"/>
                <w:sz w:val="22"/>
                <w:szCs w:val="22"/>
              </w:rPr>
            </w:pPr>
            <w:r>
              <w:rPr>
                <w:rFonts w:ascii="Arial" w:hAnsi="Arial" w:cs="Arial"/>
                <w:b w:val="0"/>
                <w:sz w:val="22"/>
                <w:szCs w:val="22"/>
              </w:rPr>
              <w:t>Residential &amp; Commercial</w:t>
            </w:r>
          </w:p>
        </w:tc>
        <w:tc>
          <w:tcPr>
            <w:tcW w:w="2970" w:type="dxa"/>
            <w:tcBorders>
              <w:top w:val="single" w:sz="4" w:space="0" w:color="auto"/>
              <w:left w:val="nil"/>
              <w:bottom w:val="single" w:sz="4" w:space="0" w:color="auto"/>
              <w:right w:val="single" w:sz="4" w:space="0" w:color="auto"/>
            </w:tcBorders>
            <w:shd w:val="clear" w:color="auto" w:fill="auto"/>
            <w:vAlign w:val="center"/>
          </w:tcPr>
          <w:p w14:paraId="25A801D6" w14:textId="55C8155D" w:rsidR="008E44DE" w:rsidRPr="00DF4CCE" w:rsidRDefault="008E44DE" w:rsidP="00911709">
            <w:pPr>
              <w:jc w:val="center"/>
              <w:rPr>
                <w:rFonts w:ascii="Arial" w:hAnsi="Arial" w:cs="Arial"/>
                <w:b w:val="0"/>
                <w:sz w:val="22"/>
                <w:szCs w:val="22"/>
              </w:rPr>
            </w:pPr>
            <w:r>
              <w:rPr>
                <w:rFonts w:ascii="Arial" w:hAnsi="Arial" w:cs="Arial"/>
                <w:b w:val="0"/>
                <w:sz w:val="22"/>
                <w:szCs w:val="22"/>
              </w:rPr>
              <w:t>Demand Response</w:t>
            </w:r>
          </w:p>
        </w:tc>
      </w:tr>
      <w:tr w:rsidR="008E44DE" w:rsidRPr="0071175C" w14:paraId="5A770C1C" w14:textId="77777777" w:rsidTr="00EB10AD">
        <w:trPr>
          <w:trHeight w:val="345"/>
          <w:jc w:val="center"/>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tcPr>
          <w:p w14:paraId="3FCCB39D" w14:textId="48EEA537" w:rsidR="008E44DE" w:rsidRPr="00DF4CCE" w:rsidRDefault="00EB10AD" w:rsidP="00911709">
            <w:pPr>
              <w:jc w:val="center"/>
              <w:rPr>
                <w:rFonts w:ascii="Arial" w:hAnsi="Arial" w:cs="Arial"/>
                <w:b w:val="0"/>
                <w:sz w:val="22"/>
                <w:szCs w:val="22"/>
              </w:rPr>
            </w:pPr>
            <w:r>
              <w:rPr>
                <w:rFonts w:ascii="Arial" w:hAnsi="Arial" w:cs="Arial"/>
                <w:b w:val="0"/>
                <w:sz w:val="22"/>
                <w:szCs w:val="22"/>
              </w:rPr>
              <w:t xml:space="preserve">Texas </w:t>
            </w:r>
            <w:r w:rsidR="008E44DE">
              <w:rPr>
                <w:rFonts w:ascii="Arial" w:hAnsi="Arial" w:cs="Arial"/>
                <w:b w:val="0"/>
                <w:sz w:val="22"/>
                <w:szCs w:val="22"/>
              </w:rPr>
              <w:t>Appliance Recycling</w:t>
            </w:r>
            <w:r>
              <w:rPr>
                <w:rFonts w:ascii="Arial" w:hAnsi="Arial" w:cs="Arial"/>
                <w:b w:val="0"/>
                <w:sz w:val="22"/>
                <w:szCs w:val="22"/>
              </w:rPr>
              <w:t xml:space="preserve"> MTP</w:t>
            </w:r>
          </w:p>
        </w:tc>
        <w:tc>
          <w:tcPr>
            <w:tcW w:w="3630" w:type="dxa"/>
            <w:tcBorders>
              <w:top w:val="single" w:sz="4" w:space="0" w:color="auto"/>
              <w:left w:val="nil"/>
              <w:bottom w:val="single" w:sz="4" w:space="0" w:color="auto"/>
              <w:right w:val="single" w:sz="4" w:space="0" w:color="auto"/>
            </w:tcBorders>
            <w:shd w:val="clear" w:color="auto" w:fill="auto"/>
            <w:vAlign w:val="center"/>
          </w:tcPr>
          <w:p w14:paraId="2B1351B2" w14:textId="4C7FFF67" w:rsidR="008E44DE" w:rsidRPr="00DF4CCE" w:rsidRDefault="008E44DE" w:rsidP="00911709">
            <w:pPr>
              <w:jc w:val="center"/>
              <w:rPr>
                <w:rFonts w:ascii="Arial" w:hAnsi="Arial" w:cs="Arial"/>
                <w:b w:val="0"/>
                <w:sz w:val="22"/>
                <w:szCs w:val="22"/>
              </w:rPr>
            </w:pPr>
            <w:r>
              <w:rPr>
                <w:rFonts w:ascii="Arial" w:hAnsi="Arial" w:cs="Arial"/>
                <w:b w:val="0"/>
                <w:sz w:val="22"/>
                <w:szCs w:val="22"/>
              </w:rPr>
              <w:t>Residential</w:t>
            </w:r>
          </w:p>
        </w:tc>
        <w:tc>
          <w:tcPr>
            <w:tcW w:w="2970" w:type="dxa"/>
            <w:tcBorders>
              <w:top w:val="single" w:sz="4" w:space="0" w:color="auto"/>
              <w:left w:val="nil"/>
              <w:bottom w:val="single" w:sz="4" w:space="0" w:color="auto"/>
              <w:right w:val="single" w:sz="8" w:space="0" w:color="auto"/>
            </w:tcBorders>
            <w:shd w:val="clear" w:color="auto" w:fill="auto"/>
            <w:vAlign w:val="center"/>
          </w:tcPr>
          <w:p w14:paraId="1F31F454" w14:textId="04303CD5" w:rsidR="008E44DE" w:rsidRPr="00DF4CCE" w:rsidRDefault="008E44DE" w:rsidP="00911709">
            <w:pPr>
              <w:jc w:val="center"/>
              <w:rPr>
                <w:rFonts w:ascii="Arial" w:hAnsi="Arial" w:cs="Arial"/>
                <w:b w:val="0"/>
                <w:sz w:val="22"/>
                <w:szCs w:val="22"/>
              </w:rPr>
            </w:pPr>
            <w:r>
              <w:rPr>
                <w:rFonts w:ascii="Arial" w:hAnsi="Arial" w:cs="Arial"/>
                <w:b w:val="0"/>
                <w:sz w:val="22"/>
                <w:szCs w:val="22"/>
              </w:rPr>
              <w:t>Appliance Recycling</w:t>
            </w:r>
          </w:p>
        </w:tc>
      </w:tr>
    </w:tbl>
    <w:p w14:paraId="41155D44" w14:textId="77777777" w:rsidR="008D25B8" w:rsidRPr="0071175C" w:rsidRDefault="008D25B8" w:rsidP="00911709">
      <w:pPr>
        <w:pStyle w:val="BodyText"/>
        <w:spacing w:before="0" w:after="0" w:line="240" w:lineRule="auto"/>
        <w:rPr>
          <w:rFonts w:cs="Arial"/>
          <w:b w:val="0"/>
          <w:bCs/>
          <w:szCs w:val="22"/>
        </w:rPr>
      </w:pPr>
    </w:p>
    <w:p w14:paraId="6BA7DD5B" w14:textId="6E78F815" w:rsidR="00B73A15" w:rsidRDefault="0001501C" w:rsidP="00911709">
      <w:pPr>
        <w:pStyle w:val="BodyText"/>
        <w:spacing w:before="0" w:after="0" w:line="240" w:lineRule="auto"/>
        <w:rPr>
          <w:rFonts w:cs="Arial"/>
          <w:b w:val="0"/>
          <w:szCs w:val="22"/>
        </w:rPr>
      </w:pPr>
      <w:bookmarkStart w:id="11" w:name="_Toc190729541"/>
      <w:r>
        <w:rPr>
          <w:rFonts w:cs="Arial"/>
          <w:b w:val="0"/>
          <w:szCs w:val="22"/>
        </w:rPr>
        <w:t xml:space="preserve">The programs in Table 2 are described in further detail below. </w:t>
      </w:r>
      <w:r w:rsidR="00F51323">
        <w:rPr>
          <w:rFonts w:cs="Arial"/>
          <w:b w:val="0"/>
          <w:szCs w:val="22"/>
        </w:rPr>
        <w:t xml:space="preserve">EPE maintains a website containing links to the program manuals, </w:t>
      </w:r>
      <w:r w:rsidR="00F51323" w:rsidRPr="003E3C6B">
        <w:rPr>
          <w:rFonts w:cs="Arial"/>
          <w:b w:val="0"/>
          <w:szCs w:val="22"/>
        </w:rPr>
        <w:t>the requirements for project participation</w:t>
      </w:r>
      <w:r w:rsidR="0075161A">
        <w:rPr>
          <w:rFonts w:cs="Arial"/>
          <w:b w:val="0"/>
          <w:szCs w:val="22"/>
        </w:rPr>
        <w:t>,</w:t>
      </w:r>
      <w:r w:rsidR="00F51323">
        <w:rPr>
          <w:rFonts w:cs="Arial"/>
          <w:b w:val="0"/>
          <w:szCs w:val="22"/>
        </w:rPr>
        <w:t xml:space="preserve"> and available electronic forms at </w:t>
      </w:r>
      <w:hyperlink r:id="rId12" w:history="1">
        <w:r w:rsidR="00F51323" w:rsidRPr="00654A7F">
          <w:rPr>
            <w:rStyle w:val="Hyperlink"/>
            <w:rFonts w:ascii="Arial" w:hAnsi="Arial" w:cs="Arial"/>
            <w:sz w:val="22"/>
            <w:szCs w:val="22"/>
          </w:rPr>
          <w:t>www.epelectric.com</w:t>
        </w:r>
      </w:hyperlink>
      <w:r w:rsidR="00F51323">
        <w:rPr>
          <w:rFonts w:cs="Arial"/>
          <w:b w:val="0"/>
          <w:szCs w:val="22"/>
        </w:rPr>
        <w:t xml:space="preserve">. </w:t>
      </w:r>
      <w:r w:rsidR="00EB10AD">
        <w:rPr>
          <w:rFonts w:cs="Arial"/>
          <w:b w:val="0"/>
          <w:szCs w:val="22"/>
        </w:rPr>
        <w:t xml:space="preserve"> P</w:t>
      </w:r>
      <w:r w:rsidR="00B73A15" w:rsidRPr="00811647">
        <w:rPr>
          <w:rFonts w:cs="Arial"/>
          <w:b w:val="0"/>
          <w:szCs w:val="22"/>
        </w:rPr>
        <w:t>rogram</w:t>
      </w:r>
      <w:r w:rsidR="00EB10AD">
        <w:rPr>
          <w:rFonts w:cs="Arial"/>
          <w:b w:val="0"/>
          <w:szCs w:val="22"/>
        </w:rPr>
        <w:t>s with</w:t>
      </w:r>
      <w:r w:rsidR="00B73A15" w:rsidRPr="00811647">
        <w:rPr>
          <w:rFonts w:cs="Arial"/>
          <w:b w:val="0"/>
          <w:szCs w:val="22"/>
        </w:rPr>
        <w:t xml:space="preserve"> manuals can be found at the following website:</w:t>
      </w:r>
    </w:p>
    <w:p w14:paraId="21E3DC3A" w14:textId="77777777" w:rsidR="00B73A15" w:rsidRDefault="00B90424" w:rsidP="00911709">
      <w:pPr>
        <w:rPr>
          <w:rFonts w:ascii="Arial" w:hAnsi="Arial" w:cs="Arial"/>
          <w:b w:val="0"/>
          <w:sz w:val="22"/>
          <w:szCs w:val="22"/>
        </w:rPr>
      </w:pPr>
      <w:hyperlink r:id="rId13" w:history="1">
        <w:r w:rsidR="00550F5C" w:rsidRPr="001218F7">
          <w:rPr>
            <w:rStyle w:val="Hyperlink"/>
            <w:rFonts w:ascii="Arial" w:hAnsi="Arial" w:cs="Arial"/>
            <w:sz w:val="22"/>
            <w:szCs w:val="22"/>
          </w:rPr>
          <w:t>www.epelectric.com/tx/business/program-manuals-and-guidelines</w:t>
        </w:r>
      </w:hyperlink>
      <w:r w:rsidR="00550F5C">
        <w:rPr>
          <w:rFonts w:cs="Arial"/>
          <w:b w:val="0"/>
          <w:szCs w:val="22"/>
        </w:rPr>
        <w:t>.</w:t>
      </w:r>
      <w:r w:rsidR="00B73A15">
        <w:rPr>
          <w:rFonts w:cs="Arial"/>
          <w:b w:val="0"/>
          <w:szCs w:val="22"/>
        </w:rPr>
        <w:br w:type="page"/>
      </w:r>
    </w:p>
    <w:p w14:paraId="3D8473C3" w14:textId="77777777" w:rsidR="00150EBC" w:rsidRPr="0001501C" w:rsidRDefault="00150EBC" w:rsidP="00911709">
      <w:pPr>
        <w:pStyle w:val="BodyText"/>
        <w:spacing w:before="0" w:after="0" w:line="240" w:lineRule="auto"/>
        <w:rPr>
          <w:rFonts w:cs="Arial"/>
          <w:b w:val="0"/>
          <w:szCs w:val="22"/>
        </w:rPr>
      </w:pPr>
    </w:p>
    <w:p w14:paraId="1D59DFC0" w14:textId="77777777" w:rsidR="005B431B" w:rsidRPr="00981D9E" w:rsidRDefault="001904AE" w:rsidP="00911709">
      <w:pPr>
        <w:pStyle w:val="Heading2"/>
        <w:keepLines/>
        <w:tabs>
          <w:tab w:val="num" w:pos="0"/>
        </w:tabs>
        <w:spacing w:before="0" w:after="0"/>
        <w:rPr>
          <w:rFonts w:cs="Arial"/>
          <w:spacing w:val="0"/>
        </w:rPr>
      </w:pPr>
      <w:bookmarkStart w:id="12" w:name="_Toc509500752"/>
      <w:r w:rsidRPr="00981D9E">
        <w:rPr>
          <w:rFonts w:cs="Arial"/>
          <w:spacing w:val="0"/>
        </w:rPr>
        <w:t>Existing Programs</w:t>
      </w:r>
      <w:bookmarkEnd w:id="11"/>
      <w:bookmarkEnd w:id="12"/>
    </w:p>
    <w:p w14:paraId="1BE98F69" w14:textId="77777777" w:rsidR="008D25B8" w:rsidRDefault="008D25B8" w:rsidP="00911709"/>
    <w:p w14:paraId="10056E84" w14:textId="77777777" w:rsidR="008D25B8" w:rsidRDefault="008D25B8" w:rsidP="00911709">
      <w:pPr>
        <w:pStyle w:val="BodyText"/>
        <w:spacing w:before="0" w:after="0" w:line="240" w:lineRule="auto"/>
        <w:rPr>
          <w:rFonts w:cs="Arial"/>
          <w:b w:val="0"/>
        </w:rPr>
      </w:pPr>
    </w:p>
    <w:p w14:paraId="75D2652A" w14:textId="77777777" w:rsidR="00A23121" w:rsidRPr="004F4395" w:rsidRDefault="00A23121" w:rsidP="00A23121">
      <w:pPr>
        <w:pStyle w:val="BodyText"/>
        <w:keepNext/>
        <w:keepLines/>
        <w:spacing w:before="0" w:after="0" w:line="240" w:lineRule="auto"/>
        <w:rPr>
          <w:sz w:val="24"/>
        </w:rPr>
      </w:pPr>
      <w:r w:rsidRPr="00530C32">
        <w:rPr>
          <w:sz w:val="24"/>
        </w:rPr>
        <w:t>Load Management SOP</w:t>
      </w:r>
    </w:p>
    <w:p w14:paraId="237FF618" w14:textId="77777777" w:rsidR="00A23121" w:rsidRDefault="00A23121" w:rsidP="00A23121">
      <w:pPr>
        <w:pStyle w:val="BodyText"/>
        <w:spacing w:before="0" w:after="0" w:line="240" w:lineRule="auto"/>
        <w:rPr>
          <w:rFonts w:cs="Arial"/>
          <w:b w:val="0"/>
        </w:rPr>
      </w:pPr>
    </w:p>
    <w:p w14:paraId="12370DC8" w14:textId="06A00067" w:rsidR="00A23121" w:rsidRPr="002744ED" w:rsidRDefault="00A23121" w:rsidP="002744ED">
      <w:pPr>
        <w:pStyle w:val="BodyText"/>
        <w:spacing w:before="0" w:after="0" w:line="240" w:lineRule="auto"/>
        <w:rPr>
          <w:rFonts w:cs="Arial"/>
          <w:b w:val="0"/>
          <w:spacing w:val="-2"/>
        </w:rPr>
      </w:pPr>
      <w:r w:rsidRPr="008D25B8">
        <w:rPr>
          <w:rFonts w:cs="Arial"/>
          <w:b w:val="0"/>
          <w:spacing w:val="-2"/>
        </w:rPr>
        <w:t xml:space="preserve">The Load Management SOP allows participating customers to provide on-call, voluntary curtailment of electric consumption during peak demand periods in return for incentive payments. </w:t>
      </w:r>
      <w:r>
        <w:rPr>
          <w:rFonts w:cs="Arial"/>
          <w:b w:val="0"/>
          <w:spacing w:val="-2"/>
        </w:rPr>
        <w:t>Any c</w:t>
      </w:r>
      <w:r w:rsidRPr="008D25B8">
        <w:rPr>
          <w:rFonts w:cs="Arial"/>
          <w:b w:val="0"/>
          <w:spacing w:val="-2"/>
        </w:rPr>
        <w:t>ommercial customer, government</w:t>
      </w:r>
      <w:r>
        <w:rPr>
          <w:rFonts w:cs="Arial"/>
          <w:b w:val="0"/>
          <w:spacing w:val="-2"/>
        </w:rPr>
        <w:t>al entity</w:t>
      </w:r>
      <w:r w:rsidRPr="008D25B8">
        <w:rPr>
          <w:rFonts w:cs="Arial"/>
          <w:b w:val="0"/>
          <w:spacing w:val="-2"/>
        </w:rPr>
        <w:t xml:space="preserve">, </w:t>
      </w:r>
      <w:r>
        <w:rPr>
          <w:rFonts w:cs="Arial"/>
          <w:b w:val="0"/>
          <w:spacing w:val="-2"/>
        </w:rPr>
        <w:t>or</w:t>
      </w:r>
      <w:r w:rsidRPr="008D25B8">
        <w:rPr>
          <w:rFonts w:cs="Arial"/>
          <w:b w:val="0"/>
          <w:spacing w:val="-2"/>
        </w:rPr>
        <w:t xml:space="preserve"> educational customer </w:t>
      </w:r>
      <w:r>
        <w:rPr>
          <w:rFonts w:cs="Arial"/>
          <w:b w:val="0"/>
          <w:spacing w:val="-2"/>
        </w:rPr>
        <w:t>that takes</w:t>
      </w:r>
      <w:r w:rsidRPr="008D25B8">
        <w:rPr>
          <w:rFonts w:cs="Arial"/>
          <w:b w:val="0"/>
          <w:spacing w:val="-2"/>
        </w:rPr>
        <w:t xml:space="preserve"> service at the distribution level </w:t>
      </w:r>
      <w:r>
        <w:rPr>
          <w:rFonts w:cs="Arial"/>
          <w:b w:val="0"/>
          <w:spacing w:val="-2"/>
        </w:rPr>
        <w:t>is</w:t>
      </w:r>
      <w:r w:rsidRPr="008D25B8">
        <w:rPr>
          <w:rFonts w:cs="Arial"/>
          <w:b w:val="0"/>
          <w:spacing w:val="-2"/>
        </w:rPr>
        <w:t xml:space="preserve"> eligible to participate in the program.</w:t>
      </w:r>
      <w:r>
        <w:rPr>
          <w:rFonts w:cs="Arial"/>
          <w:b w:val="0"/>
          <w:spacing w:val="-2"/>
        </w:rPr>
        <w:t xml:space="preserve"> </w:t>
      </w:r>
      <w:r w:rsidRPr="008D25B8">
        <w:rPr>
          <w:rFonts w:cs="Arial"/>
          <w:b w:val="0"/>
          <w:spacing w:val="-2"/>
        </w:rPr>
        <w:t xml:space="preserve">Incentives are based on verified demand savings that customers are able to </w:t>
      </w:r>
      <w:r>
        <w:rPr>
          <w:rFonts w:cs="Arial"/>
          <w:b w:val="0"/>
          <w:spacing w:val="-2"/>
        </w:rPr>
        <w:t>achieve</w:t>
      </w:r>
      <w:r w:rsidRPr="008D25B8">
        <w:rPr>
          <w:rFonts w:cs="Arial"/>
          <w:b w:val="0"/>
          <w:spacing w:val="-2"/>
        </w:rPr>
        <w:t xml:space="preserve"> in response to notifications of voluntary curtailment events </w:t>
      </w:r>
      <w:r>
        <w:rPr>
          <w:rFonts w:cs="Arial"/>
          <w:b w:val="0"/>
          <w:spacing w:val="-2"/>
        </w:rPr>
        <w:t>by</w:t>
      </w:r>
      <w:r w:rsidRPr="008D25B8">
        <w:rPr>
          <w:rFonts w:cs="Arial"/>
          <w:b w:val="0"/>
          <w:spacing w:val="-2"/>
        </w:rPr>
        <w:t xml:space="preserve"> EP</w:t>
      </w:r>
      <w:r>
        <w:rPr>
          <w:rFonts w:cs="Arial"/>
          <w:b w:val="0"/>
          <w:spacing w:val="-2"/>
        </w:rPr>
        <w:t xml:space="preserve">E. </w:t>
      </w:r>
      <w:r w:rsidRPr="006D0C49">
        <w:rPr>
          <w:rFonts w:cs="Arial"/>
          <w:b w:val="0"/>
          <w:spacing w:val="-2"/>
        </w:rPr>
        <w:t xml:space="preserve">Demand savings and incentive payment amounts are based on </w:t>
      </w:r>
      <w:r>
        <w:rPr>
          <w:rFonts w:cs="Arial"/>
          <w:b w:val="0"/>
          <w:spacing w:val="-2"/>
        </w:rPr>
        <w:t xml:space="preserve">the </w:t>
      </w:r>
      <w:r w:rsidRPr="006D0C49">
        <w:rPr>
          <w:rFonts w:cs="Arial"/>
          <w:b w:val="0"/>
          <w:spacing w:val="-2"/>
        </w:rPr>
        <w:t>actual, verified load curtailments.</w:t>
      </w:r>
      <w:r>
        <w:rPr>
          <w:rFonts w:cs="Arial"/>
          <w:b w:val="0"/>
          <w:spacing w:val="-2"/>
        </w:rPr>
        <w:t xml:space="preserve"> </w:t>
      </w:r>
      <w:r>
        <w:rPr>
          <w:rFonts w:cs="Arial"/>
          <w:b w:val="0"/>
        </w:rPr>
        <w:t xml:space="preserve">EPE plans to continue this program in 2018 and 2019. </w:t>
      </w:r>
    </w:p>
    <w:p w14:paraId="651871CB" w14:textId="77777777" w:rsidR="00A23121" w:rsidRDefault="00A23121" w:rsidP="00911709">
      <w:pPr>
        <w:pStyle w:val="Heading3"/>
        <w:keepNext w:val="0"/>
        <w:spacing w:before="0" w:after="0"/>
        <w:rPr>
          <w:rFonts w:cs="Arial"/>
        </w:rPr>
      </w:pPr>
    </w:p>
    <w:p w14:paraId="3B6D76C0" w14:textId="77777777" w:rsidR="00004E13" w:rsidRPr="00981D9E" w:rsidRDefault="00004E13" w:rsidP="00911709">
      <w:pPr>
        <w:pStyle w:val="Heading3"/>
        <w:keepNext w:val="0"/>
        <w:spacing w:before="0" w:after="0"/>
        <w:rPr>
          <w:rFonts w:cs="Arial"/>
        </w:rPr>
      </w:pPr>
      <w:r w:rsidRPr="00981D9E">
        <w:rPr>
          <w:rFonts w:cs="Arial"/>
        </w:rPr>
        <w:t xml:space="preserve">Small Commercial Solutions MTP </w:t>
      </w:r>
    </w:p>
    <w:p w14:paraId="71717173" w14:textId="77777777" w:rsidR="00004E13" w:rsidRDefault="00004E13" w:rsidP="00911709">
      <w:pPr>
        <w:pStyle w:val="BodyText"/>
        <w:spacing w:before="0" w:after="0" w:line="240" w:lineRule="auto"/>
        <w:rPr>
          <w:rFonts w:cs="Arial"/>
          <w:b w:val="0"/>
        </w:rPr>
      </w:pPr>
    </w:p>
    <w:p w14:paraId="281A307B" w14:textId="716F4203" w:rsidR="00004E13" w:rsidRDefault="006569B5" w:rsidP="00911709">
      <w:pPr>
        <w:pStyle w:val="BodyText"/>
        <w:spacing w:before="0" w:after="0" w:line="240" w:lineRule="auto"/>
        <w:rPr>
          <w:rFonts w:cs="Arial"/>
          <w:b w:val="0"/>
        </w:rPr>
      </w:pPr>
      <w:r>
        <w:rPr>
          <w:rFonts w:cs="Arial"/>
          <w:b w:val="0"/>
        </w:rPr>
        <w:t>The</w:t>
      </w:r>
      <w:r w:rsidR="00004E13" w:rsidRPr="00981D9E">
        <w:rPr>
          <w:rFonts w:cs="Arial"/>
          <w:b w:val="0"/>
        </w:rPr>
        <w:t xml:space="preserve"> </w:t>
      </w:r>
      <w:r w:rsidR="00004E13" w:rsidRPr="00981D9E">
        <w:rPr>
          <w:rFonts w:cs="Arial"/>
          <w:b w:val="0"/>
          <w:bCs/>
        </w:rPr>
        <w:t xml:space="preserve">Small Commercial Solutions MTP </w:t>
      </w:r>
      <w:r>
        <w:rPr>
          <w:rFonts w:cs="Arial"/>
          <w:b w:val="0"/>
          <w:bCs/>
        </w:rPr>
        <w:t xml:space="preserve">offers </w:t>
      </w:r>
      <w:r w:rsidR="00004E13" w:rsidRPr="00981D9E">
        <w:rPr>
          <w:rFonts w:cs="Arial"/>
          <w:b w:val="0"/>
        </w:rPr>
        <w:t xml:space="preserve">customers with </w:t>
      </w:r>
      <w:r w:rsidR="00D04FAF">
        <w:rPr>
          <w:rFonts w:cs="Arial"/>
          <w:b w:val="0"/>
        </w:rPr>
        <w:t xml:space="preserve">a </w:t>
      </w:r>
      <w:r w:rsidR="00004E13">
        <w:rPr>
          <w:rFonts w:cs="Arial"/>
          <w:b w:val="0"/>
        </w:rPr>
        <w:t>peak</w:t>
      </w:r>
      <w:r w:rsidR="00004E13" w:rsidRPr="00981D9E">
        <w:rPr>
          <w:rFonts w:cs="Arial"/>
          <w:b w:val="0"/>
        </w:rPr>
        <w:t xml:space="preserve"> demand </w:t>
      </w:r>
      <w:r w:rsidR="00004E13" w:rsidRPr="00653C7A">
        <w:rPr>
          <w:rFonts w:cs="Arial"/>
          <w:b w:val="0"/>
        </w:rPr>
        <w:t>of less than</w:t>
      </w:r>
      <w:r w:rsidR="00004E13">
        <w:rPr>
          <w:rFonts w:cs="Arial"/>
          <w:b w:val="0"/>
        </w:rPr>
        <w:t xml:space="preserve"> </w:t>
      </w:r>
      <w:r w:rsidR="00004E13" w:rsidRPr="00981D9E">
        <w:rPr>
          <w:rFonts w:cs="Arial"/>
          <w:b w:val="0"/>
        </w:rPr>
        <w:t>100 kW both cash and non-cash incentives.</w:t>
      </w:r>
      <w:r w:rsidR="00141FD7" w:rsidRPr="00141FD7">
        <w:rPr>
          <w:rFonts w:cs="Arial"/>
          <w:b w:val="0"/>
        </w:rPr>
        <w:t xml:space="preserve"> </w:t>
      </w:r>
      <w:r w:rsidR="001F332C">
        <w:rPr>
          <w:rFonts w:cs="Arial"/>
          <w:b w:val="0"/>
        </w:rPr>
        <w:t>The program pays a</w:t>
      </w:r>
      <w:r w:rsidR="00141FD7">
        <w:rPr>
          <w:rFonts w:cs="Arial"/>
          <w:b w:val="0"/>
        </w:rPr>
        <w:t xml:space="preserve"> cash incentive of </w:t>
      </w:r>
      <w:r w:rsidR="00141FD7" w:rsidRPr="00C504F1">
        <w:rPr>
          <w:rFonts w:cs="Arial"/>
          <w:b w:val="0"/>
        </w:rPr>
        <w:t>$400</w:t>
      </w:r>
      <w:r w:rsidR="00141FD7">
        <w:rPr>
          <w:rFonts w:cs="Arial"/>
          <w:b w:val="0"/>
        </w:rPr>
        <w:t xml:space="preserve"> per reduced kW </w:t>
      </w:r>
      <w:r w:rsidR="009A64E8">
        <w:rPr>
          <w:rFonts w:cs="Arial"/>
          <w:b w:val="0"/>
        </w:rPr>
        <w:t xml:space="preserve">for the majority of measures and </w:t>
      </w:r>
      <w:r w:rsidR="006F2E84">
        <w:rPr>
          <w:rFonts w:cs="Arial"/>
          <w:b w:val="0"/>
        </w:rPr>
        <w:t xml:space="preserve">up to </w:t>
      </w:r>
      <w:r w:rsidR="009A64E8">
        <w:rPr>
          <w:rFonts w:cs="Arial"/>
          <w:b w:val="0"/>
        </w:rPr>
        <w:t xml:space="preserve">$500 per reduced kW when converting T12 lamps to higher efficiency lamps. The incentive is paid </w:t>
      </w:r>
      <w:r w:rsidR="00141FD7">
        <w:rPr>
          <w:rFonts w:cs="Arial"/>
          <w:b w:val="0"/>
        </w:rPr>
        <w:t>to customers</w:t>
      </w:r>
      <w:r w:rsidR="00D04FAF">
        <w:rPr>
          <w:rFonts w:cs="Arial"/>
          <w:b w:val="0"/>
        </w:rPr>
        <w:t xml:space="preserve">, </w:t>
      </w:r>
      <w:r w:rsidR="009A64E8">
        <w:rPr>
          <w:rFonts w:cs="Arial"/>
          <w:b w:val="0"/>
        </w:rPr>
        <w:t xml:space="preserve">generally </w:t>
      </w:r>
      <w:r w:rsidR="00D04FAF">
        <w:rPr>
          <w:rFonts w:cs="Arial"/>
          <w:b w:val="0"/>
        </w:rPr>
        <w:t>through participating contractors,</w:t>
      </w:r>
      <w:r w:rsidR="00141FD7">
        <w:rPr>
          <w:rFonts w:cs="Arial"/>
          <w:b w:val="0"/>
        </w:rPr>
        <w:t xml:space="preserve"> for eligible energy efficiency measures that are installed in new or retrofit applications</w:t>
      </w:r>
      <w:r w:rsidR="00D04FAF">
        <w:rPr>
          <w:rFonts w:cs="Arial"/>
          <w:b w:val="0"/>
        </w:rPr>
        <w:t>.</w:t>
      </w:r>
      <w:r w:rsidR="00141FD7">
        <w:rPr>
          <w:rFonts w:cs="Arial"/>
          <w:b w:val="0"/>
        </w:rPr>
        <w:t xml:space="preserve"> </w:t>
      </w:r>
      <w:r w:rsidR="00004E13">
        <w:rPr>
          <w:rFonts w:cs="Arial"/>
          <w:b w:val="0"/>
        </w:rPr>
        <w:t>This program also</w:t>
      </w:r>
      <w:r w:rsidR="00004E13" w:rsidRPr="00981D9E">
        <w:rPr>
          <w:rFonts w:cs="Arial"/>
          <w:b w:val="0"/>
        </w:rPr>
        <w:t xml:space="preserve"> provide</w:t>
      </w:r>
      <w:r w:rsidR="00004E13">
        <w:rPr>
          <w:rFonts w:cs="Arial"/>
          <w:b w:val="0"/>
        </w:rPr>
        <w:t>s</w:t>
      </w:r>
      <w:r w:rsidR="00004E13" w:rsidRPr="00981D9E">
        <w:rPr>
          <w:rFonts w:cs="Arial"/>
          <w:b w:val="0"/>
        </w:rPr>
        <w:t xml:space="preserve"> non-cash incentives </w:t>
      </w:r>
      <w:r>
        <w:rPr>
          <w:rFonts w:cs="Arial"/>
          <w:b w:val="0"/>
        </w:rPr>
        <w:t>which include</w:t>
      </w:r>
      <w:r w:rsidR="00004E13" w:rsidRPr="00981D9E">
        <w:rPr>
          <w:rFonts w:cs="Arial"/>
          <w:b w:val="0"/>
        </w:rPr>
        <w:t xml:space="preserve"> technical assistance, education on energy efficiency projects, and </w:t>
      </w:r>
      <w:r w:rsidR="003821C8">
        <w:rPr>
          <w:rFonts w:cs="Arial"/>
          <w:b w:val="0"/>
        </w:rPr>
        <w:t>marketing material</w:t>
      </w:r>
      <w:r w:rsidR="00D04FAF">
        <w:rPr>
          <w:rFonts w:cs="Arial"/>
          <w:b w:val="0"/>
        </w:rPr>
        <w:t xml:space="preserve"> to customers and participating contractors</w:t>
      </w:r>
      <w:r w:rsidR="00004E13" w:rsidRPr="00981D9E">
        <w:rPr>
          <w:rFonts w:cs="Arial"/>
          <w:b w:val="0"/>
        </w:rPr>
        <w:t xml:space="preserve">. In addition to capturing </w:t>
      </w:r>
      <w:r w:rsidR="00004E13">
        <w:rPr>
          <w:rFonts w:cs="Arial"/>
          <w:b w:val="0"/>
        </w:rPr>
        <w:t>demand and energy</w:t>
      </w:r>
      <w:r w:rsidR="00004E13" w:rsidRPr="00981D9E">
        <w:rPr>
          <w:rFonts w:cs="Arial"/>
          <w:b w:val="0"/>
        </w:rPr>
        <w:t xml:space="preserve"> </w:t>
      </w:r>
      <w:r w:rsidR="00004E13">
        <w:rPr>
          <w:rFonts w:cs="Arial"/>
          <w:b w:val="0"/>
        </w:rPr>
        <w:t>savings</w:t>
      </w:r>
      <w:r w:rsidR="00004E13" w:rsidRPr="00981D9E">
        <w:rPr>
          <w:rFonts w:cs="Arial"/>
          <w:b w:val="0"/>
        </w:rPr>
        <w:t xml:space="preserve">, the implementer helps small commercial contractors improve their ability to identify, evaluate, and sell </w:t>
      </w:r>
      <w:r w:rsidR="00004E13">
        <w:rPr>
          <w:rFonts w:cs="Arial"/>
          <w:b w:val="0"/>
        </w:rPr>
        <w:t xml:space="preserve">energy </w:t>
      </w:r>
      <w:r w:rsidR="00004E13" w:rsidRPr="00981D9E">
        <w:rPr>
          <w:rFonts w:cs="Arial"/>
          <w:b w:val="0"/>
        </w:rPr>
        <w:t>efficiency improvements to small business owners</w:t>
      </w:r>
      <w:r w:rsidR="00D04FAF">
        <w:rPr>
          <w:rFonts w:cs="Arial"/>
          <w:b w:val="0"/>
        </w:rPr>
        <w:t>.</w:t>
      </w:r>
      <w:r w:rsidR="00867D82">
        <w:rPr>
          <w:rFonts w:cs="Arial"/>
          <w:b w:val="0"/>
        </w:rPr>
        <w:t xml:space="preserve"> </w:t>
      </w:r>
      <w:r w:rsidR="00621CCB">
        <w:rPr>
          <w:rFonts w:cs="Arial"/>
          <w:b w:val="0"/>
        </w:rPr>
        <w:t>Also</w:t>
      </w:r>
      <w:r>
        <w:rPr>
          <w:rFonts w:cs="Arial"/>
          <w:b w:val="0"/>
        </w:rPr>
        <w:t>,</w:t>
      </w:r>
      <w:r w:rsidR="00D04FAF">
        <w:rPr>
          <w:rFonts w:cs="Arial"/>
          <w:b w:val="0"/>
        </w:rPr>
        <w:t xml:space="preserve"> this </w:t>
      </w:r>
      <w:r w:rsidR="00867D82">
        <w:rPr>
          <w:rFonts w:cs="Arial"/>
          <w:b w:val="0"/>
        </w:rPr>
        <w:t xml:space="preserve">program </w:t>
      </w:r>
      <w:r w:rsidR="00867D82" w:rsidRPr="00981D9E">
        <w:rPr>
          <w:rFonts w:cs="Arial"/>
          <w:b w:val="0"/>
        </w:rPr>
        <w:t>assists</w:t>
      </w:r>
      <w:r w:rsidR="00004E13" w:rsidRPr="00981D9E">
        <w:rPr>
          <w:rFonts w:cs="Arial"/>
          <w:b w:val="0"/>
        </w:rPr>
        <w:t xml:space="preserve"> </w:t>
      </w:r>
      <w:r>
        <w:rPr>
          <w:rFonts w:cs="Arial"/>
          <w:b w:val="0"/>
        </w:rPr>
        <w:t>customers</w:t>
      </w:r>
      <w:r w:rsidR="00004E13" w:rsidRPr="00981D9E">
        <w:rPr>
          <w:rFonts w:cs="Arial"/>
          <w:b w:val="0"/>
        </w:rPr>
        <w:t xml:space="preserve"> in evaluating energy efficiency proposals from </w:t>
      </w:r>
      <w:r>
        <w:rPr>
          <w:rFonts w:cs="Arial"/>
          <w:b w:val="0"/>
        </w:rPr>
        <w:t>contractors</w:t>
      </w:r>
      <w:r w:rsidR="00004E13" w:rsidRPr="00981D9E">
        <w:rPr>
          <w:rFonts w:cs="Arial"/>
          <w:b w:val="0"/>
        </w:rPr>
        <w:t xml:space="preserve">. </w:t>
      </w:r>
      <w:r w:rsidR="00004E13">
        <w:rPr>
          <w:rFonts w:cs="Arial"/>
          <w:b w:val="0"/>
        </w:rPr>
        <w:t xml:space="preserve">EPE plans to continue this program in </w:t>
      </w:r>
      <w:r w:rsidR="0024677C">
        <w:rPr>
          <w:rFonts w:cs="Arial"/>
          <w:b w:val="0"/>
        </w:rPr>
        <w:t>201</w:t>
      </w:r>
      <w:r w:rsidR="001E7855">
        <w:rPr>
          <w:rFonts w:cs="Arial"/>
          <w:b w:val="0"/>
        </w:rPr>
        <w:t>8</w:t>
      </w:r>
      <w:r w:rsidR="00E40187">
        <w:rPr>
          <w:rFonts w:cs="Arial"/>
          <w:b w:val="0"/>
        </w:rPr>
        <w:t xml:space="preserve"> </w:t>
      </w:r>
      <w:r w:rsidR="00621CCB">
        <w:rPr>
          <w:rFonts w:cs="Arial"/>
          <w:b w:val="0"/>
        </w:rPr>
        <w:t xml:space="preserve">and </w:t>
      </w:r>
      <w:r w:rsidR="0024677C">
        <w:rPr>
          <w:rFonts w:cs="Arial"/>
          <w:b w:val="0"/>
        </w:rPr>
        <w:t>201</w:t>
      </w:r>
      <w:r w:rsidR="001E7855">
        <w:rPr>
          <w:rFonts w:cs="Arial"/>
          <w:b w:val="0"/>
        </w:rPr>
        <w:t>9</w:t>
      </w:r>
      <w:r w:rsidR="00004E13">
        <w:rPr>
          <w:rFonts w:cs="Arial"/>
          <w:b w:val="0"/>
        </w:rPr>
        <w:t>.</w:t>
      </w:r>
      <w:r w:rsidR="00A332B1">
        <w:rPr>
          <w:rFonts w:cs="Arial"/>
          <w:b w:val="0"/>
        </w:rPr>
        <w:t xml:space="preserve"> </w:t>
      </w:r>
      <w:r w:rsidR="00A332B1" w:rsidRPr="00B837FC">
        <w:rPr>
          <w:rFonts w:cs="Arial"/>
          <w:b w:val="0"/>
          <w:szCs w:val="22"/>
        </w:rPr>
        <w:t xml:space="preserve">The </w:t>
      </w:r>
      <w:r w:rsidR="00A332B1">
        <w:rPr>
          <w:rFonts w:cs="Arial"/>
          <w:b w:val="0"/>
          <w:szCs w:val="22"/>
        </w:rPr>
        <w:t>Small Commercial</w:t>
      </w:r>
      <w:r w:rsidR="00A332B1" w:rsidRPr="00B837FC">
        <w:rPr>
          <w:rFonts w:cs="Arial"/>
          <w:b w:val="0"/>
          <w:szCs w:val="22"/>
        </w:rPr>
        <w:t xml:space="preserve"> Solutions Program will continue working with </w:t>
      </w:r>
      <w:r w:rsidR="00A332B1">
        <w:rPr>
          <w:rFonts w:cs="Arial"/>
          <w:b w:val="0"/>
          <w:szCs w:val="22"/>
        </w:rPr>
        <w:t xml:space="preserve">contractors and </w:t>
      </w:r>
      <w:r w:rsidR="00A332B1" w:rsidRPr="00B837FC">
        <w:rPr>
          <w:rFonts w:cs="Arial"/>
          <w:b w:val="0"/>
          <w:szCs w:val="22"/>
        </w:rPr>
        <w:t>business owners</w:t>
      </w:r>
      <w:r w:rsidR="00A332B1">
        <w:rPr>
          <w:rFonts w:cs="Arial"/>
          <w:b w:val="0"/>
          <w:szCs w:val="22"/>
        </w:rPr>
        <w:t xml:space="preserve"> to improve energy efficiency</w:t>
      </w:r>
      <w:r w:rsidR="000358AC">
        <w:rPr>
          <w:rFonts w:cs="Arial"/>
          <w:b w:val="0"/>
          <w:szCs w:val="22"/>
        </w:rPr>
        <w:t xml:space="preserve"> in the targeted market</w:t>
      </w:r>
      <w:r w:rsidR="00A332B1" w:rsidRPr="00B837FC">
        <w:rPr>
          <w:rFonts w:cs="Arial"/>
          <w:b w:val="0"/>
          <w:szCs w:val="22"/>
        </w:rPr>
        <w:t xml:space="preserve">. </w:t>
      </w:r>
      <w:r w:rsidR="00A332B1">
        <w:rPr>
          <w:rFonts w:cs="Arial"/>
          <w:b w:val="0"/>
          <w:szCs w:val="22"/>
        </w:rPr>
        <w:t>This program</w:t>
      </w:r>
      <w:r w:rsidR="00A332B1" w:rsidRPr="00B837FC">
        <w:rPr>
          <w:rFonts w:cs="Arial"/>
          <w:b w:val="0"/>
          <w:szCs w:val="22"/>
        </w:rPr>
        <w:t xml:space="preserve"> will </w:t>
      </w:r>
      <w:r w:rsidR="00A332B1">
        <w:rPr>
          <w:rFonts w:cs="Arial"/>
          <w:b w:val="0"/>
          <w:szCs w:val="22"/>
        </w:rPr>
        <w:t>continue to</w:t>
      </w:r>
      <w:r w:rsidR="00A332B1" w:rsidRPr="00B837FC">
        <w:rPr>
          <w:rFonts w:cs="Arial"/>
          <w:b w:val="0"/>
          <w:szCs w:val="22"/>
        </w:rPr>
        <w:t xml:space="preserve"> expand outreach to active contractors and other building industry players to raise overall energy efficiency practices across the marketplace.</w:t>
      </w:r>
    </w:p>
    <w:p w14:paraId="0FC2A126" w14:textId="77777777" w:rsidR="00004E13" w:rsidRPr="00981D9E" w:rsidRDefault="00004E13" w:rsidP="00911709">
      <w:pPr>
        <w:pStyle w:val="BodyText"/>
        <w:spacing w:before="0" w:after="0" w:line="240" w:lineRule="auto"/>
        <w:rPr>
          <w:rFonts w:cs="Arial"/>
          <w:b w:val="0"/>
        </w:rPr>
      </w:pPr>
    </w:p>
    <w:p w14:paraId="38ACE6B4" w14:textId="77777777" w:rsidR="00B019ED" w:rsidRPr="00981D9E" w:rsidRDefault="00B019ED" w:rsidP="00911709">
      <w:pPr>
        <w:pStyle w:val="Heading3"/>
        <w:keepNext w:val="0"/>
        <w:spacing w:before="0" w:after="0"/>
        <w:rPr>
          <w:rFonts w:cs="Arial"/>
        </w:rPr>
      </w:pPr>
      <w:r w:rsidRPr="00981D9E">
        <w:rPr>
          <w:rFonts w:cs="Arial"/>
        </w:rPr>
        <w:t xml:space="preserve">Large </w:t>
      </w:r>
      <w:r w:rsidR="0015085C">
        <w:rPr>
          <w:rFonts w:cs="Arial"/>
        </w:rPr>
        <w:t>Commercial</w:t>
      </w:r>
      <w:r w:rsidR="00125DA3">
        <w:rPr>
          <w:rFonts w:cs="Arial"/>
        </w:rPr>
        <w:t xml:space="preserve"> &amp; Industrial </w:t>
      </w:r>
      <w:r w:rsidRPr="00981D9E">
        <w:rPr>
          <w:rFonts w:cs="Arial"/>
        </w:rPr>
        <w:t xml:space="preserve">Solutions MTP </w:t>
      </w:r>
    </w:p>
    <w:p w14:paraId="5C1B4E32" w14:textId="77777777" w:rsidR="008D25B8" w:rsidRDefault="008D25B8" w:rsidP="00911709">
      <w:pPr>
        <w:pStyle w:val="BodyText"/>
        <w:spacing w:before="0" w:after="0" w:line="240" w:lineRule="auto"/>
        <w:rPr>
          <w:rFonts w:cs="Arial"/>
          <w:b w:val="0"/>
        </w:rPr>
      </w:pPr>
    </w:p>
    <w:p w14:paraId="1E93C6F5" w14:textId="5C9B109A" w:rsidR="00B019ED" w:rsidRDefault="00B019ED" w:rsidP="00911709">
      <w:pPr>
        <w:pStyle w:val="BodyText"/>
        <w:spacing w:before="0" w:after="0" w:line="240" w:lineRule="auto"/>
        <w:rPr>
          <w:rFonts w:cs="Arial"/>
          <w:b w:val="0"/>
          <w:szCs w:val="22"/>
        </w:rPr>
      </w:pPr>
      <w:r w:rsidRPr="00981D9E">
        <w:rPr>
          <w:rFonts w:cs="Arial"/>
          <w:b w:val="0"/>
        </w:rPr>
        <w:t xml:space="preserve">The Large </w:t>
      </w:r>
      <w:r w:rsidR="00125DA3">
        <w:rPr>
          <w:rFonts w:cs="Arial"/>
          <w:b w:val="0"/>
        </w:rPr>
        <w:t>C&amp;I</w:t>
      </w:r>
      <w:r w:rsidR="00125DA3" w:rsidRPr="00981D9E">
        <w:rPr>
          <w:rFonts w:cs="Arial"/>
          <w:b w:val="0"/>
        </w:rPr>
        <w:t xml:space="preserve"> </w:t>
      </w:r>
      <w:r w:rsidRPr="00981D9E">
        <w:rPr>
          <w:rFonts w:cs="Arial"/>
          <w:b w:val="0"/>
        </w:rPr>
        <w:t xml:space="preserve">Solutions </w:t>
      </w:r>
      <w:r w:rsidR="00594C4B">
        <w:rPr>
          <w:rFonts w:cs="Arial"/>
          <w:b w:val="0"/>
        </w:rPr>
        <w:t>MTP</w:t>
      </w:r>
      <w:r w:rsidR="00594C4B" w:rsidRPr="00981D9E">
        <w:rPr>
          <w:rFonts w:cs="Arial"/>
          <w:b w:val="0"/>
        </w:rPr>
        <w:t xml:space="preserve"> </w:t>
      </w:r>
      <w:r w:rsidRPr="00981D9E">
        <w:rPr>
          <w:rFonts w:cs="Arial"/>
          <w:b w:val="0"/>
        </w:rPr>
        <w:t xml:space="preserve">offers customers with </w:t>
      </w:r>
      <w:r w:rsidR="00594C4B">
        <w:rPr>
          <w:rFonts w:cs="Arial"/>
          <w:b w:val="0"/>
        </w:rPr>
        <w:t xml:space="preserve">a </w:t>
      </w:r>
      <w:r w:rsidR="0092602D">
        <w:rPr>
          <w:rFonts w:cs="Arial"/>
          <w:b w:val="0"/>
        </w:rPr>
        <w:t>peak</w:t>
      </w:r>
      <w:r w:rsidR="0092602D" w:rsidRPr="00981D9E">
        <w:rPr>
          <w:rFonts w:cs="Arial"/>
          <w:b w:val="0"/>
        </w:rPr>
        <w:t xml:space="preserve"> </w:t>
      </w:r>
      <w:r w:rsidRPr="00981D9E">
        <w:rPr>
          <w:rFonts w:cs="Arial"/>
          <w:b w:val="0"/>
        </w:rPr>
        <w:t xml:space="preserve">demand </w:t>
      </w:r>
      <w:r w:rsidR="00125DA3">
        <w:rPr>
          <w:rFonts w:cs="Arial"/>
          <w:b w:val="0"/>
        </w:rPr>
        <w:t xml:space="preserve">of </w:t>
      </w:r>
      <w:r w:rsidR="00125DA3" w:rsidRPr="00653C7A">
        <w:rPr>
          <w:rFonts w:cs="Arial"/>
          <w:b w:val="0"/>
        </w:rPr>
        <w:t xml:space="preserve">equal to or </w:t>
      </w:r>
      <w:r w:rsidRPr="00653C7A">
        <w:rPr>
          <w:rFonts w:cs="Arial"/>
          <w:b w:val="0"/>
        </w:rPr>
        <w:t>greater than</w:t>
      </w:r>
      <w:r w:rsidRPr="00981D9E">
        <w:rPr>
          <w:rFonts w:cs="Arial"/>
          <w:b w:val="0"/>
        </w:rPr>
        <w:t xml:space="preserve"> 100 </w:t>
      </w:r>
      <w:r w:rsidR="00125DA3">
        <w:rPr>
          <w:rFonts w:cs="Arial"/>
          <w:b w:val="0"/>
        </w:rPr>
        <w:t>kW</w:t>
      </w:r>
      <w:r w:rsidRPr="00981D9E">
        <w:rPr>
          <w:rFonts w:cs="Arial"/>
          <w:b w:val="0"/>
        </w:rPr>
        <w:t xml:space="preserve"> both cash and non-cash incentives.</w:t>
      </w:r>
      <w:r w:rsidR="00125DA3">
        <w:rPr>
          <w:rFonts w:cs="Arial"/>
          <w:b w:val="0"/>
        </w:rPr>
        <w:t xml:space="preserve"> </w:t>
      </w:r>
      <w:r w:rsidR="001F332C">
        <w:rPr>
          <w:rFonts w:cs="Arial"/>
          <w:b w:val="0"/>
        </w:rPr>
        <w:t xml:space="preserve">The program pays a </w:t>
      </w:r>
      <w:r w:rsidR="00125DA3">
        <w:rPr>
          <w:rFonts w:cs="Arial"/>
          <w:b w:val="0"/>
        </w:rPr>
        <w:t xml:space="preserve">cash incentive of </w:t>
      </w:r>
      <w:r w:rsidR="00125DA3" w:rsidRPr="00C504F1">
        <w:rPr>
          <w:rFonts w:cs="Arial"/>
          <w:b w:val="0"/>
        </w:rPr>
        <w:t>$240</w:t>
      </w:r>
      <w:r w:rsidR="00125DA3">
        <w:rPr>
          <w:rFonts w:cs="Arial"/>
          <w:b w:val="0"/>
        </w:rPr>
        <w:t xml:space="preserve"> per reduced kW to customers for eligible energy efficiency measures that are installed in new or retrofit applications</w:t>
      </w:r>
      <w:r w:rsidR="00594C4B">
        <w:rPr>
          <w:rFonts w:cs="Arial"/>
          <w:b w:val="0"/>
        </w:rPr>
        <w:t>.</w:t>
      </w:r>
      <w:r w:rsidRPr="00981D9E">
        <w:rPr>
          <w:rFonts w:cs="Arial"/>
          <w:b w:val="0"/>
        </w:rPr>
        <w:t xml:space="preserve"> </w:t>
      </w:r>
      <w:r w:rsidR="006569B5">
        <w:rPr>
          <w:rFonts w:cs="Arial"/>
          <w:b w:val="0"/>
        </w:rPr>
        <w:t>This</w:t>
      </w:r>
      <w:r w:rsidRPr="00981D9E">
        <w:rPr>
          <w:rFonts w:cs="Arial"/>
          <w:b w:val="0"/>
        </w:rPr>
        <w:t xml:space="preserve"> program helps companies to</w:t>
      </w:r>
      <w:r w:rsidR="00171CAD">
        <w:rPr>
          <w:rFonts w:cs="Arial"/>
          <w:b w:val="0"/>
        </w:rPr>
        <w:t>:</w:t>
      </w:r>
      <w:r w:rsidRPr="00981D9E">
        <w:rPr>
          <w:rFonts w:cs="Arial"/>
          <w:b w:val="0"/>
        </w:rPr>
        <w:t xml:space="preserve"> </w:t>
      </w:r>
      <w:r w:rsidR="008D25B8">
        <w:rPr>
          <w:rFonts w:cs="Arial"/>
          <w:b w:val="0"/>
        </w:rPr>
        <w:t>(</w:t>
      </w:r>
      <w:r w:rsidRPr="00981D9E">
        <w:rPr>
          <w:rFonts w:cs="Arial"/>
          <w:b w:val="0"/>
        </w:rPr>
        <w:t>1)</w:t>
      </w:r>
      <w:r w:rsidR="008D25B8">
        <w:rPr>
          <w:rFonts w:cs="Arial"/>
          <w:b w:val="0"/>
        </w:rPr>
        <w:t> </w:t>
      </w:r>
      <w:r w:rsidRPr="00981D9E">
        <w:rPr>
          <w:rFonts w:cs="Arial"/>
          <w:b w:val="0"/>
        </w:rPr>
        <w:t xml:space="preserve">identify, evaluate, and undertake </w:t>
      </w:r>
      <w:r w:rsidR="00594C4B">
        <w:rPr>
          <w:rFonts w:cs="Arial"/>
          <w:b w:val="0"/>
        </w:rPr>
        <w:t xml:space="preserve">energy </w:t>
      </w:r>
      <w:r w:rsidRPr="00981D9E">
        <w:rPr>
          <w:rFonts w:cs="Arial"/>
          <w:b w:val="0"/>
        </w:rPr>
        <w:t xml:space="preserve">efficiency improvements; </w:t>
      </w:r>
      <w:r w:rsidR="008D25B8">
        <w:rPr>
          <w:rFonts w:cs="Arial"/>
          <w:b w:val="0"/>
        </w:rPr>
        <w:t>(</w:t>
      </w:r>
      <w:r w:rsidRPr="00981D9E">
        <w:rPr>
          <w:rFonts w:cs="Arial"/>
          <w:b w:val="0"/>
        </w:rPr>
        <w:t>2)</w:t>
      </w:r>
      <w:r w:rsidR="008D25B8">
        <w:rPr>
          <w:rFonts w:cs="Arial"/>
          <w:b w:val="0"/>
        </w:rPr>
        <w:t> </w:t>
      </w:r>
      <w:r w:rsidRPr="00981D9E">
        <w:rPr>
          <w:rFonts w:cs="Arial"/>
          <w:b w:val="0"/>
        </w:rPr>
        <w:t xml:space="preserve">properly evaluate energy efficiency proposals from vendors; and/or </w:t>
      </w:r>
      <w:r w:rsidR="008D25B8">
        <w:rPr>
          <w:rFonts w:cs="Arial"/>
          <w:b w:val="0"/>
        </w:rPr>
        <w:t>(</w:t>
      </w:r>
      <w:r w:rsidRPr="00981D9E">
        <w:rPr>
          <w:rFonts w:cs="Arial"/>
          <w:b w:val="0"/>
        </w:rPr>
        <w:t xml:space="preserve">3) understand how to leverage their energy savings to finance projects.  </w:t>
      </w:r>
      <w:r w:rsidR="003963DB" w:rsidRPr="00B837FC">
        <w:rPr>
          <w:rFonts w:cs="Arial"/>
          <w:b w:val="0"/>
          <w:szCs w:val="22"/>
        </w:rPr>
        <w:t xml:space="preserve">The Large </w:t>
      </w:r>
      <w:r w:rsidR="003963DB">
        <w:rPr>
          <w:rFonts w:cs="Arial"/>
          <w:b w:val="0"/>
          <w:szCs w:val="22"/>
        </w:rPr>
        <w:t>C&amp;I</w:t>
      </w:r>
      <w:r w:rsidR="003963DB" w:rsidRPr="00B837FC">
        <w:rPr>
          <w:rFonts w:cs="Arial"/>
          <w:b w:val="0"/>
          <w:szCs w:val="22"/>
        </w:rPr>
        <w:t xml:space="preserve"> Solutions Program </w:t>
      </w:r>
      <w:r w:rsidR="003963DB">
        <w:rPr>
          <w:rFonts w:cs="Arial"/>
          <w:b w:val="0"/>
          <w:szCs w:val="22"/>
        </w:rPr>
        <w:t>also provides measurement and verification for projects, as necessary</w:t>
      </w:r>
      <w:r w:rsidR="003963DB" w:rsidRPr="00B837FC">
        <w:rPr>
          <w:rFonts w:cs="Arial"/>
          <w:b w:val="0"/>
          <w:szCs w:val="22"/>
        </w:rPr>
        <w:t xml:space="preserve">.  </w:t>
      </w:r>
      <w:r w:rsidR="00BB623D">
        <w:rPr>
          <w:rFonts w:cs="Arial"/>
          <w:b w:val="0"/>
        </w:rPr>
        <w:t xml:space="preserve">EPE plans to continue this program in </w:t>
      </w:r>
      <w:r w:rsidR="0024677C">
        <w:rPr>
          <w:rFonts w:cs="Arial"/>
          <w:b w:val="0"/>
        </w:rPr>
        <w:t>201</w:t>
      </w:r>
      <w:r w:rsidR="0040701F">
        <w:rPr>
          <w:rFonts w:cs="Arial"/>
          <w:b w:val="0"/>
        </w:rPr>
        <w:t>8</w:t>
      </w:r>
      <w:r w:rsidR="00E40187">
        <w:rPr>
          <w:rFonts w:cs="Arial"/>
          <w:b w:val="0"/>
        </w:rPr>
        <w:t xml:space="preserve"> </w:t>
      </w:r>
      <w:r w:rsidR="003963DB">
        <w:rPr>
          <w:rFonts w:cs="Arial"/>
          <w:b w:val="0"/>
        </w:rPr>
        <w:t xml:space="preserve">and </w:t>
      </w:r>
      <w:r w:rsidR="0024677C">
        <w:rPr>
          <w:rFonts w:cs="Arial"/>
          <w:b w:val="0"/>
        </w:rPr>
        <w:t>201</w:t>
      </w:r>
      <w:r w:rsidR="0040701F">
        <w:rPr>
          <w:rFonts w:cs="Arial"/>
          <w:b w:val="0"/>
        </w:rPr>
        <w:t>9</w:t>
      </w:r>
      <w:r w:rsidR="00BB623D">
        <w:rPr>
          <w:rFonts w:cs="Arial"/>
          <w:b w:val="0"/>
        </w:rPr>
        <w:t>.</w:t>
      </w:r>
      <w:r w:rsidR="004677B4">
        <w:rPr>
          <w:rFonts w:cs="Arial"/>
          <w:b w:val="0"/>
        </w:rPr>
        <w:t xml:space="preserve"> </w:t>
      </w:r>
      <w:r w:rsidR="004677B4" w:rsidRPr="00B837FC">
        <w:rPr>
          <w:rFonts w:cs="Arial"/>
          <w:b w:val="0"/>
          <w:szCs w:val="22"/>
        </w:rPr>
        <w:t xml:space="preserve">The Large </w:t>
      </w:r>
      <w:r w:rsidR="004677B4">
        <w:rPr>
          <w:rFonts w:cs="Arial"/>
          <w:b w:val="0"/>
          <w:szCs w:val="22"/>
        </w:rPr>
        <w:t xml:space="preserve">C&amp;I </w:t>
      </w:r>
      <w:r w:rsidR="004677B4" w:rsidRPr="00B837FC">
        <w:rPr>
          <w:rFonts w:cs="Arial"/>
          <w:b w:val="0"/>
          <w:szCs w:val="22"/>
        </w:rPr>
        <w:t xml:space="preserve">Solutions MTP will </w:t>
      </w:r>
      <w:r w:rsidR="0098397E">
        <w:rPr>
          <w:rFonts w:cs="Arial"/>
          <w:b w:val="0"/>
          <w:szCs w:val="22"/>
        </w:rPr>
        <w:t>continue</w:t>
      </w:r>
      <w:r w:rsidR="004677B4" w:rsidRPr="00B837FC">
        <w:rPr>
          <w:rFonts w:cs="Arial"/>
          <w:b w:val="0"/>
          <w:szCs w:val="22"/>
        </w:rPr>
        <w:t xml:space="preserve"> </w:t>
      </w:r>
      <w:r w:rsidR="0098397E">
        <w:rPr>
          <w:rFonts w:cs="Arial"/>
          <w:b w:val="0"/>
          <w:szCs w:val="22"/>
        </w:rPr>
        <w:t xml:space="preserve">its </w:t>
      </w:r>
      <w:r w:rsidR="004677B4" w:rsidRPr="00B837FC">
        <w:rPr>
          <w:rFonts w:cs="Arial"/>
          <w:b w:val="0"/>
          <w:szCs w:val="22"/>
        </w:rPr>
        <w:t>outreach to active contractors, architectural firms, engineering firms, and other building industry players to raise overall energy efficiency practices across the marketplace.</w:t>
      </w:r>
    </w:p>
    <w:p w14:paraId="264462F9" w14:textId="77777777" w:rsidR="00587361" w:rsidRDefault="00587361" w:rsidP="00911709">
      <w:pPr>
        <w:pStyle w:val="BodyText"/>
        <w:spacing w:before="0" w:after="0" w:line="240" w:lineRule="auto"/>
        <w:rPr>
          <w:rFonts w:cs="Arial"/>
          <w:b w:val="0"/>
        </w:rPr>
      </w:pPr>
    </w:p>
    <w:p w14:paraId="2895A640" w14:textId="77777777" w:rsidR="001904AE" w:rsidRPr="00981D9E" w:rsidRDefault="00471528" w:rsidP="00911709">
      <w:pPr>
        <w:pStyle w:val="Heading3"/>
        <w:keepLines/>
        <w:spacing w:before="0" w:after="0"/>
        <w:rPr>
          <w:rFonts w:cs="Arial"/>
        </w:rPr>
      </w:pPr>
      <w:r w:rsidRPr="00981D9E">
        <w:rPr>
          <w:rFonts w:cs="Arial"/>
        </w:rPr>
        <w:t>Texas SCORE</w:t>
      </w:r>
      <w:r w:rsidR="00395447" w:rsidRPr="00981D9E">
        <w:rPr>
          <w:rFonts w:cs="Arial"/>
        </w:rPr>
        <w:t xml:space="preserve"> </w:t>
      </w:r>
      <w:r w:rsidR="009A0A53" w:rsidRPr="00981D9E">
        <w:rPr>
          <w:rFonts w:cs="Arial"/>
        </w:rPr>
        <w:t>MTP</w:t>
      </w:r>
    </w:p>
    <w:p w14:paraId="1017BD25" w14:textId="77777777" w:rsidR="008D25B8" w:rsidRDefault="008D25B8" w:rsidP="00911709">
      <w:pPr>
        <w:pStyle w:val="BodyText"/>
        <w:keepNext/>
        <w:keepLines/>
        <w:spacing w:before="0" w:after="0" w:line="240" w:lineRule="auto"/>
        <w:rPr>
          <w:rFonts w:cs="Arial"/>
          <w:b w:val="0"/>
        </w:rPr>
      </w:pPr>
    </w:p>
    <w:p w14:paraId="79BFEA63" w14:textId="17557CD4" w:rsidR="00594C4B" w:rsidRDefault="00594C4B" w:rsidP="00911709">
      <w:pPr>
        <w:pStyle w:val="BodyText"/>
        <w:spacing w:before="0" w:after="0" w:line="240" w:lineRule="auto"/>
        <w:rPr>
          <w:rFonts w:cs="Arial"/>
          <w:b w:val="0"/>
          <w:spacing w:val="-2"/>
        </w:rPr>
      </w:pPr>
      <w:r>
        <w:rPr>
          <w:rFonts w:cs="Arial"/>
          <w:b w:val="0"/>
        </w:rPr>
        <w:t xml:space="preserve">The Texas SCORE MTP </w:t>
      </w:r>
      <w:r w:rsidR="009E4F30">
        <w:rPr>
          <w:rFonts w:cs="Arial"/>
          <w:b w:val="0"/>
        </w:rPr>
        <w:t>promotes</w:t>
      </w:r>
      <w:r w:rsidR="004206D1" w:rsidRPr="000B6FC1">
        <w:rPr>
          <w:rFonts w:cs="Arial"/>
          <w:b w:val="0"/>
        </w:rPr>
        <w:t xml:space="preserve"> a structured process </w:t>
      </w:r>
      <w:r w:rsidR="004206D1">
        <w:rPr>
          <w:rFonts w:cs="Arial"/>
          <w:b w:val="0"/>
        </w:rPr>
        <w:t>for</w:t>
      </w:r>
      <w:r w:rsidR="004206D1" w:rsidRPr="000B6FC1">
        <w:rPr>
          <w:rFonts w:cs="Arial"/>
          <w:b w:val="0"/>
        </w:rPr>
        <w:t xml:space="preserve"> school district</w:t>
      </w:r>
      <w:r w:rsidR="004206D1">
        <w:rPr>
          <w:rFonts w:cs="Arial"/>
          <w:b w:val="0"/>
        </w:rPr>
        <w:t>s, higher education</w:t>
      </w:r>
      <w:r w:rsidR="004206D1" w:rsidRPr="000B6FC1">
        <w:rPr>
          <w:rFonts w:cs="Arial"/>
          <w:b w:val="0"/>
        </w:rPr>
        <w:t xml:space="preserve"> and local governments to identify opportunities and implement energy efficiency measures. Th</w:t>
      </w:r>
      <w:r w:rsidR="00385C0E">
        <w:rPr>
          <w:rFonts w:cs="Arial"/>
          <w:b w:val="0"/>
        </w:rPr>
        <w:t>is</w:t>
      </w:r>
      <w:r w:rsidR="004206D1" w:rsidRPr="000B6FC1">
        <w:rPr>
          <w:rFonts w:cs="Arial"/>
          <w:b w:val="0"/>
        </w:rPr>
        <w:t xml:space="preserve"> program pays </w:t>
      </w:r>
      <w:r w:rsidR="004206D1">
        <w:rPr>
          <w:rFonts w:cs="Arial"/>
          <w:b w:val="0"/>
        </w:rPr>
        <w:t>a</w:t>
      </w:r>
      <w:r>
        <w:rPr>
          <w:rFonts w:cs="Arial"/>
          <w:b w:val="0"/>
        </w:rPr>
        <w:t xml:space="preserve"> cash</w:t>
      </w:r>
      <w:r w:rsidR="004206D1">
        <w:rPr>
          <w:rFonts w:cs="Arial"/>
          <w:b w:val="0"/>
        </w:rPr>
        <w:t xml:space="preserve"> </w:t>
      </w:r>
      <w:r w:rsidR="004206D1" w:rsidRPr="000B6FC1">
        <w:rPr>
          <w:rFonts w:cs="Arial"/>
          <w:b w:val="0"/>
        </w:rPr>
        <w:t>incentive</w:t>
      </w:r>
      <w:r w:rsidR="004206D1">
        <w:rPr>
          <w:rFonts w:cs="Arial"/>
          <w:b w:val="0"/>
        </w:rPr>
        <w:t xml:space="preserve"> of </w:t>
      </w:r>
      <w:r w:rsidR="004206D1" w:rsidRPr="00C504F1">
        <w:rPr>
          <w:rFonts w:cs="Arial"/>
          <w:b w:val="0"/>
        </w:rPr>
        <w:t>$240</w:t>
      </w:r>
      <w:r w:rsidR="004206D1">
        <w:rPr>
          <w:rFonts w:cs="Arial"/>
          <w:b w:val="0"/>
        </w:rPr>
        <w:t xml:space="preserve"> per reduced kW</w:t>
      </w:r>
      <w:r w:rsidR="004206D1" w:rsidRPr="000B6FC1">
        <w:rPr>
          <w:rFonts w:cs="Arial"/>
          <w:b w:val="0"/>
        </w:rPr>
        <w:t xml:space="preserve"> to school</w:t>
      </w:r>
      <w:r w:rsidR="00385C0E">
        <w:rPr>
          <w:rFonts w:cs="Arial"/>
          <w:b w:val="0"/>
        </w:rPr>
        <w:t>s</w:t>
      </w:r>
      <w:r w:rsidR="004206D1" w:rsidRPr="000B6FC1">
        <w:rPr>
          <w:rFonts w:cs="Arial"/>
          <w:b w:val="0"/>
        </w:rPr>
        <w:t xml:space="preserve"> and local government</w:t>
      </w:r>
      <w:r w:rsidR="00385C0E">
        <w:rPr>
          <w:rFonts w:cs="Arial"/>
          <w:b w:val="0"/>
        </w:rPr>
        <w:t>al</w:t>
      </w:r>
      <w:r w:rsidR="004206D1" w:rsidRPr="000B6FC1">
        <w:rPr>
          <w:rFonts w:cs="Arial"/>
          <w:b w:val="0"/>
        </w:rPr>
        <w:t xml:space="preserve"> entities for the installation of energy efficiency measures</w:t>
      </w:r>
      <w:r w:rsidR="004206D1">
        <w:rPr>
          <w:rFonts w:cs="Arial"/>
          <w:b w:val="0"/>
        </w:rPr>
        <w:t>,</w:t>
      </w:r>
      <w:r w:rsidR="004206D1" w:rsidRPr="000B6FC1">
        <w:rPr>
          <w:rFonts w:cs="Arial"/>
          <w:b w:val="0"/>
        </w:rPr>
        <w:t xml:space="preserve"> as well </w:t>
      </w:r>
      <w:r w:rsidR="004206D1" w:rsidRPr="00166BC5">
        <w:rPr>
          <w:rFonts w:cs="Arial"/>
          <w:b w:val="0"/>
        </w:rPr>
        <w:t>as</w:t>
      </w:r>
      <w:r w:rsidR="004206D1" w:rsidRPr="000B6FC1">
        <w:rPr>
          <w:rFonts w:cs="Arial"/>
          <w:b w:val="0"/>
          <w:sz w:val="25"/>
          <w:szCs w:val="25"/>
        </w:rPr>
        <w:t xml:space="preserve"> </w:t>
      </w:r>
      <w:r w:rsidR="004206D1" w:rsidRPr="000B6FC1">
        <w:rPr>
          <w:rFonts w:cs="Arial"/>
          <w:b w:val="0"/>
        </w:rPr>
        <w:t xml:space="preserve">non-cash incentive tools </w:t>
      </w:r>
      <w:r w:rsidR="004206D1">
        <w:rPr>
          <w:rFonts w:cs="Arial"/>
          <w:b w:val="0"/>
        </w:rPr>
        <w:t>used to</w:t>
      </w:r>
      <w:r w:rsidR="004206D1" w:rsidRPr="000B6FC1">
        <w:rPr>
          <w:rFonts w:cs="Arial"/>
          <w:b w:val="0"/>
        </w:rPr>
        <w:t xml:space="preserve"> identify their critical needs and pr</w:t>
      </w:r>
      <w:r w:rsidR="004206D1">
        <w:rPr>
          <w:rFonts w:cs="Arial"/>
          <w:b w:val="0"/>
        </w:rPr>
        <w:t>omote best business practices.</w:t>
      </w:r>
      <w:r w:rsidR="004206D1" w:rsidRPr="004206D1">
        <w:rPr>
          <w:rFonts w:cs="Arial"/>
          <w:b w:val="0"/>
        </w:rPr>
        <w:t xml:space="preserve"> </w:t>
      </w:r>
      <w:r w:rsidR="002744ED">
        <w:rPr>
          <w:rFonts w:cs="Arial"/>
          <w:b w:val="0"/>
        </w:rPr>
        <w:t>The Texas SCORE</w:t>
      </w:r>
      <w:r w:rsidR="004206D1">
        <w:rPr>
          <w:rFonts w:cs="Arial"/>
          <w:b w:val="0"/>
        </w:rPr>
        <w:t xml:space="preserve"> </w:t>
      </w:r>
      <w:r w:rsidR="002744ED">
        <w:rPr>
          <w:rFonts w:cs="Arial"/>
          <w:b w:val="0"/>
        </w:rPr>
        <w:t>MTP</w:t>
      </w:r>
      <w:r w:rsidR="004206D1">
        <w:rPr>
          <w:rFonts w:cs="Arial"/>
          <w:b w:val="0"/>
        </w:rPr>
        <w:t xml:space="preserve"> is </w:t>
      </w:r>
      <w:r w:rsidR="004206D1">
        <w:rPr>
          <w:rFonts w:cs="Arial"/>
          <w:b w:val="0"/>
        </w:rPr>
        <w:lastRenderedPageBreak/>
        <w:t xml:space="preserve">designed to </w:t>
      </w:r>
      <w:r w:rsidR="00385C0E">
        <w:rPr>
          <w:rFonts w:cs="Arial"/>
          <w:b w:val="0"/>
        </w:rPr>
        <w:t xml:space="preserve">assist </w:t>
      </w:r>
      <w:r w:rsidR="004206D1">
        <w:rPr>
          <w:rFonts w:cs="Arial"/>
          <w:b w:val="0"/>
        </w:rPr>
        <w:t xml:space="preserve">and </w:t>
      </w:r>
      <w:r w:rsidR="00385C0E">
        <w:rPr>
          <w:rFonts w:cs="Arial"/>
          <w:b w:val="0"/>
        </w:rPr>
        <w:t xml:space="preserve">educate </w:t>
      </w:r>
      <w:r w:rsidR="004206D1">
        <w:rPr>
          <w:rFonts w:cs="Arial"/>
          <w:b w:val="0"/>
        </w:rPr>
        <w:t>these customers in improving their facilities’ energy performance and reducing their operating costs by integrating energy efficiency into their short- and long-term planning</w:t>
      </w:r>
      <w:r w:rsidR="005A1EDB">
        <w:rPr>
          <w:rFonts w:cs="Arial"/>
          <w:b w:val="0"/>
        </w:rPr>
        <w:t>.</w:t>
      </w:r>
      <w:r w:rsidR="004206D1">
        <w:rPr>
          <w:rFonts w:cs="Arial"/>
          <w:b w:val="0"/>
        </w:rPr>
        <w:t xml:space="preserve"> </w:t>
      </w:r>
      <w:r w:rsidR="005A1EDB">
        <w:rPr>
          <w:rFonts w:cs="Arial"/>
          <w:b w:val="0"/>
        </w:rPr>
        <w:t xml:space="preserve">This program also helps these customers </w:t>
      </w:r>
      <w:r w:rsidR="004206D1">
        <w:rPr>
          <w:rFonts w:cs="Arial"/>
          <w:b w:val="0"/>
        </w:rPr>
        <w:t>identify, prioritiz</w:t>
      </w:r>
      <w:r w:rsidR="005A1EDB">
        <w:rPr>
          <w:rFonts w:cs="Arial"/>
          <w:b w:val="0"/>
        </w:rPr>
        <w:t>e</w:t>
      </w:r>
      <w:r w:rsidR="004206D1">
        <w:rPr>
          <w:rFonts w:cs="Arial"/>
          <w:b w:val="0"/>
        </w:rPr>
        <w:t>, budget, and complet</w:t>
      </w:r>
      <w:r w:rsidR="005A1EDB">
        <w:rPr>
          <w:rFonts w:cs="Arial"/>
          <w:b w:val="0"/>
        </w:rPr>
        <w:t>e energy efficiency</w:t>
      </w:r>
      <w:r w:rsidR="004206D1">
        <w:rPr>
          <w:rFonts w:cs="Arial"/>
          <w:b w:val="0"/>
        </w:rPr>
        <w:t xml:space="preserve"> projects.</w:t>
      </w:r>
      <w:r w:rsidR="00385C0E">
        <w:rPr>
          <w:rFonts w:cs="Arial"/>
          <w:b w:val="0"/>
        </w:rPr>
        <w:t xml:space="preserve"> </w:t>
      </w:r>
      <w:r w:rsidR="00745128" w:rsidRPr="00745128">
        <w:rPr>
          <w:rFonts w:cs="Arial"/>
          <w:b w:val="0"/>
        </w:rPr>
        <w:t xml:space="preserve">A benchmarking analysis may be conducted depending upon </w:t>
      </w:r>
      <w:r w:rsidR="0058310C">
        <w:rPr>
          <w:rFonts w:cs="Arial"/>
          <w:b w:val="0"/>
        </w:rPr>
        <w:t xml:space="preserve">the individual </w:t>
      </w:r>
      <w:r w:rsidR="00745128" w:rsidRPr="00745128">
        <w:rPr>
          <w:rFonts w:cs="Arial"/>
          <w:b w:val="0"/>
        </w:rPr>
        <w:t>customer needs</w:t>
      </w:r>
      <w:r w:rsidR="004206D1" w:rsidRPr="00745128">
        <w:rPr>
          <w:rFonts w:cs="Arial"/>
          <w:b w:val="0"/>
        </w:rPr>
        <w:t>.</w:t>
      </w:r>
      <w:r w:rsidR="004206D1" w:rsidRPr="000B6FC1">
        <w:rPr>
          <w:rFonts w:cs="Arial"/>
          <w:b w:val="0"/>
        </w:rPr>
        <w:t xml:space="preserve"> </w:t>
      </w:r>
      <w:r w:rsidR="004206D1" w:rsidRPr="003E3C6B">
        <w:rPr>
          <w:rFonts w:cs="Arial"/>
          <w:b w:val="0"/>
        </w:rPr>
        <w:t>The benchmarking data compares energy performance within school campuses and government facilities against national and state averages. This data also serves as the program baseline data.</w:t>
      </w:r>
      <w:r w:rsidDel="00594C4B">
        <w:rPr>
          <w:rFonts w:cs="Arial"/>
          <w:b w:val="0"/>
        </w:rPr>
        <w:t xml:space="preserve"> </w:t>
      </w:r>
      <w:r w:rsidR="00D53580" w:rsidRPr="00981D9E">
        <w:rPr>
          <w:rFonts w:cs="Arial"/>
          <w:b w:val="0"/>
        </w:rPr>
        <w:t>EPE</w:t>
      </w:r>
      <w:r w:rsidR="001904AE" w:rsidRPr="00981D9E">
        <w:rPr>
          <w:rFonts w:cs="Arial"/>
          <w:b w:val="0"/>
        </w:rPr>
        <w:t xml:space="preserve"> </w:t>
      </w:r>
      <w:r w:rsidR="00A41D9E" w:rsidRPr="00981D9E">
        <w:rPr>
          <w:rFonts w:cs="Arial"/>
          <w:b w:val="0"/>
        </w:rPr>
        <w:t xml:space="preserve">will continue to </w:t>
      </w:r>
      <w:r w:rsidR="00FE3713">
        <w:rPr>
          <w:rFonts w:cs="Arial"/>
          <w:b w:val="0"/>
        </w:rPr>
        <w:t>offer</w:t>
      </w:r>
      <w:r w:rsidR="00FE3713" w:rsidRPr="00981D9E">
        <w:rPr>
          <w:rFonts w:cs="Arial"/>
          <w:b w:val="0"/>
        </w:rPr>
        <w:t xml:space="preserve"> </w:t>
      </w:r>
      <w:r w:rsidR="00FE3713">
        <w:rPr>
          <w:rFonts w:cs="Arial"/>
          <w:b w:val="0"/>
        </w:rPr>
        <w:t>its</w:t>
      </w:r>
      <w:r w:rsidR="00FE3713" w:rsidRPr="00981D9E">
        <w:rPr>
          <w:rFonts w:cs="Arial"/>
          <w:b w:val="0"/>
        </w:rPr>
        <w:t xml:space="preserve"> </w:t>
      </w:r>
      <w:r w:rsidR="002A02B3" w:rsidRPr="00981D9E">
        <w:rPr>
          <w:rFonts w:cs="Arial"/>
          <w:b w:val="0"/>
        </w:rPr>
        <w:t>Texas</w:t>
      </w:r>
      <w:r w:rsidR="001904AE" w:rsidRPr="00981D9E">
        <w:rPr>
          <w:rFonts w:cs="Arial"/>
          <w:b w:val="0"/>
        </w:rPr>
        <w:t xml:space="preserve"> SCORE</w:t>
      </w:r>
      <w:r w:rsidR="00A41D9E" w:rsidRPr="00981D9E">
        <w:rPr>
          <w:rFonts w:cs="Arial"/>
          <w:b w:val="0"/>
        </w:rPr>
        <w:t xml:space="preserve"> MTP</w:t>
      </w:r>
      <w:r w:rsidR="00FA37EF" w:rsidRPr="00981D9E">
        <w:rPr>
          <w:rFonts w:cs="Arial"/>
          <w:b w:val="0"/>
        </w:rPr>
        <w:t xml:space="preserve"> </w:t>
      </w:r>
      <w:r w:rsidR="00E56038" w:rsidRPr="00981D9E">
        <w:rPr>
          <w:rFonts w:cs="Arial"/>
          <w:b w:val="0"/>
        </w:rPr>
        <w:t xml:space="preserve">in </w:t>
      </w:r>
      <w:r w:rsidR="0024677C">
        <w:rPr>
          <w:rFonts w:cs="Arial"/>
          <w:b w:val="0"/>
        </w:rPr>
        <w:t>201</w:t>
      </w:r>
      <w:r w:rsidR="009F015B">
        <w:rPr>
          <w:rFonts w:cs="Arial"/>
          <w:b w:val="0"/>
        </w:rPr>
        <w:t>8</w:t>
      </w:r>
      <w:r w:rsidR="00D85BEF">
        <w:rPr>
          <w:rFonts w:cs="Arial"/>
          <w:b w:val="0"/>
        </w:rPr>
        <w:t xml:space="preserve"> </w:t>
      </w:r>
      <w:r w:rsidR="009E4F30">
        <w:rPr>
          <w:rFonts w:cs="Arial"/>
          <w:b w:val="0"/>
        </w:rPr>
        <w:t xml:space="preserve">and </w:t>
      </w:r>
      <w:r w:rsidR="0024677C">
        <w:rPr>
          <w:rFonts w:cs="Arial"/>
          <w:b w:val="0"/>
        </w:rPr>
        <w:t>201</w:t>
      </w:r>
      <w:r w:rsidR="009F015B">
        <w:rPr>
          <w:rFonts w:cs="Arial"/>
          <w:b w:val="0"/>
        </w:rPr>
        <w:t>9</w:t>
      </w:r>
      <w:r w:rsidR="009F60EE">
        <w:rPr>
          <w:rFonts w:cs="Arial"/>
          <w:b w:val="0"/>
        </w:rPr>
        <w:t>.</w:t>
      </w:r>
      <w:r w:rsidR="001904AE" w:rsidRPr="00981D9E">
        <w:rPr>
          <w:rFonts w:cs="Arial"/>
          <w:b w:val="0"/>
        </w:rPr>
        <w:t xml:space="preserve">  </w:t>
      </w:r>
      <w:r w:rsidR="005A1EDB">
        <w:rPr>
          <w:rFonts w:cs="Arial"/>
          <w:b w:val="0"/>
        </w:rPr>
        <w:t>E</w:t>
      </w:r>
      <w:r w:rsidR="00E327CA">
        <w:rPr>
          <w:rFonts w:cs="Arial"/>
          <w:b w:val="0"/>
          <w:spacing w:val="-2"/>
        </w:rPr>
        <w:t>PE</w:t>
      </w:r>
      <w:r w:rsidR="00E327CA" w:rsidRPr="000D3596">
        <w:rPr>
          <w:rFonts w:cs="Arial"/>
          <w:b w:val="0"/>
          <w:spacing w:val="-2"/>
        </w:rPr>
        <w:t xml:space="preserve"> will continue working with schools and governmental entities to </w:t>
      </w:r>
      <w:r w:rsidR="009E282A">
        <w:rPr>
          <w:rFonts w:cs="Arial"/>
          <w:b w:val="0"/>
          <w:spacing w:val="-2"/>
        </w:rPr>
        <w:t xml:space="preserve">help identify </w:t>
      </w:r>
      <w:r w:rsidR="00E327CA" w:rsidRPr="000D3596">
        <w:rPr>
          <w:rFonts w:cs="Arial"/>
          <w:b w:val="0"/>
          <w:spacing w:val="-2"/>
        </w:rPr>
        <w:t>energy efficiency opportunit</w:t>
      </w:r>
      <w:r w:rsidR="009E282A">
        <w:rPr>
          <w:rFonts w:cs="Arial"/>
          <w:b w:val="0"/>
          <w:spacing w:val="-2"/>
        </w:rPr>
        <w:t>ies</w:t>
      </w:r>
      <w:r w:rsidR="0003475C">
        <w:rPr>
          <w:rFonts w:cs="Arial"/>
          <w:b w:val="0"/>
          <w:spacing w:val="-2"/>
        </w:rPr>
        <w:t>.</w:t>
      </w:r>
      <w:r w:rsidR="00E327CA" w:rsidRPr="000D3596">
        <w:rPr>
          <w:rFonts w:cs="Arial"/>
          <w:b w:val="0"/>
          <w:spacing w:val="-2"/>
        </w:rPr>
        <w:t xml:space="preserve"> The Texas SCORE </w:t>
      </w:r>
      <w:r w:rsidR="00665C1A">
        <w:rPr>
          <w:rFonts w:cs="Arial"/>
          <w:b w:val="0"/>
          <w:spacing w:val="-2"/>
        </w:rPr>
        <w:t xml:space="preserve">MTP </w:t>
      </w:r>
      <w:r w:rsidR="00E327CA" w:rsidRPr="000D3596">
        <w:rPr>
          <w:rFonts w:cs="Arial"/>
          <w:b w:val="0"/>
          <w:spacing w:val="-2"/>
        </w:rPr>
        <w:t xml:space="preserve">will </w:t>
      </w:r>
      <w:r w:rsidR="00E327CA">
        <w:rPr>
          <w:rFonts w:cs="Arial"/>
          <w:b w:val="0"/>
          <w:spacing w:val="-2"/>
        </w:rPr>
        <w:t>continue to</w:t>
      </w:r>
      <w:r w:rsidR="00E327CA" w:rsidRPr="000D3596">
        <w:rPr>
          <w:rFonts w:cs="Arial"/>
          <w:b w:val="0"/>
          <w:spacing w:val="-2"/>
        </w:rPr>
        <w:t xml:space="preserve"> </w:t>
      </w:r>
      <w:r w:rsidR="00E327CA">
        <w:rPr>
          <w:rFonts w:cs="Arial"/>
          <w:b w:val="0"/>
          <w:spacing w:val="-2"/>
        </w:rPr>
        <w:t xml:space="preserve">provide </w:t>
      </w:r>
      <w:r w:rsidR="00E327CA" w:rsidRPr="000D3596">
        <w:rPr>
          <w:rFonts w:cs="Arial"/>
          <w:b w:val="0"/>
          <w:spacing w:val="-2"/>
        </w:rPr>
        <w:t>outreach to contractors, architectural firms, engineering firms, and other building industry players to raise overall energy efficiency practices across the marketplace.</w:t>
      </w:r>
      <w:r w:rsidR="00587361" w:rsidDel="00587361">
        <w:rPr>
          <w:rFonts w:cs="Arial"/>
          <w:b w:val="0"/>
          <w:spacing w:val="-2"/>
        </w:rPr>
        <w:t xml:space="preserve"> </w:t>
      </w:r>
    </w:p>
    <w:p w14:paraId="528FCFC6" w14:textId="77777777" w:rsidR="00587361" w:rsidRDefault="00587361" w:rsidP="00911709">
      <w:pPr>
        <w:pStyle w:val="BodyText"/>
        <w:spacing w:before="0" w:after="0" w:line="240" w:lineRule="auto"/>
      </w:pPr>
    </w:p>
    <w:p w14:paraId="2790ED6C" w14:textId="77777777" w:rsidR="00350F08" w:rsidRDefault="00350F08" w:rsidP="00911709"/>
    <w:p w14:paraId="3B668177" w14:textId="77777777" w:rsidR="008453E0" w:rsidRPr="008D25B8" w:rsidRDefault="00A354A6" w:rsidP="00911709">
      <w:pPr>
        <w:pStyle w:val="Heading3"/>
        <w:spacing w:before="0" w:after="0"/>
      </w:pPr>
      <w:r w:rsidRPr="008D25B8">
        <w:t xml:space="preserve">Residential Solutions </w:t>
      </w:r>
      <w:r w:rsidR="00FD11A1" w:rsidRPr="008D25B8">
        <w:t>MTP</w:t>
      </w:r>
    </w:p>
    <w:p w14:paraId="66818207" w14:textId="77777777" w:rsidR="008D25B8" w:rsidRPr="00981D9E" w:rsidRDefault="008D25B8" w:rsidP="00911709">
      <w:pPr>
        <w:pStyle w:val="BodyText"/>
        <w:spacing w:before="0" w:after="0" w:line="240" w:lineRule="auto"/>
        <w:rPr>
          <w:rFonts w:cs="Arial"/>
          <w:b w:val="0"/>
        </w:rPr>
      </w:pPr>
    </w:p>
    <w:p w14:paraId="1166318B" w14:textId="361F2741" w:rsidR="00C30FC1" w:rsidRDefault="00AD15CB" w:rsidP="00911709">
      <w:pPr>
        <w:pStyle w:val="BodyText"/>
        <w:spacing w:before="0" w:after="0" w:line="240" w:lineRule="auto"/>
        <w:rPr>
          <w:rFonts w:cs="Arial"/>
          <w:b w:val="0"/>
        </w:rPr>
      </w:pPr>
      <w:r w:rsidRPr="00981D9E">
        <w:rPr>
          <w:rFonts w:cs="Arial"/>
          <w:b w:val="0"/>
        </w:rPr>
        <w:t xml:space="preserve">The Residential Solutions MTP offers both cash and non-cash incentives. </w:t>
      </w:r>
      <w:r w:rsidR="00BA2480" w:rsidRPr="00BA2480">
        <w:rPr>
          <w:rFonts w:cs="Arial"/>
          <w:b w:val="0"/>
        </w:rPr>
        <w:t xml:space="preserve"> </w:t>
      </w:r>
      <w:r w:rsidR="008A4A5F">
        <w:rPr>
          <w:rFonts w:cs="Arial"/>
          <w:b w:val="0"/>
        </w:rPr>
        <w:t>The cash incentives vary by measure and are paid to customers</w:t>
      </w:r>
      <w:r w:rsidR="00FB4D73">
        <w:rPr>
          <w:rFonts w:cs="Arial"/>
          <w:b w:val="0"/>
        </w:rPr>
        <w:t xml:space="preserve">, through participating contractors, for eligible energy efficiency measures that are </w:t>
      </w:r>
      <w:r w:rsidR="00FB4D73" w:rsidRPr="00CB73A7">
        <w:rPr>
          <w:rFonts w:cs="Arial"/>
          <w:b w:val="0"/>
        </w:rPr>
        <w:t>installed in residences</w:t>
      </w:r>
      <w:r w:rsidR="00FB4D73">
        <w:rPr>
          <w:rFonts w:cs="Arial"/>
          <w:b w:val="0"/>
        </w:rPr>
        <w:t>. This program also</w:t>
      </w:r>
      <w:r w:rsidR="00FB4D73" w:rsidRPr="00981D9E">
        <w:rPr>
          <w:rFonts w:cs="Arial"/>
          <w:b w:val="0"/>
        </w:rPr>
        <w:t xml:space="preserve"> provide</w:t>
      </w:r>
      <w:r w:rsidR="00FB4D73">
        <w:rPr>
          <w:rFonts w:cs="Arial"/>
          <w:b w:val="0"/>
        </w:rPr>
        <w:t>s</w:t>
      </w:r>
      <w:r w:rsidR="00FB4D73" w:rsidRPr="00981D9E">
        <w:rPr>
          <w:rFonts w:cs="Arial"/>
          <w:b w:val="0"/>
        </w:rPr>
        <w:t xml:space="preserve"> non-cash incentives </w:t>
      </w:r>
      <w:r w:rsidR="00FB4D73">
        <w:rPr>
          <w:rFonts w:cs="Arial"/>
          <w:b w:val="0"/>
        </w:rPr>
        <w:t>which include</w:t>
      </w:r>
      <w:r w:rsidR="00FB4D73" w:rsidRPr="00981D9E">
        <w:rPr>
          <w:rFonts w:cs="Arial"/>
          <w:b w:val="0"/>
        </w:rPr>
        <w:t xml:space="preserve"> technical assistance</w:t>
      </w:r>
      <w:r w:rsidR="00FB4D73">
        <w:rPr>
          <w:rFonts w:cs="Arial"/>
          <w:b w:val="0"/>
        </w:rPr>
        <w:t xml:space="preserve"> and</w:t>
      </w:r>
      <w:r w:rsidR="00FB4D73" w:rsidRPr="00981D9E">
        <w:rPr>
          <w:rFonts w:cs="Arial"/>
          <w:b w:val="0"/>
        </w:rPr>
        <w:t xml:space="preserve"> education on energy efficiency projects</w:t>
      </w:r>
      <w:r w:rsidR="00FB4D73">
        <w:rPr>
          <w:rFonts w:cs="Arial"/>
          <w:b w:val="0"/>
        </w:rPr>
        <w:t xml:space="preserve"> to participating contractors</w:t>
      </w:r>
      <w:r w:rsidR="00FB4D73" w:rsidRPr="00981D9E">
        <w:rPr>
          <w:rFonts w:cs="Arial"/>
          <w:b w:val="0"/>
        </w:rPr>
        <w:t xml:space="preserve">. </w:t>
      </w:r>
      <w:r w:rsidRPr="00981D9E">
        <w:rPr>
          <w:rFonts w:cs="Arial"/>
          <w:b w:val="0"/>
        </w:rPr>
        <w:t xml:space="preserve">In addition to capturing </w:t>
      </w:r>
      <w:r w:rsidR="00D37BFE">
        <w:rPr>
          <w:rFonts w:cs="Arial"/>
          <w:b w:val="0"/>
        </w:rPr>
        <w:t>demand and energy</w:t>
      </w:r>
      <w:r w:rsidRPr="00981D9E">
        <w:rPr>
          <w:rFonts w:cs="Arial"/>
          <w:b w:val="0"/>
        </w:rPr>
        <w:t xml:space="preserve"> </w:t>
      </w:r>
      <w:r w:rsidR="00FB4D73">
        <w:rPr>
          <w:rFonts w:cs="Arial"/>
          <w:b w:val="0"/>
        </w:rPr>
        <w:t>savings</w:t>
      </w:r>
      <w:r w:rsidRPr="00981D9E">
        <w:rPr>
          <w:rFonts w:cs="Arial"/>
          <w:b w:val="0"/>
        </w:rPr>
        <w:t xml:space="preserve">, </w:t>
      </w:r>
      <w:r w:rsidR="00FB4D73">
        <w:rPr>
          <w:rFonts w:cs="Arial"/>
          <w:b w:val="0"/>
        </w:rPr>
        <w:t>this</w:t>
      </w:r>
      <w:r w:rsidRPr="00981D9E">
        <w:rPr>
          <w:rFonts w:cs="Arial"/>
          <w:b w:val="0"/>
        </w:rPr>
        <w:t xml:space="preserve"> </w:t>
      </w:r>
      <w:r w:rsidR="00C91913">
        <w:rPr>
          <w:rFonts w:cs="Arial"/>
          <w:b w:val="0"/>
        </w:rPr>
        <w:t>program</w:t>
      </w:r>
      <w:r w:rsidR="00C91913" w:rsidRPr="00981D9E">
        <w:rPr>
          <w:rFonts w:cs="Arial"/>
          <w:b w:val="0"/>
        </w:rPr>
        <w:t xml:space="preserve"> </w:t>
      </w:r>
      <w:r w:rsidRPr="00981D9E">
        <w:rPr>
          <w:rFonts w:cs="Arial"/>
          <w:b w:val="0"/>
        </w:rPr>
        <w:t xml:space="preserve">helps contractors improve their ability to identify, evaluate, and sell </w:t>
      </w:r>
      <w:r w:rsidR="00BB04B2">
        <w:rPr>
          <w:rFonts w:cs="Arial"/>
          <w:b w:val="0"/>
        </w:rPr>
        <w:t xml:space="preserve">energy </w:t>
      </w:r>
      <w:r w:rsidRPr="00981D9E">
        <w:rPr>
          <w:rFonts w:cs="Arial"/>
          <w:b w:val="0"/>
        </w:rPr>
        <w:t>efficiency improvements to home owners.</w:t>
      </w:r>
      <w:r w:rsidR="00BA2480" w:rsidRPr="00BA2480">
        <w:rPr>
          <w:rFonts w:cs="Arial"/>
          <w:b w:val="0"/>
        </w:rPr>
        <w:t xml:space="preserve"> </w:t>
      </w:r>
      <w:r w:rsidR="006835F4">
        <w:rPr>
          <w:rFonts w:cs="Arial"/>
          <w:b w:val="0"/>
        </w:rPr>
        <w:t xml:space="preserve">EPE plans to continue this program in </w:t>
      </w:r>
      <w:r w:rsidR="00D35C77">
        <w:rPr>
          <w:rFonts w:cs="Arial"/>
          <w:b w:val="0"/>
        </w:rPr>
        <w:t>201</w:t>
      </w:r>
      <w:r w:rsidR="00D54514">
        <w:rPr>
          <w:rFonts w:cs="Arial"/>
          <w:b w:val="0"/>
        </w:rPr>
        <w:t>8</w:t>
      </w:r>
      <w:r w:rsidR="00154258">
        <w:rPr>
          <w:rFonts w:cs="Arial"/>
          <w:b w:val="0"/>
        </w:rPr>
        <w:t xml:space="preserve"> </w:t>
      </w:r>
      <w:r w:rsidR="00D37BFE">
        <w:rPr>
          <w:rFonts w:cs="Arial"/>
          <w:b w:val="0"/>
        </w:rPr>
        <w:t xml:space="preserve">and </w:t>
      </w:r>
      <w:r w:rsidR="00D35C77">
        <w:rPr>
          <w:rFonts w:cs="Arial"/>
          <w:b w:val="0"/>
        </w:rPr>
        <w:t>201</w:t>
      </w:r>
      <w:r w:rsidR="00D54514">
        <w:rPr>
          <w:rFonts w:cs="Arial"/>
          <w:b w:val="0"/>
        </w:rPr>
        <w:t>9</w:t>
      </w:r>
      <w:r w:rsidR="006835F4">
        <w:rPr>
          <w:rFonts w:cs="Arial"/>
          <w:b w:val="0"/>
        </w:rPr>
        <w:t>.</w:t>
      </w:r>
    </w:p>
    <w:p w14:paraId="188763A9" w14:textId="77777777" w:rsidR="00350F08" w:rsidRDefault="00350F08" w:rsidP="00911709"/>
    <w:p w14:paraId="1D070CC9" w14:textId="77777777" w:rsidR="00BE6990" w:rsidRPr="00382BEC" w:rsidRDefault="00BE6990" w:rsidP="00911709">
      <w:pPr>
        <w:pStyle w:val="Heading3"/>
        <w:spacing w:before="0" w:after="0"/>
      </w:pPr>
      <w:r w:rsidRPr="00382BEC">
        <w:t>LivingWise</w:t>
      </w:r>
      <w:r w:rsidRPr="005A4A3F">
        <w:rPr>
          <w:vertAlign w:val="superscript"/>
        </w:rPr>
        <w:t>®</w:t>
      </w:r>
      <w:r w:rsidRPr="00382BEC">
        <w:t xml:space="preserve"> MTP</w:t>
      </w:r>
    </w:p>
    <w:p w14:paraId="32822BF3" w14:textId="77777777" w:rsidR="00BE6990" w:rsidRPr="00BE6990" w:rsidRDefault="00BE6990" w:rsidP="00911709">
      <w:pPr>
        <w:pStyle w:val="BodyText"/>
        <w:spacing w:before="0" w:after="0" w:line="240" w:lineRule="auto"/>
        <w:rPr>
          <w:rFonts w:cs="Arial"/>
          <w:b w:val="0"/>
          <w:szCs w:val="22"/>
        </w:rPr>
      </w:pPr>
    </w:p>
    <w:p w14:paraId="46DCD435" w14:textId="77777777" w:rsidR="00BE6990" w:rsidRDefault="00BE6990" w:rsidP="00911709">
      <w:pPr>
        <w:pStyle w:val="BodyText"/>
        <w:spacing w:before="0" w:after="0" w:line="240" w:lineRule="auto"/>
        <w:rPr>
          <w:rFonts w:cs="Arial"/>
          <w:b w:val="0"/>
          <w:szCs w:val="22"/>
        </w:rPr>
      </w:pPr>
      <w:r w:rsidRPr="00BE6990">
        <w:rPr>
          <w:rFonts w:cs="Arial"/>
          <w:b w:val="0"/>
          <w:szCs w:val="22"/>
        </w:rPr>
        <w:t>The LivingWise</w:t>
      </w:r>
      <w:r w:rsidRPr="001F061D">
        <w:rPr>
          <w:b w:val="0"/>
          <w:vertAlign w:val="superscript"/>
        </w:rPr>
        <w:t>®</w:t>
      </w:r>
      <w:r w:rsidRPr="00BE6990">
        <w:rPr>
          <w:rFonts w:cs="Arial"/>
          <w:b w:val="0"/>
          <w:szCs w:val="22"/>
        </w:rPr>
        <w:t xml:space="preserve"> MTP is </w:t>
      </w:r>
      <w:r w:rsidR="00BB0BBC">
        <w:rPr>
          <w:rFonts w:cs="Arial"/>
          <w:b w:val="0"/>
          <w:szCs w:val="22"/>
        </w:rPr>
        <w:t>implemented</w:t>
      </w:r>
      <w:r w:rsidR="00BB0BBC" w:rsidRPr="006745E4">
        <w:rPr>
          <w:rFonts w:cs="Arial"/>
          <w:b w:val="0"/>
          <w:szCs w:val="22"/>
        </w:rPr>
        <w:t xml:space="preserve"> </w:t>
      </w:r>
      <w:r w:rsidRPr="006745E4">
        <w:rPr>
          <w:rFonts w:cs="Arial"/>
          <w:b w:val="0"/>
          <w:szCs w:val="22"/>
        </w:rPr>
        <w:t>by Resource Action</w:t>
      </w:r>
      <w:r w:rsidR="00BA2480">
        <w:rPr>
          <w:rFonts w:cs="Arial"/>
          <w:b w:val="0"/>
          <w:szCs w:val="22"/>
        </w:rPr>
        <w:t xml:space="preserve"> </w:t>
      </w:r>
      <w:r w:rsidRPr="006745E4">
        <w:rPr>
          <w:rFonts w:cs="Arial"/>
          <w:b w:val="0"/>
          <w:szCs w:val="22"/>
        </w:rPr>
        <w:t>Programs</w:t>
      </w:r>
      <w:r w:rsidR="00BA2480">
        <w:rPr>
          <w:rFonts w:cs="Arial"/>
          <w:b w:val="0"/>
          <w:szCs w:val="22"/>
        </w:rPr>
        <w:t>.</w:t>
      </w:r>
      <w:r w:rsidRPr="00266F2D">
        <w:rPr>
          <w:rFonts w:cs="Arial"/>
          <w:b w:val="0"/>
          <w:szCs w:val="22"/>
        </w:rPr>
        <w:t xml:space="preserve"> </w:t>
      </w:r>
      <w:r w:rsidRPr="006745E4">
        <w:rPr>
          <w:rFonts w:cs="Arial"/>
          <w:b w:val="0"/>
          <w:szCs w:val="22"/>
        </w:rPr>
        <w:t xml:space="preserve"> </w:t>
      </w:r>
      <w:r w:rsidR="00BB0BBC">
        <w:rPr>
          <w:rFonts w:cs="Arial"/>
          <w:b w:val="0"/>
          <w:szCs w:val="22"/>
        </w:rPr>
        <w:t xml:space="preserve">This program </w:t>
      </w:r>
      <w:r w:rsidR="006745E4" w:rsidRPr="009941D8">
        <w:rPr>
          <w:rFonts w:cs="Arial"/>
          <w:b w:val="0"/>
          <w:szCs w:val="22"/>
        </w:rPr>
        <w:t>serves as an effective community outreach program to improve customer awareness of energy efficiency programs and measures.</w:t>
      </w:r>
      <w:r w:rsidR="006745E4">
        <w:rPr>
          <w:rFonts w:cs="Arial"/>
          <w:b w:val="0"/>
          <w:szCs w:val="22"/>
        </w:rPr>
        <w:t xml:space="preserve"> The LivingWise</w:t>
      </w:r>
      <w:r w:rsidR="006745E4" w:rsidRPr="001F061D">
        <w:rPr>
          <w:b w:val="0"/>
          <w:vertAlign w:val="superscript"/>
        </w:rPr>
        <w:t>®</w:t>
      </w:r>
      <w:r w:rsidR="006745E4">
        <w:rPr>
          <w:b w:val="0"/>
          <w:vertAlign w:val="superscript"/>
        </w:rPr>
        <w:t xml:space="preserve"> </w:t>
      </w:r>
      <w:r w:rsidR="006745E4" w:rsidRPr="00382BEC">
        <w:rPr>
          <w:rFonts w:cs="Arial"/>
          <w:b w:val="0"/>
        </w:rPr>
        <w:t>pro</w:t>
      </w:r>
      <w:r w:rsidR="006745E4">
        <w:rPr>
          <w:rFonts w:cs="Arial"/>
          <w:b w:val="0"/>
        </w:rPr>
        <w:t xml:space="preserve">gram </w:t>
      </w:r>
      <w:r w:rsidRPr="006745E4">
        <w:rPr>
          <w:rFonts w:cs="Arial"/>
          <w:b w:val="0"/>
          <w:szCs w:val="22"/>
        </w:rPr>
        <w:t>is designed to generate immediate and long-term energy savings for participants</w:t>
      </w:r>
      <w:r w:rsidR="00BB0BBC">
        <w:rPr>
          <w:rFonts w:cs="Arial"/>
          <w:b w:val="0"/>
          <w:szCs w:val="22"/>
        </w:rPr>
        <w:t>.</w:t>
      </w:r>
    </w:p>
    <w:p w14:paraId="20C5C14F" w14:textId="77777777" w:rsidR="004677B4" w:rsidRPr="009C4DC9" w:rsidRDefault="004677B4" w:rsidP="00911709">
      <w:pPr>
        <w:pStyle w:val="BodyText"/>
        <w:spacing w:before="0" w:after="0" w:line="240" w:lineRule="auto"/>
        <w:rPr>
          <w:rFonts w:cs="Arial"/>
          <w:b w:val="0"/>
          <w:szCs w:val="22"/>
        </w:rPr>
      </w:pPr>
    </w:p>
    <w:p w14:paraId="5D95B52F" w14:textId="7F35F4C2" w:rsidR="00BE6990" w:rsidRPr="006745E4" w:rsidRDefault="00BB0BBC" w:rsidP="00911709">
      <w:pPr>
        <w:pStyle w:val="BodyText"/>
        <w:spacing w:before="0" w:after="0" w:line="240" w:lineRule="auto"/>
        <w:rPr>
          <w:rFonts w:cs="Arial"/>
          <w:b w:val="0"/>
          <w:szCs w:val="22"/>
        </w:rPr>
      </w:pPr>
      <w:r>
        <w:rPr>
          <w:rFonts w:cs="Arial"/>
          <w:b w:val="0"/>
          <w:szCs w:val="22"/>
        </w:rPr>
        <w:t xml:space="preserve">Through this program, EPE </w:t>
      </w:r>
      <w:r w:rsidR="00BE6990" w:rsidRPr="00BE6990">
        <w:rPr>
          <w:rFonts w:cs="Arial"/>
          <w:b w:val="0"/>
          <w:szCs w:val="22"/>
        </w:rPr>
        <w:t xml:space="preserve">identifies and enrolls </w:t>
      </w:r>
      <w:r w:rsidRPr="00BE6990">
        <w:rPr>
          <w:rFonts w:cs="Arial"/>
          <w:b w:val="0"/>
          <w:szCs w:val="22"/>
        </w:rPr>
        <w:t>teachers</w:t>
      </w:r>
      <w:r>
        <w:rPr>
          <w:rFonts w:cs="Arial"/>
          <w:b w:val="0"/>
          <w:szCs w:val="22"/>
        </w:rPr>
        <w:t xml:space="preserve"> </w:t>
      </w:r>
      <w:r w:rsidRPr="00BE6990">
        <w:rPr>
          <w:rFonts w:cs="Arial"/>
          <w:b w:val="0"/>
          <w:szCs w:val="22"/>
        </w:rPr>
        <w:t>and</w:t>
      </w:r>
      <w:r>
        <w:rPr>
          <w:rFonts w:cs="Arial"/>
          <w:b w:val="0"/>
          <w:szCs w:val="22"/>
        </w:rPr>
        <w:t xml:space="preserve"> </w:t>
      </w:r>
      <w:r w:rsidR="003F6CB8">
        <w:rPr>
          <w:rFonts w:cs="Arial"/>
          <w:b w:val="0"/>
          <w:szCs w:val="22"/>
        </w:rPr>
        <w:t>sixth-</w:t>
      </w:r>
      <w:r w:rsidR="00BA2480">
        <w:rPr>
          <w:rFonts w:cs="Arial"/>
          <w:b w:val="0"/>
          <w:szCs w:val="22"/>
        </w:rPr>
        <w:t xml:space="preserve">grade </w:t>
      </w:r>
      <w:r w:rsidR="00BE6990" w:rsidRPr="00BE6990">
        <w:rPr>
          <w:rFonts w:cs="Arial"/>
          <w:b w:val="0"/>
          <w:szCs w:val="22"/>
        </w:rPr>
        <w:t>students</w:t>
      </w:r>
      <w:r w:rsidR="00A067FE">
        <w:rPr>
          <w:rFonts w:cs="Arial"/>
          <w:b w:val="0"/>
          <w:szCs w:val="22"/>
        </w:rPr>
        <w:t xml:space="preserve"> during the </w:t>
      </w:r>
      <w:r w:rsidR="001E7684">
        <w:rPr>
          <w:rFonts w:cs="Arial"/>
          <w:b w:val="0"/>
          <w:szCs w:val="22"/>
        </w:rPr>
        <w:t>s</w:t>
      </w:r>
      <w:r w:rsidR="00A067FE">
        <w:rPr>
          <w:rFonts w:cs="Arial"/>
          <w:b w:val="0"/>
          <w:szCs w:val="22"/>
        </w:rPr>
        <w:t>pring semester,</w:t>
      </w:r>
      <w:r w:rsidR="00BE6990" w:rsidRPr="00BE6990">
        <w:rPr>
          <w:rFonts w:cs="Arial"/>
          <w:b w:val="0"/>
          <w:szCs w:val="22"/>
        </w:rPr>
        <w:t xml:space="preserve"> </w:t>
      </w:r>
      <w:r>
        <w:rPr>
          <w:rFonts w:cs="Arial"/>
          <w:b w:val="0"/>
          <w:szCs w:val="22"/>
        </w:rPr>
        <w:t>providing them with</w:t>
      </w:r>
      <w:r w:rsidR="00BE6990" w:rsidRPr="00BE6990">
        <w:rPr>
          <w:rFonts w:cs="Arial"/>
          <w:b w:val="0"/>
          <w:szCs w:val="22"/>
        </w:rPr>
        <w:t xml:space="preserve"> </w:t>
      </w:r>
      <w:r w:rsidRPr="00382BEC">
        <w:rPr>
          <w:rFonts w:cs="Arial"/>
          <w:b w:val="0"/>
          <w:szCs w:val="22"/>
        </w:rPr>
        <w:t xml:space="preserve">a </w:t>
      </w:r>
      <w:r w:rsidRPr="00BE6990">
        <w:rPr>
          <w:rFonts w:cs="Arial"/>
          <w:b w:val="0"/>
          <w:szCs w:val="22"/>
        </w:rPr>
        <w:t>LivingWise</w:t>
      </w:r>
      <w:r w:rsidRPr="001F061D">
        <w:rPr>
          <w:b w:val="0"/>
          <w:vertAlign w:val="superscript"/>
        </w:rPr>
        <w:t>®</w:t>
      </w:r>
      <w:r>
        <w:rPr>
          <w:b w:val="0"/>
          <w:vertAlign w:val="superscript"/>
        </w:rPr>
        <w:t xml:space="preserve"> </w:t>
      </w:r>
      <w:r w:rsidR="00B54293">
        <w:rPr>
          <w:rFonts w:cs="Arial"/>
          <w:b w:val="0"/>
          <w:szCs w:val="22"/>
        </w:rPr>
        <w:t>k</w:t>
      </w:r>
      <w:r w:rsidR="00B54293" w:rsidRPr="00382BEC">
        <w:rPr>
          <w:rFonts w:cs="Arial"/>
          <w:b w:val="0"/>
          <w:szCs w:val="22"/>
        </w:rPr>
        <w:t xml:space="preserve">it </w:t>
      </w:r>
      <w:r w:rsidRPr="00382BEC">
        <w:rPr>
          <w:rFonts w:cs="Arial"/>
          <w:b w:val="0"/>
          <w:szCs w:val="22"/>
        </w:rPr>
        <w:t>that contains energy saving devices</w:t>
      </w:r>
      <w:r>
        <w:rPr>
          <w:rFonts w:cs="Arial"/>
          <w:b w:val="0"/>
          <w:szCs w:val="22"/>
        </w:rPr>
        <w:t xml:space="preserve"> and energy efficiency</w:t>
      </w:r>
      <w:r w:rsidRPr="00382BEC">
        <w:rPr>
          <w:rFonts w:cs="Arial"/>
          <w:b w:val="0"/>
          <w:szCs w:val="22"/>
        </w:rPr>
        <w:t xml:space="preserve"> </w:t>
      </w:r>
      <w:r w:rsidR="00BE6990" w:rsidRPr="00BE6990">
        <w:rPr>
          <w:rFonts w:cs="Arial"/>
          <w:b w:val="0"/>
          <w:szCs w:val="22"/>
        </w:rPr>
        <w:t>educational materials</w:t>
      </w:r>
      <w:r>
        <w:rPr>
          <w:rFonts w:cs="Arial"/>
          <w:b w:val="0"/>
          <w:szCs w:val="22"/>
        </w:rPr>
        <w:t>.</w:t>
      </w:r>
      <w:r w:rsidR="00BE6990" w:rsidRPr="00BE6990">
        <w:rPr>
          <w:rFonts w:cs="Arial"/>
          <w:b w:val="0"/>
          <w:szCs w:val="22"/>
        </w:rPr>
        <w:t xml:space="preserve"> </w:t>
      </w:r>
      <w:r>
        <w:rPr>
          <w:rFonts w:cs="Arial"/>
          <w:b w:val="0"/>
          <w:szCs w:val="22"/>
        </w:rPr>
        <w:t>All of the m</w:t>
      </w:r>
      <w:r w:rsidR="00BE6990" w:rsidRPr="00BE6990">
        <w:rPr>
          <w:rFonts w:cs="Arial"/>
          <w:b w:val="0"/>
          <w:szCs w:val="22"/>
        </w:rPr>
        <w:t xml:space="preserve">aterials </w:t>
      </w:r>
      <w:r>
        <w:rPr>
          <w:rFonts w:cs="Arial"/>
          <w:b w:val="0"/>
          <w:szCs w:val="22"/>
        </w:rPr>
        <w:t xml:space="preserve">provided </w:t>
      </w:r>
      <w:r w:rsidR="00BE6990" w:rsidRPr="00BE6990">
        <w:rPr>
          <w:rFonts w:cs="Arial"/>
          <w:b w:val="0"/>
          <w:szCs w:val="22"/>
        </w:rPr>
        <w:t>meet state and national educational standards</w:t>
      </w:r>
      <w:r w:rsidR="00BE6990" w:rsidRPr="009C4DC9">
        <w:rPr>
          <w:rFonts w:cs="Arial"/>
          <w:b w:val="0"/>
          <w:szCs w:val="22"/>
        </w:rPr>
        <w:t>, which allow the p</w:t>
      </w:r>
      <w:r w:rsidR="00BE6990" w:rsidRPr="00E25B1D">
        <w:rPr>
          <w:rFonts w:cs="Arial"/>
          <w:b w:val="0"/>
          <w:szCs w:val="22"/>
        </w:rPr>
        <w:t>rogram to easily fit into</w:t>
      </w:r>
      <w:r w:rsidR="00C32E93">
        <w:rPr>
          <w:rFonts w:cs="Arial"/>
          <w:b w:val="0"/>
          <w:szCs w:val="22"/>
        </w:rPr>
        <w:t xml:space="preserve"> the</w:t>
      </w:r>
      <w:r w:rsidR="00BE6990" w:rsidRPr="00E25B1D">
        <w:rPr>
          <w:rFonts w:cs="Arial"/>
          <w:b w:val="0"/>
          <w:szCs w:val="22"/>
        </w:rPr>
        <w:t xml:space="preserve"> teachers</w:t>
      </w:r>
      <w:r w:rsidR="00BE6990" w:rsidRPr="00F95228">
        <w:rPr>
          <w:rFonts w:cs="Arial"/>
          <w:b w:val="0"/>
          <w:szCs w:val="22"/>
        </w:rPr>
        <w:t>' existing requirements.</w:t>
      </w:r>
      <w:r>
        <w:rPr>
          <w:rFonts w:cs="Arial"/>
          <w:b w:val="0"/>
          <w:szCs w:val="22"/>
        </w:rPr>
        <w:t xml:space="preserve"> The </w:t>
      </w:r>
      <w:r w:rsidR="00C32E93">
        <w:rPr>
          <w:rFonts w:cs="Arial"/>
          <w:b w:val="0"/>
          <w:szCs w:val="22"/>
        </w:rPr>
        <w:t>students</w:t>
      </w:r>
      <w:r>
        <w:rPr>
          <w:rFonts w:cs="Arial"/>
          <w:b w:val="0"/>
          <w:szCs w:val="22"/>
        </w:rPr>
        <w:t xml:space="preserve"> take the </w:t>
      </w:r>
      <w:r w:rsidRPr="00BE6990">
        <w:rPr>
          <w:rFonts w:cs="Arial"/>
          <w:b w:val="0"/>
          <w:szCs w:val="22"/>
        </w:rPr>
        <w:t>LivingWise</w:t>
      </w:r>
      <w:r w:rsidRPr="001F061D">
        <w:rPr>
          <w:b w:val="0"/>
          <w:vertAlign w:val="superscript"/>
        </w:rPr>
        <w:t>®</w:t>
      </w:r>
      <w:r>
        <w:rPr>
          <w:b w:val="0"/>
          <w:vertAlign w:val="superscript"/>
        </w:rPr>
        <w:t xml:space="preserve"> </w:t>
      </w:r>
      <w:r w:rsidR="00B54293">
        <w:rPr>
          <w:rFonts w:cs="Arial"/>
          <w:b w:val="0"/>
          <w:szCs w:val="22"/>
        </w:rPr>
        <w:t>k</w:t>
      </w:r>
      <w:r w:rsidR="00B54293" w:rsidRPr="00382BEC">
        <w:rPr>
          <w:rFonts w:cs="Arial"/>
          <w:b w:val="0"/>
          <w:szCs w:val="22"/>
        </w:rPr>
        <w:t>it</w:t>
      </w:r>
      <w:r w:rsidR="00B54293">
        <w:rPr>
          <w:rFonts w:cs="Arial"/>
          <w:b w:val="0"/>
          <w:szCs w:val="22"/>
        </w:rPr>
        <w:t xml:space="preserve"> </w:t>
      </w:r>
      <w:r>
        <w:rPr>
          <w:rFonts w:cs="Arial"/>
          <w:b w:val="0"/>
          <w:szCs w:val="22"/>
        </w:rPr>
        <w:t xml:space="preserve">home and, with the help of their parents, </w:t>
      </w:r>
      <w:r w:rsidR="00BE6990" w:rsidRPr="00382BEC">
        <w:rPr>
          <w:rFonts w:cs="Arial"/>
          <w:b w:val="0"/>
          <w:szCs w:val="22"/>
        </w:rPr>
        <w:t>install the devices in their home and complete a home energy audit report.  The LivingWise</w:t>
      </w:r>
      <w:r w:rsidR="00BF47C0" w:rsidRPr="001F061D">
        <w:rPr>
          <w:b w:val="0"/>
          <w:vertAlign w:val="superscript"/>
        </w:rPr>
        <w:t>®</w:t>
      </w:r>
      <w:r w:rsidR="00BE6990" w:rsidRPr="00382BEC">
        <w:rPr>
          <w:rFonts w:cs="Arial"/>
          <w:b w:val="0"/>
          <w:szCs w:val="22"/>
        </w:rPr>
        <w:t xml:space="preserve"> staff tabulates all responses including home audits, teacher responses, student input and parent responses</w:t>
      </w:r>
      <w:r w:rsidR="002B7315">
        <w:rPr>
          <w:rFonts w:cs="Arial"/>
          <w:b w:val="0"/>
          <w:szCs w:val="22"/>
        </w:rPr>
        <w:t xml:space="preserve">. </w:t>
      </w:r>
      <w:r w:rsidR="00BE6990" w:rsidRPr="00382BEC">
        <w:rPr>
          <w:rFonts w:cs="Arial"/>
          <w:b w:val="0"/>
          <w:szCs w:val="22"/>
        </w:rPr>
        <w:t xml:space="preserve">EPE </w:t>
      </w:r>
      <w:r w:rsidR="00D653F1">
        <w:rPr>
          <w:rFonts w:cs="Arial"/>
          <w:b w:val="0"/>
          <w:szCs w:val="22"/>
        </w:rPr>
        <w:t>plans on</w:t>
      </w:r>
      <w:r w:rsidR="00BE6990" w:rsidRPr="006745E4">
        <w:rPr>
          <w:rFonts w:cs="Arial"/>
          <w:b w:val="0"/>
          <w:szCs w:val="22"/>
        </w:rPr>
        <w:t xml:space="preserve"> continu</w:t>
      </w:r>
      <w:r w:rsidR="00D653F1">
        <w:rPr>
          <w:rFonts w:cs="Arial"/>
          <w:b w:val="0"/>
          <w:szCs w:val="22"/>
        </w:rPr>
        <w:t>ing</w:t>
      </w:r>
      <w:r w:rsidR="00BE6990" w:rsidRPr="006745E4">
        <w:rPr>
          <w:rFonts w:cs="Arial"/>
          <w:b w:val="0"/>
          <w:szCs w:val="22"/>
        </w:rPr>
        <w:t xml:space="preserve"> this program in </w:t>
      </w:r>
      <w:r w:rsidR="00D35C77">
        <w:rPr>
          <w:rFonts w:cs="Arial"/>
          <w:b w:val="0"/>
          <w:szCs w:val="22"/>
        </w:rPr>
        <w:t>201</w:t>
      </w:r>
      <w:r w:rsidR="0095225B">
        <w:rPr>
          <w:rFonts w:cs="Arial"/>
          <w:b w:val="0"/>
          <w:szCs w:val="22"/>
        </w:rPr>
        <w:t>8</w:t>
      </w:r>
      <w:r w:rsidR="00154258">
        <w:rPr>
          <w:rFonts w:cs="Arial"/>
          <w:b w:val="0"/>
          <w:szCs w:val="22"/>
        </w:rPr>
        <w:t xml:space="preserve"> </w:t>
      </w:r>
      <w:r w:rsidR="00D653F1">
        <w:rPr>
          <w:rFonts w:cs="Arial"/>
          <w:b w:val="0"/>
          <w:szCs w:val="22"/>
        </w:rPr>
        <w:t xml:space="preserve">and </w:t>
      </w:r>
      <w:r w:rsidR="00D35C77">
        <w:rPr>
          <w:rFonts w:cs="Arial"/>
          <w:b w:val="0"/>
          <w:szCs w:val="22"/>
        </w:rPr>
        <w:t>201</w:t>
      </w:r>
      <w:r w:rsidR="0095225B">
        <w:rPr>
          <w:rFonts w:cs="Arial"/>
          <w:b w:val="0"/>
          <w:szCs w:val="22"/>
        </w:rPr>
        <w:t>9</w:t>
      </w:r>
      <w:r w:rsidR="008A4A5F">
        <w:rPr>
          <w:rFonts w:cs="Arial"/>
          <w:b w:val="0"/>
          <w:szCs w:val="22"/>
        </w:rPr>
        <w:t>.</w:t>
      </w:r>
      <w:r w:rsidR="0058310C">
        <w:rPr>
          <w:rFonts w:cs="Arial"/>
          <w:b w:val="0"/>
          <w:szCs w:val="22"/>
        </w:rPr>
        <w:t xml:space="preserve"> </w:t>
      </w:r>
    </w:p>
    <w:p w14:paraId="5354C2D6" w14:textId="77777777" w:rsidR="00350F08" w:rsidRDefault="00350F08" w:rsidP="00911709"/>
    <w:p w14:paraId="75C361C2" w14:textId="7C963CA4" w:rsidR="00D04FAF" w:rsidRPr="005C2D0E" w:rsidRDefault="00D04FAF" w:rsidP="00911709">
      <w:pPr>
        <w:pStyle w:val="Heading3"/>
        <w:spacing w:before="0" w:after="0"/>
      </w:pPr>
      <w:r w:rsidRPr="00382BEC">
        <w:t xml:space="preserve">Hard-to-Reach Solutions </w:t>
      </w:r>
      <w:r w:rsidRPr="004104B0">
        <w:t>MTP</w:t>
      </w:r>
    </w:p>
    <w:p w14:paraId="638A3D65" w14:textId="77777777" w:rsidR="00D04FAF" w:rsidRDefault="00D04FAF" w:rsidP="00911709">
      <w:pPr>
        <w:pStyle w:val="BodyText"/>
        <w:spacing w:before="0" w:after="0" w:line="240" w:lineRule="auto"/>
        <w:rPr>
          <w:rFonts w:cs="Arial"/>
          <w:b w:val="0"/>
        </w:rPr>
      </w:pPr>
    </w:p>
    <w:p w14:paraId="49623783" w14:textId="56277F59" w:rsidR="0038481A" w:rsidRDefault="00D04FAF" w:rsidP="00911709">
      <w:pPr>
        <w:pStyle w:val="BodyText"/>
        <w:spacing w:before="0" w:after="0" w:line="240" w:lineRule="auto"/>
        <w:rPr>
          <w:rFonts w:cs="Arial"/>
          <w:b w:val="0"/>
        </w:rPr>
      </w:pPr>
      <w:r w:rsidRPr="00981D9E">
        <w:rPr>
          <w:rFonts w:cs="Arial"/>
          <w:b w:val="0"/>
        </w:rPr>
        <w:t xml:space="preserve">The </w:t>
      </w:r>
      <w:r>
        <w:rPr>
          <w:rFonts w:cs="Arial"/>
          <w:b w:val="0"/>
        </w:rPr>
        <w:t>Hard-to-Reach</w:t>
      </w:r>
      <w:r w:rsidRPr="00981D9E">
        <w:rPr>
          <w:rFonts w:cs="Arial"/>
          <w:b w:val="0"/>
        </w:rPr>
        <w:t xml:space="preserve"> Solutions MTP offers both cash and non-cash incentives.</w:t>
      </w:r>
      <w:r w:rsidRPr="00CF5865">
        <w:rPr>
          <w:rFonts w:cs="Arial"/>
          <w:b w:val="0"/>
        </w:rPr>
        <w:t xml:space="preserve"> </w:t>
      </w:r>
      <w:r w:rsidR="0038481A">
        <w:rPr>
          <w:rFonts w:cs="Arial"/>
          <w:b w:val="0"/>
        </w:rPr>
        <w:t xml:space="preserve">This program targets residential customers that are </w:t>
      </w:r>
      <w:r w:rsidR="002E17DD">
        <w:rPr>
          <w:rFonts w:cs="Arial"/>
          <w:b w:val="0"/>
        </w:rPr>
        <w:t xml:space="preserve">at or </w:t>
      </w:r>
      <w:r w:rsidR="0038481A">
        <w:rPr>
          <w:rFonts w:cs="Arial"/>
          <w:b w:val="0"/>
        </w:rPr>
        <w:t>below 200% of the Federal Poverty Guidelines.</w:t>
      </w:r>
      <w:r w:rsidR="008A4A5F" w:rsidRPr="008A4A5F">
        <w:rPr>
          <w:rFonts w:cs="Arial"/>
          <w:b w:val="0"/>
        </w:rPr>
        <w:t xml:space="preserve"> </w:t>
      </w:r>
      <w:r w:rsidR="008A4A5F">
        <w:rPr>
          <w:rFonts w:cs="Arial"/>
          <w:b w:val="0"/>
        </w:rPr>
        <w:t>The cash incentives vary by measure and are paid to customers</w:t>
      </w:r>
      <w:r w:rsidR="0038481A">
        <w:rPr>
          <w:rFonts w:cs="Arial"/>
          <w:b w:val="0"/>
        </w:rPr>
        <w:t xml:space="preserve">, through participating contractors, for eligible energy efficiency measures that are </w:t>
      </w:r>
      <w:r w:rsidR="0038481A" w:rsidRPr="00CB73A7">
        <w:rPr>
          <w:rFonts w:cs="Arial"/>
          <w:b w:val="0"/>
        </w:rPr>
        <w:t>installed in residences. This</w:t>
      </w:r>
      <w:r w:rsidR="0038481A">
        <w:rPr>
          <w:rFonts w:cs="Arial"/>
          <w:b w:val="0"/>
        </w:rPr>
        <w:t xml:space="preserve"> program also</w:t>
      </w:r>
      <w:r w:rsidR="0038481A" w:rsidRPr="00981D9E">
        <w:rPr>
          <w:rFonts w:cs="Arial"/>
          <w:b w:val="0"/>
        </w:rPr>
        <w:t xml:space="preserve"> provide</w:t>
      </w:r>
      <w:r w:rsidR="0038481A">
        <w:rPr>
          <w:rFonts w:cs="Arial"/>
          <w:b w:val="0"/>
        </w:rPr>
        <w:t>s</w:t>
      </w:r>
      <w:r w:rsidR="0038481A" w:rsidRPr="00981D9E">
        <w:rPr>
          <w:rFonts w:cs="Arial"/>
          <w:b w:val="0"/>
        </w:rPr>
        <w:t xml:space="preserve"> non-cash incentives </w:t>
      </w:r>
      <w:r w:rsidR="0038481A">
        <w:rPr>
          <w:rFonts w:cs="Arial"/>
          <w:b w:val="0"/>
        </w:rPr>
        <w:t>which include</w:t>
      </w:r>
      <w:r w:rsidR="0038481A" w:rsidRPr="00981D9E">
        <w:rPr>
          <w:rFonts w:cs="Arial"/>
          <w:b w:val="0"/>
        </w:rPr>
        <w:t xml:space="preserve"> technical assistance</w:t>
      </w:r>
      <w:r w:rsidR="0038481A">
        <w:rPr>
          <w:rFonts w:cs="Arial"/>
          <w:b w:val="0"/>
        </w:rPr>
        <w:t xml:space="preserve"> and</w:t>
      </w:r>
      <w:r w:rsidR="0038481A" w:rsidRPr="00981D9E">
        <w:rPr>
          <w:rFonts w:cs="Arial"/>
          <w:b w:val="0"/>
        </w:rPr>
        <w:t xml:space="preserve"> education on energy efficiency projects</w:t>
      </w:r>
      <w:r w:rsidR="0038481A">
        <w:rPr>
          <w:rFonts w:cs="Arial"/>
          <w:b w:val="0"/>
        </w:rPr>
        <w:t xml:space="preserve"> to participating contractors</w:t>
      </w:r>
      <w:r w:rsidR="0038481A" w:rsidRPr="00981D9E">
        <w:rPr>
          <w:rFonts w:cs="Arial"/>
          <w:b w:val="0"/>
        </w:rPr>
        <w:t xml:space="preserve">. In addition to capturing </w:t>
      </w:r>
      <w:r w:rsidR="004663E9">
        <w:rPr>
          <w:rFonts w:cs="Arial"/>
          <w:b w:val="0"/>
        </w:rPr>
        <w:t>demand and energy</w:t>
      </w:r>
      <w:r w:rsidR="0038481A" w:rsidRPr="00981D9E">
        <w:rPr>
          <w:rFonts w:cs="Arial"/>
          <w:b w:val="0"/>
        </w:rPr>
        <w:t xml:space="preserve"> </w:t>
      </w:r>
      <w:r w:rsidR="0038481A">
        <w:rPr>
          <w:rFonts w:cs="Arial"/>
          <w:b w:val="0"/>
        </w:rPr>
        <w:t>savings</w:t>
      </w:r>
      <w:r w:rsidR="0038481A" w:rsidRPr="00981D9E">
        <w:rPr>
          <w:rFonts w:cs="Arial"/>
          <w:b w:val="0"/>
        </w:rPr>
        <w:t xml:space="preserve">, </w:t>
      </w:r>
      <w:r w:rsidR="0038481A">
        <w:rPr>
          <w:rFonts w:cs="Arial"/>
          <w:b w:val="0"/>
        </w:rPr>
        <w:t>this</w:t>
      </w:r>
      <w:r w:rsidR="0038481A" w:rsidRPr="00981D9E">
        <w:rPr>
          <w:rFonts w:cs="Arial"/>
          <w:b w:val="0"/>
        </w:rPr>
        <w:t xml:space="preserve"> </w:t>
      </w:r>
      <w:r w:rsidR="0038481A">
        <w:rPr>
          <w:rFonts w:cs="Arial"/>
          <w:b w:val="0"/>
        </w:rPr>
        <w:t>program</w:t>
      </w:r>
      <w:r w:rsidR="0038481A" w:rsidRPr="00981D9E">
        <w:rPr>
          <w:rFonts w:cs="Arial"/>
          <w:b w:val="0"/>
        </w:rPr>
        <w:t xml:space="preserve"> helps contractors improve their ability to identify, evaluate, and sell </w:t>
      </w:r>
      <w:r w:rsidR="00BB04B2">
        <w:rPr>
          <w:rFonts w:cs="Arial"/>
          <w:b w:val="0"/>
        </w:rPr>
        <w:t xml:space="preserve">energy </w:t>
      </w:r>
      <w:r w:rsidR="0038481A" w:rsidRPr="00981D9E">
        <w:rPr>
          <w:rFonts w:cs="Arial"/>
          <w:b w:val="0"/>
        </w:rPr>
        <w:t>efficiency improvements to home owners.</w:t>
      </w:r>
      <w:r w:rsidR="0038481A" w:rsidRPr="00BA2480">
        <w:rPr>
          <w:rFonts w:cs="Arial"/>
          <w:b w:val="0"/>
        </w:rPr>
        <w:t xml:space="preserve"> </w:t>
      </w:r>
      <w:r w:rsidR="0038481A">
        <w:rPr>
          <w:rFonts w:cs="Arial"/>
          <w:b w:val="0"/>
        </w:rPr>
        <w:t xml:space="preserve">EPE plans to continue this program in </w:t>
      </w:r>
      <w:r w:rsidR="00810812">
        <w:rPr>
          <w:rFonts w:cs="Arial"/>
          <w:b w:val="0"/>
        </w:rPr>
        <w:t>201</w:t>
      </w:r>
      <w:r w:rsidR="00323F98">
        <w:rPr>
          <w:rFonts w:cs="Arial"/>
          <w:b w:val="0"/>
        </w:rPr>
        <w:t>8</w:t>
      </w:r>
      <w:r w:rsidR="00154258">
        <w:rPr>
          <w:rFonts w:cs="Arial"/>
          <w:b w:val="0"/>
        </w:rPr>
        <w:t xml:space="preserve"> </w:t>
      </w:r>
      <w:r w:rsidR="00121E42">
        <w:rPr>
          <w:rFonts w:cs="Arial"/>
          <w:b w:val="0"/>
        </w:rPr>
        <w:t xml:space="preserve">and </w:t>
      </w:r>
      <w:r w:rsidR="00810812">
        <w:rPr>
          <w:rFonts w:cs="Arial"/>
          <w:b w:val="0"/>
        </w:rPr>
        <w:t>201</w:t>
      </w:r>
      <w:r w:rsidR="00323F98">
        <w:rPr>
          <w:rFonts w:cs="Arial"/>
          <w:b w:val="0"/>
        </w:rPr>
        <w:t>9</w:t>
      </w:r>
      <w:r w:rsidR="0038481A">
        <w:rPr>
          <w:rFonts w:cs="Arial"/>
          <w:b w:val="0"/>
        </w:rPr>
        <w:t>.</w:t>
      </w:r>
    </w:p>
    <w:p w14:paraId="59C1347D" w14:textId="77777777" w:rsidR="009F60EE" w:rsidRDefault="009F60EE" w:rsidP="00911709">
      <w:pPr>
        <w:pStyle w:val="BodyText"/>
        <w:spacing w:before="0" w:after="0" w:line="240" w:lineRule="auto"/>
        <w:rPr>
          <w:rFonts w:cs="Arial"/>
          <w:b w:val="0"/>
        </w:rPr>
      </w:pPr>
    </w:p>
    <w:p w14:paraId="5EC0A0FC" w14:textId="77777777" w:rsidR="009A3C98" w:rsidRDefault="009A3C98" w:rsidP="00911709">
      <w:pPr>
        <w:pStyle w:val="BodyText"/>
        <w:spacing w:before="0" w:after="0" w:line="240" w:lineRule="auto"/>
        <w:rPr>
          <w:rFonts w:cs="Arial"/>
          <w:b w:val="0"/>
        </w:rPr>
      </w:pPr>
    </w:p>
    <w:p w14:paraId="46B33323" w14:textId="77777777" w:rsidR="00AA0D6C" w:rsidRDefault="00AA0D6C" w:rsidP="00911709">
      <w:pPr>
        <w:pStyle w:val="BodyText"/>
        <w:spacing w:before="0" w:after="0" w:line="240" w:lineRule="auto"/>
        <w:rPr>
          <w:rFonts w:cs="Arial"/>
          <w:b w:val="0"/>
        </w:rPr>
      </w:pPr>
    </w:p>
    <w:p w14:paraId="3662B3D8" w14:textId="7334A3EA" w:rsidR="00AA0D6C" w:rsidRDefault="00AA0D6C" w:rsidP="00AA0D6C">
      <w:pPr>
        <w:pStyle w:val="Heading3"/>
        <w:spacing w:before="0" w:after="0"/>
      </w:pPr>
      <w:r>
        <w:lastRenderedPageBreak/>
        <w:t>Resea</w:t>
      </w:r>
      <w:r w:rsidR="00147D14">
        <w:t>r</w:t>
      </w:r>
      <w:r>
        <w:t>ch and Development</w:t>
      </w:r>
    </w:p>
    <w:p w14:paraId="3FCEF372" w14:textId="45814789" w:rsidR="00AA0D6C" w:rsidRDefault="00AA0D6C" w:rsidP="009E282A"/>
    <w:p w14:paraId="411B4A4E" w14:textId="68278F0D" w:rsidR="006248FF" w:rsidRPr="009E282A" w:rsidRDefault="006248FF" w:rsidP="006248FF">
      <w:pPr>
        <w:pStyle w:val="BodyText"/>
        <w:spacing w:before="0" w:after="0" w:line="240" w:lineRule="auto"/>
        <w:rPr>
          <w:rFonts w:cs="Arial"/>
          <w:b w:val="0"/>
        </w:rPr>
      </w:pPr>
      <w:r w:rsidRPr="009E70EE">
        <w:rPr>
          <w:rFonts w:cs="Arial"/>
          <w:b w:val="0"/>
        </w:rPr>
        <w:t xml:space="preserve">EPE has allocated </w:t>
      </w:r>
      <w:r w:rsidR="00614572" w:rsidRPr="009E70EE">
        <w:rPr>
          <w:rFonts w:cs="Arial"/>
          <w:b w:val="0"/>
        </w:rPr>
        <w:t>$75,000</w:t>
      </w:r>
      <w:r w:rsidRPr="009E70EE">
        <w:rPr>
          <w:rFonts w:cs="Arial"/>
          <w:b w:val="0"/>
        </w:rPr>
        <w:t xml:space="preserve"> to R&amp;D</w:t>
      </w:r>
      <w:r w:rsidR="008C7B67" w:rsidRPr="009E70EE">
        <w:rPr>
          <w:rFonts w:cs="Arial"/>
          <w:b w:val="0"/>
        </w:rPr>
        <w:t xml:space="preserve"> for 201</w:t>
      </w:r>
      <w:r w:rsidR="00614572" w:rsidRPr="009E70EE">
        <w:rPr>
          <w:rFonts w:cs="Arial"/>
          <w:b w:val="0"/>
        </w:rPr>
        <w:t>8</w:t>
      </w:r>
      <w:r w:rsidRPr="009E70EE">
        <w:rPr>
          <w:rFonts w:cs="Arial"/>
          <w:b w:val="0"/>
        </w:rPr>
        <w:t xml:space="preserve">. This funding amount is less than 10% of EPE’s </w:t>
      </w:r>
      <w:r w:rsidR="009721AB" w:rsidRPr="009E70EE">
        <w:rPr>
          <w:rFonts w:cs="Arial"/>
          <w:b w:val="0"/>
        </w:rPr>
        <w:t xml:space="preserve">2017 </w:t>
      </w:r>
      <w:r w:rsidRPr="009E70EE">
        <w:rPr>
          <w:rFonts w:cs="Arial"/>
          <w:b w:val="0"/>
        </w:rPr>
        <w:t>total program costs in accordance with 16 TAC §25.181(i). EPE will also utilize a portion of the 201</w:t>
      </w:r>
      <w:r w:rsidR="00614572" w:rsidRPr="009E70EE">
        <w:rPr>
          <w:rFonts w:cs="Arial"/>
          <w:b w:val="0"/>
        </w:rPr>
        <w:t>8</w:t>
      </w:r>
      <w:r w:rsidRPr="009E70EE">
        <w:rPr>
          <w:rFonts w:cs="Arial"/>
          <w:b w:val="0"/>
        </w:rPr>
        <w:t xml:space="preserve"> R&amp;D budget to fund a deemed savings study that will be performed by Frontier.</w:t>
      </w:r>
      <w:r w:rsidR="009E70EE">
        <w:rPr>
          <w:rFonts w:cs="Arial"/>
          <w:b w:val="0"/>
        </w:rPr>
        <w:t xml:space="preserve"> </w:t>
      </w:r>
      <w:r w:rsidR="009E70EE" w:rsidRPr="009E70EE">
        <w:rPr>
          <w:rFonts w:cs="Arial"/>
          <w:b w:val="0"/>
        </w:rPr>
        <w:t>The remainder of the budget will be used for research on future pilot programs.</w:t>
      </w:r>
    </w:p>
    <w:p w14:paraId="57F8850A" w14:textId="77777777" w:rsidR="00A87FC6" w:rsidRPr="002A7A55" w:rsidRDefault="00A87FC6" w:rsidP="00911709"/>
    <w:p w14:paraId="7414B269" w14:textId="04243056" w:rsidR="00C30FC1" w:rsidRPr="002A7A55" w:rsidRDefault="004F1494" w:rsidP="00911709">
      <w:pPr>
        <w:pStyle w:val="Heading2"/>
        <w:keepLines/>
        <w:tabs>
          <w:tab w:val="num" w:pos="0"/>
        </w:tabs>
        <w:spacing w:before="0" w:after="0"/>
        <w:rPr>
          <w:rFonts w:cs="Arial"/>
          <w:spacing w:val="0"/>
        </w:rPr>
      </w:pPr>
      <w:bookmarkStart w:id="13" w:name="_Toc509500753"/>
      <w:r w:rsidRPr="002A7A55">
        <w:rPr>
          <w:rFonts w:cs="Arial"/>
          <w:spacing w:val="0"/>
        </w:rPr>
        <w:t xml:space="preserve">New Programs for </w:t>
      </w:r>
      <w:r w:rsidR="008A4A5F">
        <w:rPr>
          <w:rFonts w:cs="Arial"/>
          <w:spacing w:val="0"/>
        </w:rPr>
        <w:t>201</w:t>
      </w:r>
      <w:r w:rsidR="00C16E73">
        <w:rPr>
          <w:rFonts w:cs="Arial"/>
          <w:spacing w:val="0"/>
        </w:rPr>
        <w:t>8</w:t>
      </w:r>
      <w:r w:rsidR="007556B7" w:rsidRPr="002A7A55">
        <w:rPr>
          <w:rFonts w:cs="Arial"/>
          <w:spacing w:val="0"/>
        </w:rPr>
        <w:t xml:space="preserve"> </w:t>
      </w:r>
      <w:r w:rsidR="00696F6D" w:rsidRPr="002A7A55">
        <w:rPr>
          <w:rFonts w:cs="Arial"/>
          <w:spacing w:val="0"/>
        </w:rPr>
        <w:t xml:space="preserve">and </w:t>
      </w:r>
      <w:r w:rsidR="008A4A5F">
        <w:rPr>
          <w:rFonts w:cs="Arial"/>
          <w:spacing w:val="0"/>
        </w:rPr>
        <w:t>201</w:t>
      </w:r>
      <w:r w:rsidR="00C16E73">
        <w:rPr>
          <w:rFonts w:cs="Arial"/>
          <w:spacing w:val="0"/>
        </w:rPr>
        <w:t>9</w:t>
      </w:r>
      <w:bookmarkEnd w:id="13"/>
    </w:p>
    <w:p w14:paraId="590D67EB" w14:textId="77777777" w:rsidR="008D25B8" w:rsidRDefault="008D25B8" w:rsidP="00911709">
      <w:pPr>
        <w:pStyle w:val="BodyText"/>
        <w:keepNext/>
        <w:keepLines/>
        <w:spacing w:before="0" w:after="0" w:line="240" w:lineRule="auto"/>
        <w:rPr>
          <w:rFonts w:cs="Arial"/>
        </w:rPr>
      </w:pPr>
    </w:p>
    <w:p w14:paraId="020FC349" w14:textId="77777777" w:rsidR="009721AB" w:rsidRDefault="009721AB" w:rsidP="009721AB">
      <w:pPr>
        <w:pStyle w:val="BodyText"/>
        <w:spacing w:before="0" w:after="0" w:line="240" w:lineRule="auto"/>
        <w:rPr>
          <w:rFonts w:cs="Arial"/>
          <w:szCs w:val="22"/>
        </w:rPr>
      </w:pPr>
      <w:r w:rsidRPr="00FD7E85">
        <w:rPr>
          <w:rFonts w:cs="Arial"/>
          <w:szCs w:val="22"/>
        </w:rPr>
        <w:t>Demand Response Pilot Program</w:t>
      </w:r>
    </w:p>
    <w:p w14:paraId="31C36CC3" w14:textId="77777777" w:rsidR="009721AB" w:rsidRDefault="009721AB" w:rsidP="009721AB">
      <w:pPr>
        <w:pStyle w:val="BodyText"/>
        <w:spacing w:before="0" w:after="0" w:line="240" w:lineRule="auto"/>
        <w:rPr>
          <w:rFonts w:cs="Arial"/>
          <w:szCs w:val="22"/>
        </w:rPr>
      </w:pPr>
    </w:p>
    <w:p w14:paraId="313032E2" w14:textId="52A64766" w:rsidR="009721AB" w:rsidRDefault="009721AB" w:rsidP="009721AB">
      <w:pPr>
        <w:pStyle w:val="BodyText"/>
        <w:spacing w:before="0" w:after="0" w:line="240" w:lineRule="auto"/>
        <w:rPr>
          <w:rFonts w:cs="Arial"/>
          <w:b w:val="0"/>
          <w:szCs w:val="22"/>
        </w:rPr>
      </w:pPr>
      <w:r>
        <w:rPr>
          <w:rFonts w:cs="Arial"/>
          <w:b w:val="0"/>
          <w:szCs w:val="22"/>
        </w:rPr>
        <w:t>The Demand Response Pilot Program</w:t>
      </w:r>
      <w:r>
        <w:rPr>
          <w:rFonts w:cs="Arial"/>
          <w:b w:val="0"/>
        </w:rPr>
        <w:t xml:space="preserve"> targets reduction in central refrigerated air conditioning load for residential and small commercial customers.  EPE has the capability of remotely adjusting participating customers’ internet-enabled smart thermostats during Demand Response Events.  Customers wil</w:t>
      </w:r>
      <w:r w:rsidR="009E70EE">
        <w:rPr>
          <w:rFonts w:cs="Arial"/>
          <w:b w:val="0"/>
        </w:rPr>
        <w:t>l receive a $25 incentive for</w:t>
      </w:r>
      <w:r>
        <w:rPr>
          <w:rFonts w:cs="Arial"/>
          <w:b w:val="0"/>
        </w:rPr>
        <w:t xml:space="preserve"> participation in the program year. </w:t>
      </w:r>
      <w:r w:rsidR="009E70EE">
        <w:rPr>
          <w:rFonts w:cs="Arial"/>
          <w:b w:val="0"/>
        </w:rPr>
        <w:t xml:space="preserve">EPE has contracted with EnergyHub to market and administer this program. </w:t>
      </w:r>
      <w:r>
        <w:rPr>
          <w:rFonts w:cs="Arial"/>
          <w:b w:val="0"/>
        </w:rPr>
        <w:t xml:space="preserve"> </w:t>
      </w:r>
    </w:p>
    <w:p w14:paraId="211CE1DE" w14:textId="77777777" w:rsidR="009721AB" w:rsidRDefault="009721AB" w:rsidP="009721AB">
      <w:pPr>
        <w:pStyle w:val="BodyText"/>
        <w:spacing w:before="0" w:after="0" w:line="240" w:lineRule="auto"/>
        <w:rPr>
          <w:rFonts w:cs="Arial"/>
          <w:b w:val="0"/>
        </w:rPr>
      </w:pPr>
    </w:p>
    <w:p w14:paraId="6C11CC59" w14:textId="77777777" w:rsidR="009721AB" w:rsidRDefault="009721AB" w:rsidP="009721AB">
      <w:pPr>
        <w:pStyle w:val="BodyText"/>
        <w:spacing w:before="0" w:after="0" w:line="240" w:lineRule="auto"/>
        <w:rPr>
          <w:rFonts w:cs="Arial"/>
          <w:b w:val="0"/>
        </w:rPr>
      </w:pPr>
    </w:p>
    <w:p w14:paraId="01D97636" w14:textId="2719D197" w:rsidR="009721AB" w:rsidRPr="00382BEC" w:rsidRDefault="0065415C" w:rsidP="009721AB">
      <w:pPr>
        <w:pStyle w:val="Heading3"/>
        <w:spacing w:before="0" w:after="0"/>
      </w:pPr>
      <w:r>
        <w:t xml:space="preserve">Texas </w:t>
      </w:r>
      <w:r w:rsidR="009721AB" w:rsidRPr="00382BEC">
        <w:t>Appliance Recycling MTP</w:t>
      </w:r>
    </w:p>
    <w:p w14:paraId="0E989D1C" w14:textId="77777777" w:rsidR="009721AB" w:rsidRPr="00BE6990" w:rsidRDefault="009721AB" w:rsidP="009721AB">
      <w:pPr>
        <w:pStyle w:val="BodyText"/>
        <w:spacing w:before="0" w:after="0" w:line="240" w:lineRule="auto"/>
        <w:rPr>
          <w:rFonts w:cs="Arial"/>
          <w:b w:val="0"/>
          <w:szCs w:val="22"/>
        </w:rPr>
      </w:pPr>
    </w:p>
    <w:p w14:paraId="0FCFE417" w14:textId="37BD1F8A" w:rsidR="009721AB" w:rsidRDefault="00F84093" w:rsidP="009721AB">
      <w:pPr>
        <w:pStyle w:val="BodyText"/>
        <w:spacing w:before="0" w:after="0" w:line="240" w:lineRule="auto"/>
        <w:rPr>
          <w:rFonts w:cs="Arial"/>
          <w:b w:val="0"/>
          <w:szCs w:val="22"/>
        </w:rPr>
      </w:pPr>
      <w:r>
        <w:rPr>
          <w:rFonts w:cs="Arial"/>
          <w:b w:val="0"/>
        </w:rPr>
        <w:t>EPE has cont</w:t>
      </w:r>
      <w:r w:rsidR="006C661E">
        <w:rPr>
          <w:rFonts w:cs="Arial"/>
          <w:b w:val="0"/>
        </w:rPr>
        <w:t>racted with ARCA to implement the Texas</w:t>
      </w:r>
      <w:r>
        <w:rPr>
          <w:rFonts w:cs="Arial"/>
          <w:b w:val="0"/>
        </w:rPr>
        <w:t xml:space="preserve"> Appliance Recycling MTP in 2018. </w:t>
      </w:r>
      <w:r w:rsidR="009721AB" w:rsidRPr="006745E4">
        <w:rPr>
          <w:rFonts w:cs="Arial"/>
          <w:b w:val="0"/>
          <w:szCs w:val="22"/>
        </w:rPr>
        <w:t xml:space="preserve">The </w:t>
      </w:r>
      <w:r w:rsidR="006C661E">
        <w:rPr>
          <w:rFonts w:cs="Arial"/>
          <w:b w:val="0"/>
          <w:szCs w:val="22"/>
        </w:rPr>
        <w:t xml:space="preserve">Texas </w:t>
      </w:r>
      <w:r w:rsidR="009721AB" w:rsidRPr="006745E4">
        <w:rPr>
          <w:rFonts w:cs="Arial"/>
          <w:b w:val="0"/>
          <w:szCs w:val="22"/>
        </w:rPr>
        <w:t>Appliance Recycling MTP provides incentives designed to encourage EPE</w:t>
      </w:r>
      <w:r w:rsidR="009721AB">
        <w:rPr>
          <w:rFonts w:cs="Arial"/>
          <w:b w:val="0"/>
          <w:szCs w:val="22"/>
        </w:rPr>
        <w:t>’s residential</w:t>
      </w:r>
      <w:r w:rsidR="009721AB" w:rsidRPr="006745E4">
        <w:rPr>
          <w:rFonts w:cs="Arial"/>
          <w:b w:val="0"/>
          <w:szCs w:val="22"/>
        </w:rPr>
        <w:t xml:space="preserve"> customers to recycle their old</w:t>
      </w:r>
      <w:r w:rsidR="009721AB">
        <w:rPr>
          <w:rFonts w:cs="Arial"/>
          <w:b w:val="0"/>
          <w:szCs w:val="22"/>
        </w:rPr>
        <w:t>er</w:t>
      </w:r>
      <w:r w:rsidR="009721AB" w:rsidRPr="006745E4">
        <w:rPr>
          <w:rFonts w:cs="Arial"/>
          <w:b w:val="0"/>
          <w:szCs w:val="22"/>
        </w:rPr>
        <w:t xml:space="preserve">, less efficient refrigerators </w:t>
      </w:r>
      <w:r w:rsidR="009721AB">
        <w:rPr>
          <w:rFonts w:cs="Arial"/>
          <w:b w:val="0"/>
          <w:szCs w:val="22"/>
        </w:rPr>
        <w:t>and</w:t>
      </w:r>
      <w:r w:rsidR="009721AB" w:rsidRPr="006745E4">
        <w:rPr>
          <w:rFonts w:cs="Arial"/>
          <w:b w:val="0"/>
          <w:szCs w:val="22"/>
        </w:rPr>
        <w:t xml:space="preserve"> freezers rather than use them</w:t>
      </w:r>
      <w:r w:rsidR="009721AB" w:rsidRPr="009C4DC9">
        <w:rPr>
          <w:rFonts w:cs="Arial"/>
          <w:b w:val="0"/>
          <w:szCs w:val="22"/>
        </w:rPr>
        <w:t xml:space="preserve"> as secondary or backup units.  </w:t>
      </w:r>
      <w:r w:rsidR="009721AB" w:rsidRPr="005A3160">
        <w:rPr>
          <w:rFonts w:cs="Arial"/>
          <w:b w:val="0"/>
          <w:szCs w:val="22"/>
        </w:rPr>
        <w:t xml:space="preserve">The </w:t>
      </w:r>
      <w:r w:rsidR="006C661E">
        <w:rPr>
          <w:rFonts w:cs="Arial"/>
          <w:b w:val="0"/>
          <w:szCs w:val="22"/>
        </w:rPr>
        <w:t xml:space="preserve">Texas </w:t>
      </w:r>
      <w:r w:rsidR="009721AB" w:rsidRPr="005A3160">
        <w:rPr>
          <w:rFonts w:cs="Arial"/>
          <w:b w:val="0"/>
          <w:szCs w:val="22"/>
        </w:rPr>
        <w:t>Appliance Recycling MTP offers eligible cus</w:t>
      </w:r>
      <w:r w:rsidR="009721AB">
        <w:rPr>
          <w:rFonts w:cs="Arial"/>
          <w:b w:val="0"/>
          <w:szCs w:val="22"/>
        </w:rPr>
        <w:t>tomers a $5</w:t>
      </w:r>
      <w:r w:rsidR="009721AB" w:rsidRPr="005A3160">
        <w:rPr>
          <w:rFonts w:cs="Arial"/>
          <w:b w:val="0"/>
          <w:szCs w:val="22"/>
        </w:rPr>
        <w:t xml:space="preserve">0 incentive </w:t>
      </w:r>
      <w:r w:rsidR="009721AB">
        <w:rPr>
          <w:rFonts w:cs="Arial"/>
          <w:b w:val="0"/>
          <w:szCs w:val="22"/>
        </w:rPr>
        <w:t>for</w:t>
      </w:r>
      <w:r w:rsidR="009721AB" w:rsidRPr="005A3160">
        <w:rPr>
          <w:rFonts w:cs="Arial"/>
          <w:b w:val="0"/>
          <w:szCs w:val="22"/>
        </w:rPr>
        <w:t xml:space="preserve"> EPE to remove and recycle </w:t>
      </w:r>
      <w:r w:rsidR="009721AB" w:rsidRPr="009C4DC9">
        <w:rPr>
          <w:rFonts w:cs="Arial"/>
          <w:b w:val="0"/>
          <w:szCs w:val="22"/>
        </w:rPr>
        <w:t xml:space="preserve">their old </w:t>
      </w:r>
      <w:r w:rsidR="009721AB" w:rsidRPr="00E25B1D">
        <w:rPr>
          <w:rFonts w:cs="Arial"/>
          <w:b w:val="0"/>
          <w:szCs w:val="22"/>
        </w:rPr>
        <w:t xml:space="preserve">refrigerator or freezer.  </w:t>
      </w:r>
    </w:p>
    <w:p w14:paraId="134A16DA" w14:textId="38C0E6DC" w:rsidR="00ED77D6" w:rsidRPr="00436AF0" w:rsidRDefault="00537F91" w:rsidP="00911709">
      <w:pPr>
        <w:pStyle w:val="BodyText"/>
        <w:keepNext/>
        <w:keepLines/>
        <w:spacing w:before="0" w:after="0" w:line="240" w:lineRule="auto"/>
        <w:rPr>
          <w:rFonts w:cs="Arial"/>
          <w:b w:val="0"/>
        </w:rPr>
      </w:pPr>
      <w:r>
        <w:rPr>
          <w:rFonts w:cs="Arial"/>
          <w:b w:val="0"/>
        </w:rPr>
        <w:t xml:space="preserve">   </w:t>
      </w:r>
    </w:p>
    <w:p w14:paraId="1C5B6238" w14:textId="79F53230" w:rsidR="000B6300" w:rsidRPr="0000333E" w:rsidRDefault="000B6300" w:rsidP="00911709">
      <w:pPr>
        <w:pStyle w:val="Heading2"/>
        <w:keepNext w:val="0"/>
        <w:tabs>
          <w:tab w:val="num" w:pos="0"/>
        </w:tabs>
        <w:spacing w:before="0" w:after="0"/>
        <w:rPr>
          <w:rFonts w:cs="Arial"/>
          <w:spacing w:val="0"/>
        </w:rPr>
      </w:pPr>
      <w:bookmarkStart w:id="14" w:name="_Toc509500754"/>
      <w:r w:rsidRPr="0000333E">
        <w:rPr>
          <w:rFonts w:cs="Arial"/>
          <w:spacing w:val="0"/>
        </w:rPr>
        <w:t>Discontinued Program</w:t>
      </w:r>
      <w:r w:rsidR="007865EC" w:rsidRPr="0000333E">
        <w:rPr>
          <w:rFonts w:cs="Arial"/>
          <w:spacing w:val="0"/>
        </w:rPr>
        <w:t>(</w:t>
      </w:r>
      <w:r w:rsidR="009F256D" w:rsidRPr="0000333E">
        <w:rPr>
          <w:rFonts w:cs="Arial"/>
          <w:spacing w:val="0"/>
        </w:rPr>
        <w:t>s</w:t>
      </w:r>
      <w:r w:rsidR="007865EC" w:rsidRPr="0000333E">
        <w:rPr>
          <w:rFonts w:cs="Arial"/>
          <w:spacing w:val="0"/>
        </w:rPr>
        <w:t>)</w:t>
      </w:r>
      <w:r w:rsidR="002C708A" w:rsidRPr="0000333E">
        <w:rPr>
          <w:rFonts w:cs="Arial"/>
          <w:spacing w:val="0"/>
        </w:rPr>
        <w:t xml:space="preserve"> for 201</w:t>
      </w:r>
      <w:r w:rsidR="002C1F3E" w:rsidRPr="0000333E">
        <w:rPr>
          <w:rFonts w:cs="Arial"/>
          <w:spacing w:val="0"/>
        </w:rPr>
        <w:t>8</w:t>
      </w:r>
      <w:r w:rsidR="002C708A" w:rsidRPr="0000333E">
        <w:rPr>
          <w:rFonts w:cs="Arial"/>
          <w:spacing w:val="0"/>
        </w:rPr>
        <w:t xml:space="preserve"> and 201</w:t>
      </w:r>
      <w:r w:rsidR="002C1F3E" w:rsidRPr="0000333E">
        <w:rPr>
          <w:rFonts w:cs="Arial"/>
          <w:spacing w:val="0"/>
        </w:rPr>
        <w:t>9</w:t>
      </w:r>
      <w:bookmarkEnd w:id="14"/>
    </w:p>
    <w:p w14:paraId="78D3BA95" w14:textId="77777777" w:rsidR="009978CB" w:rsidRDefault="009978CB" w:rsidP="00911709">
      <w:pPr>
        <w:pStyle w:val="BodyText"/>
        <w:spacing w:before="0" w:after="0" w:line="240" w:lineRule="auto"/>
        <w:rPr>
          <w:b w:val="0"/>
        </w:rPr>
      </w:pPr>
    </w:p>
    <w:p w14:paraId="6DA9E7D4" w14:textId="3365EA70" w:rsidR="008A4A5F" w:rsidRDefault="00A12F6D" w:rsidP="00911709">
      <w:pPr>
        <w:pStyle w:val="BodyText"/>
        <w:spacing w:before="0" w:after="0" w:line="240" w:lineRule="auto"/>
        <w:rPr>
          <w:b w:val="0"/>
        </w:rPr>
      </w:pPr>
      <w:r>
        <w:rPr>
          <w:b w:val="0"/>
        </w:rPr>
        <w:t>In 2018</w:t>
      </w:r>
      <w:r w:rsidR="00C142C4">
        <w:rPr>
          <w:b w:val="0"/>
        </w:rPr>
        <w:t>,</w:t>
      </w:r>
      <w:r>
        <w:rPr>
          <w:b w:val="0"/>
        </w:rPr>
        <w:t xml:space="preserve"> EPE </w:t>
      </w:r>
      <w:r w:rsidR="00F84093">
        <w:rPr>
          <w:b w:val="0"/>
        </w:rPr>
        <w:t>has</w:t>
      </w:r>
      <w:r>
        <w:rPr>
          <w:b w:val="0"/>
        </w:rPr>
        <w:t xml:space="preserve"> discontinue</w:t>
      </w:r>
      <w:r w:rsidR="00F84093">
        <w:rPr>
          <w:b w:val="0"/>
        </w:rPr>
        <w:t>d</w:t>
      </w:r>
      <w:r>
        <w:rPr>
          <w:b w:val="0"/>
        </w:rPr>
        <w:t xml:space="preserve"> the Commercial SOP due to </w:t>
      </w:r>
      <w:r w:rsidR="00EC6310">
        <w:rPr>
          <w:b w:val="0"/>
        </w:rPr>
        <w:t xml:space="preserve">recurring </w:t>
      </w:r>
      <w:r>
        <w:rPr>
          <w:b w:val="0"/>
        </w:rPr>
        <w:t>low customer participation</w:t>
      </w:r>
      <w:r w:rsidR="00531423">
        <w:rPr>
          <w:b w:val="0"/>
        </w:rPr>
        <w:t xml:space="preserve">. The discontinuation of </w:t>
      </w:r>
      <w:r w:rsidR="007865EC">
        <w:rPr>
          <w:b w:val="0"/>
        </w:rPr>
        <w:t xml:space="preserve">this </w:t>
      </w:r>
      <w:r w:rsidR="00EC6310">
        <w:rPr>
          <w:b w:val="0"/>
        </w:rPr>
        <w:t xml:space="preserve">commercial </w:t>
      </w:r>
      <w:r w:rsidR="00531423">
        <w:rPr>
          <w:b w:val="0"/>
        </w:rPr>
        <w:t xml:space="preserve">program will </w:t>
      </w:r>
      <w:r w:rsidR="00EC6310">
        <w:rPr>
          <w:b w:val="0"/>
        </w:rPr>
        <w:t xml:space="preserve">also </w:t>
      </w:r>
      <w:r w:rsidR="00531423">
        <w:rPr>
          <w:b w:val="0"/>
        </w:rPr>
        <w:t>contribute to the</w:t>
      </w:r>
      <w:r w:rsidR="002D08BD">
        <w:rPr>
          <w:b w:val="0"/>
        </w:rPr>
        <w:t xml:space="preserve"> </w:t>
      </w:r>
      <w:r w:rsidR="002D08BD">
        <w:rPr>
          <w:rFonts w:cs="Arial"/>
          <w:b w:val="0"/>
        </w:rPr>
        <w:t>reduc</w:t>
      </w:r>
      <w:r w:rsidR="00531423">
        <w:rPr>
          <w:rFonts w:cs="Arial"/>
          <w:b w:val="0"/>
        </w:rPr>
        <w:t>tion of</w:t>
      </w:r>
      <w:r w:rsidR="002D08BD">
        <w:rPr>
          <w:rFonts w:cs="Arial"/>
          <w:b w:val="0"/>
        </w:rPr>
        <w:t xml:space="preserve"> the </w:t>
      </w:r>
      <w:r w:rsidR="00531423">
        <w:rPr>
          <w:rFonts w:cs="Arial"/>
          <w:b w:val="0"/>
        </w:rPr>
        <w:t>c</w:t>
      </w:r>
      <w:r w:rsidR="00C97813">
        <w:rPr>
          <w:rFonts w:cs="Arial"/>
          <w:b w:val="0"/>
        </w:rPr>
        <w:t>ommercial cost cap</w:t>
      </w:r>
      <w:r w:rsidR="002D08BD">
        <w:rPr>
          <w:rFonts w:cs="Arial"/>
          <w:b w:val="0"/>
        </w:rPr>
        <w:t xml:space="preserve"> p</w:t>
      </w:r>
      <w:r w:rsidR="00C97813">
        <w:rPr>
          <w:rFonts w:cs="Arial"/>
          <w:b w:val="0"/>
        </w:rPr>
        <w:t>ursuant to</w:t>
      </w:r>
      <w:r w:rsidR="002D08BD">
        <w:rPr>
          <w:rFonts w:cs="Arial"/>
          <w:b w:val="0"/>
        </w:rPr>
        <w:t xml:space="preserve"> 16 TAC </w:t>
      </w:r>
      <w:r w:rsidR="002D08BD" w:rsidRPr="00597FB6">
        <w:rPr>
          <w:rFonts w:cs="Arial"/>
          <w:b w:val="0"/>
        </w:rPr>
        <w:t>§25.181(</w:t>
      </w:r>
      <w:r w:rsidR="002D08BD">
        <w:rPr>
          <w:rFonts w:cs="Arial"/>
          <w:b w:val="0"/>
        </w:rPr>
        <w:t>f</w:t>
      </w:r>
      <w:r w:rsidR="002D08BD" w:rsidRPr="00597FB6">
        <w:rPr>
          <w:rFonts w:cs="Arial"/>
          <w:b w:val="0"/>
        </w:rPr>
        <w:t>)(</w:t>
      </w:r>
      <w:r w:rsidR="002D08BD">
        <w:rPr>
          <w:rFonts w:cs="Arial"/>
          <w:b w:val="0"/>
        </w:rPr>
        <w:t>7)</w:t>
      </w:r>
      <w:r w:rsidR="00531423">
        <w:rPr>
          <w:rFonts w:cs="Arial"/>
          <w:b w:val="0"/>
        </w:rPr>
        <w:t>.</w:t>
      </w:r>
      <w:r w:rsidR="002D08BD">
        <w:rPr>
          <w:rFonts w:cs="Arial"/>
          <w:b w:val="0"/>
        </w:rPr>
        <w:t xml:space="preserve"> </w:t>
      </w:r>
      <w:r w:rsidR="0000333E">
        <w:rPr>
          <w:rFonts w:cs="Arial"/>
          <w:b w:val="0"/>
        </w:rPr>
        <w:t>EPE currently has no plans to discontinue any programs in 2019.</w:t>
      </w:r>
      <w:r w:rsidR="002D08BD">
        <w:rPr>
          <w:rFonts w:cs="Arial"/>
          <w:b w:val="0"/>
        </w:rPr>
        <w:t xml:space="preserve"> </w:t>
      </w:r>
      <w:r>
        <w:rPr>
          <w:b w:val="0"/>
        </w:rPr>
        <w:t xml:space="preserve">   </w:t>
      </w:r>
    </w:p>
    <w:p w14:paraId="2A2F9A0A" w14:textId="77777777" w:rsidR="000B6300" w:rsidRDefault="000B6300" w:rsidP="00911709">
      <w:pPr>
        <w:pStyle w:val="BodyText"/>
        <w:spacing w:before="0" w:after="0"/>
        <w:rPr>
          <w:b w:val="0"/>
        </w:rPr>
      </w:pPr>
    </w:p>
    <w:p w14:paraId="7F354C5E" w14:textId="77777777" w:rsidR="00C30FC1" w:rsidRPr="00981D9E" w:rsidRDefault="00A317D6" w:rsidP="00911709">
      <w:pPr>
        <w:pStyle w:val="Heading2"/>
        <w:keepNext w:val="0"/>
        <w:tabs>
          <w:tab w:val="num" w:pos="0"/>
        </w:tabs>
        <w:spacing w:before="0" w:after="0"/>
        <w:rPr>
          <w:rFonts w:cs="Arial"/>
          <w:spacing w:val="0"/>
        </w:rPr>
      </w:pPr>
      <w:bookmarkStart w:id="15" w:name="_Toc509500755"/>
      <w:r w:rsidRPr="00981D9E">
        <w:rPr>
          <w:rFonts w:cs="Arial"/>
          <w:spacing w:val="0"/>
        </w:rPr>
        <w:t>General</w:t>
      </w:r>
      <w:r w:rsidR="00B02B64" w:rsidRPr="00981D9E">
        <w:rPr>
          <w:rFonts w:cs="Arial"/>
          <w:spacing w:val="0"/>
        </w:rPr>
        <w:t xml:space="preserve"> Implementation Process</w:t>
      </w:r>
      <w:bookmarkEnd w:id="15"/>
    </w:p>
    <w:p w14:paraId="3ABFB114" w14:textId="77777777" w:rsidR="006D0C49" w:rsidRDefault="006D0C49" w:rsidP="00911709"/>
    <w:p w14:paraId="66F91AB7" w14:textId="77777777" w:rsidR="00C30FC1" w:rsidRPr="00981D9E" w:rsidRDefault="00A317D6" w:rsidP="00911709">
      <w:pPr>
        <w:pStyle w:val="Heading3"/>
        <w:keepNext w:val="0"/>
        <w:spacing w:before="0" w:after="0"/>
        <w:rPr>
          <w:rFonts w:cs="Arial"/>
        </w:rPr>
      </w:pPr>
      <w:r w:rsidRPr="00981D9E">
        <w:rPr>
          <w:rFonts w:cs="Arial"/>
        </w:rPr>
        <w:t>Program Implementation</w:t>
      </w:r>
    </w:p>
    <w:p w14:paraId="7D82BF22" w14:textId="77777777" w:rsidR="006D0C49" w:rsidRDefault="006D0C49" w:rsidP="00911709">
      <w:pPr>
        <w:pStyle w:val="BodyText"/>
        <w:spacing w:before="0" w:after="0" w:line="240" w:lineRule="auto"/>
        <w:rPr>
          <w:rFonts w:cs="Arial"/>
          <w:b w:val="0"/>
          <w:bCs/>
        </w:rPr>
      </w:pPr>
    </w:p>
    <w:p w14:paraId="1BEB87B2" w14:textId="68A562E4" w:rsidR="00587361" w:rsidRDefault="00587361" w:rsidP="00911709">
      <w:pPr>
        <w:pStyle w:val="BodyText"/>
        <w:tabs>
          <w:tab w:val="left" w:pos="7560"/>
        </w:tabs>
        <w:spacing w:before="0" w:after="0" w:line="240" w:lineRule="auto"/>
        <w:rPr>
          <w:rFonts w:cs="Arial"/>
          <w:b w:val="0"/>
        </w:rPr>
      </w:pPr>
      <w:r>
        <w:rPr>
          <w:rFonts w:cs="Arial"/>
          <w:b w:val="0"/>
          <w:bCs/>
        </w:rPr>
        <w:t xml:space="preserve">In </w:t>
      </w:r>
      <w:r w:rsidR="00810812">
        <w:rPr>
          <w:rFonts w:cs="Arial"/>
          <w:b w:val="0"/>
          <w:bCs/>
        </w:rPr>
        <w:t>201</w:t>
      </w:r>
      <w:r w:rsidR="007773FB">
        <w:rPr>
          <w:rFonts w:cs="Arial"/>
          <w:b w:val="0"/>
          <w:bCs/>
        </w:rPr>
        <w:t>8</w:t>
      </w:r>
      <w:r>
        <w:rPr>
          <w:rFonts w:cs="Arial"/>
          <w:b w:val="0"/>
          <w:bCs/>
        </w:rPr>
        <w:t xml:space="preserve">, </w:t>
      </w:r>
      <w:r w:rsidR="00B02B64" w:rsidRPr="00981D9E">
        <w:rPr>
          <w:rFonts w:cs="Arial"/>
          <w:b w:val="0"/>
          <w:bCs/>
        </w:rPr>
        <w:t xml:space="preserve">EPE </w:t>
      </w:r>
      <w:r w:rsidR="00B02B64" w:rsidRPr="00981D9E">
        <w:rPr>
          <w:rFonts w:cs="Arial"/>
          <w:b w:val="0"/>
        </w:rPr>
        <w:t xml:space="preserve">will </w:t>
      </w:r>
      <w:r>
        <w:rPr>
          <w:rFonts w:cs="Arial"/>
          <w:b w:val="0"/>
        </w:rPr>
        <w:t xml:space="preserve">continue to </w:t>
      </w:r>
      <w:r w:rsidR="00B02B64" w:rsidRPr="00981D9E">
        <w:rPr>
          <w:rFonts w:cs="Arial"/>
          <w:b w:val="0"/>
        </w:rPr>
        <w:t xml:space="preserve">conduct activities to implement </w:t>
      </w:r>
      <w:r>
        <w:rPr>
          <w:rFonts w:cs="Arial"/>
          <w:b w:val="0"/>
        </w:rPr>
        <w:t>e</w:t>
      </w:r>
      <w:r w:rsidR="00B02B64" w:rsidRPr="00981D9E">
        <w:rPr>
          <w:rFonts w:cs="Arial"/>
          <w:b w:val="0"/>
        </w:rPr>
        <w:t xml:space="preserve">nergy </w:t>
      </w:r>
      <w:r>
        <w:rPr>
          <w:rFonts w:cs="Arial"/>
          <w:b w:val="0"/>
        </w:rPr>
        <w:t>e</w:t>
      </w:r>
      <w:r w:rsidR="00B02B64" w:rsidRPr="00981D9E">
        <w:rPr>
          <w:rFonts w:cs="Arial"/>
          <w:b w:val="0"/>
        </w:rPr>
        <w:t xml:space="preserve">fficiency </w:t>
      </w:r>
      <w:r>
        <w:rPr>
          <w:rFonts w:cs="Arial"/>
          <w:b w:val="0"/>
        </w:rPr>
        <w:t>p</w:t>
      </w:r>
      <w:r w:rsidR="00B02B64" w:rsidRPr="00981D9E">
        <w:rPr>
          <w:rFonts w:cs="Arial"/>
          <w:b w:val="0"/>
        </w:rPr>
        <w:t>rograms in a non</w:t>
      </w:r>
      <w:r w:rsidR="006D0C49">
        <w:rPr>
          <w:rFonts w:cs="Arial"/>
          <w:b w:val="0"/>
        </w:rPr>
        <w:noBreakHyphen/>
      </w:r>
      <w:r w:rsidR="00B02B64" w:rsidRPr="00981D9E">
        <w:rPr>
          <w:rFonts w:cs="Arial"/>
          <w:b w:val="0"/>
        </w:rPr>
        <w:t>discriminatory and cost</w:t>
      </w:r>
      <w:r>
        <w:rPr>
          <w:rFonts w:cs="Arial"/>
          <w:b w:val="0"/>
        </w:rPr>
        <w:t>-</w:t>
      </w:r>
      <w:r w:rsidR="00B02B64" w:rsidRPr="00981D9E">
        <w:rPr>
          <w:rFonts w:cs="Arial"/>
          <w:b w:val="0"/>
        </w:rPr>
        <w:t>effective manner.</w:t>
      </w:r>
      <w:r w:rsidRPr="00981D9E" w:rsidDel="00587361">
        <w:rPr>
          <w:rFonts w:cs="Arial"/>
          <w:b w:val="0"/>
        </w:rPr>
        <w:t xml:space="preserve"> </w:t>
      </w:r>
      <w:r w:rsidR="00B02B64" w:rsidRPr="00981D9E">
        <w:rPr>
          <w:rFonts w:cs="Arial"/>
          <w:b w:val="0"/>
        </w:rPr>
        <w:t xml:space="preserve">EPE will </w:t>
      </w:r>
      <w:r>
        <w:rPr>
          <w:rFonts w:cs="Arial"/>
          <w:b w:val="0"/>
        </w:rPr>
        <w:t>provide</w:t>
      </w:r>
      <w:r w:rsidRPr="00981D9E">
        <w:rPr>
          <w:rFonts w:cs="Arial"/>
          <w:b w:val="0"/>
        </w:rPr>
        <w:t xml:space="preserve"> </w:t>
      </w:r>
      <w:r w:rsidR="00B02B64" w:rsidRPr="00981D9E">
        <w:rPr>
          <w:rFonts w:cs="Arial"/>
          <w:b w:val="0"/>
        </w:rPr>
        <w:t xml:space="preserve">program announcements </w:t>
      </w:r>
      <w:r>
        <w:rPr>
          <w:rFonts w:cs="Arial"/>
          <w:b w:val="0"/>
        </w:rPr>
        <w:t xml:space="preserve">to the </w:t>
      </w:r>
      <w:r w:rsidR="00AC307E">
        <w:rPr>
          <w:rFonts w:cs="Arial"/>
          <w:b w:val="0"/>
        </w:rPr>
        <w:t>Energy Efficiency Service Provider (</w:t>
      </w:r>
      <w:r w:rsidR="00B02B64" w:rsidRPr="00981D9E">
        <w:rPr>
          <w:rFonts w:cs="Arial"/>
          <w:b w:val="0"/>
        </w:rPr>
        <w:t>EESP</w:t>
      </w:r>
      <w:r w:rsidR="00AC307E">
        <w:rPr>
          <w:rFonts w:cs="Arial"/>
          <w:b w:val="0"/>
        </w:rPr>
        <w:t>)</w:t>
      </w:r>
      <w:r w:rsidR="00B02B64" w:rsidRPr="00981D9E">
        <w:rPr>
          <w:rFonts w:cs="Arial"/>
          <w:b w:val="0"/>
        </w:rPr>
        <w:t xml:space="preserve"> community </w:t>
      </w:r>
      <w:r>
        <w:rPr>
          <w:rFonts w:cs="Arial"/>
          <w:b w:val="0"/>
        </w:rPr>
        <w:t xml:space="preserve">in the form </w:t>
      </w:r>
      <w:r w:rsidR="00B02B64" w:rsidRPr="00981D9E">
        <w:rPr>
          <w:rFonts w:cs="Arial"/>
          <w:b w:val="0"/>
        </w:rPr>
        <w:t>of pertinent news and updates</w:t>
      </w:r>
      <w:r>
        <w:rPr>
          <w:rFonts w:cs="Arial"/>
          <w:b w:val="0"/>
        </w:rPr>
        <w:t>, as necessary</w:t>
      </w:r>
      <w:r w:rsidR="00B02B64" w:rsidRPr="00981D9E">
        <w:rPr>
          <w:rFonts w:cs="Arial"/>
          <w:b w:val="0"/>
        </w:rPr>
        <w:t xml:space="preserve">. </w:t>
      </w:r>
    </w:p>
    <w:p w14:paraId="35C17362" w14:textId="77777777" w:rsidR="00587361" w:rsidRDefault="00587361" w:rsidP="00911709">
      <w:pPr>
        <w:pStyle w:val="BodyText"/>
        <w:tabs>
          <w:tab w:val="left" w:pos="7560"/>
        </w:tabs>
        <w:spacing w:before="0" w:after="0" w:line="240" w:lineRule="auto"/>
        <w:rPr>
          <w:rFonts w:cs="Arial"/>
          <w:b w:val="0"/>
        </w:rPr>
      </w:pPr>
    </w:p>
    <w:p w14:paraId="5CE8C01C" w14:textId="77777777" w:rsidR="00C467EE" w:rsidRDefault="00C467EE" w:rsidP="00911709">
      <w:pPr>
        <w:pStyle w:val="BodyText"/>
        <w:spacing w:before="0" w:after="0" w:line="240" w:lineRule="auto"/>
        <w:rPr>
          <w:rFonts w:cs="Arial"/>
          <w:b w:val="0"/>
        </w:rPr>
      </w:pPr>
    </w:p>
    <w:p w14:paraId="681EE99B" w14:textId="676F74C2" w:rsidR="006D0C49" w:rsidRDefault="00895872" w:rsidP="00911709">
      <w:pPr>
        <w:pStyle w:val="BodyText"/>
        <w:spacing w:before="0" w:after="0" w:line="240" w:lineRule="auto"/>
        <w:rPr>
          <w:rFonts w:cs="Arial"/>
          <w:b w:val="0"/>
        </w:rPr>
      </w:pPr>
      <w:r>
        <w:rPr>
          <w:rFonts w:cs="Arial"/>
          <w:b w:val="0"/>
        </w:rPr>
        <w:t xml:space="preserve">In </w:t>
      </w:r>
      <w:r w:rsidR="003B413E">
        <w:rPr>
          <w:rFonts w:cs="Arial"/>
          <w:b w:val="0"/>
        </w:rPr>
        <w:t xml:space="preserve">April </w:t>
      </w:r>
      <w:r w:rsidR="00810812">
        <w:rPr>
          <w:rFonts w:cs="Arial"/>
          <w:b w:val="0"/>
        </w:rPr>
        <w:t>201</w:t>
      </w:r>
      <w:r w:rsidR="00657393">
        <w:rPr>
          <w:rFonts w:cs="Arial"/>
          <w:b w:val="0"/>
        </w:rPr>
        <w:t>8</w:t>
      </w:r>
      <w:r>
        <w:rPr>
          <w:rFonts w:cs="Arial"/>
          <w:b w:val="0"/>
        </w:rPr>
        <w:t xml:space="preserve">, </w:t>
      </w:r>
      <w:r w:rsidR="0001561A">
        <w:rPr>
          <w:rFonts w:cs="Arial"/>
          <w:b w:val="0"/>
        </w:rPr>
        <w:t xml:space="preserve">EPE </w:t>
      </w:r>
      <w:r w:rsidR="003B413E">
        <w:rPr>
          <w:rFonts w:cs="Arial"/>
          <w:b w:val="0"/>
        </w:rPr>
        <w:t xml:space="preserve">will </w:t>
      </w:r>
      <w:r w:rsidR="0001561A">
        <w:rPr>
          <w:rFonts w:cs="Arial"/>
          <w:b w:val="0"/>
        </w:rPr>
        <w:t xml:space="preserve">announce </w:t>
      </w:r>
      <w:r w:rsidR="007A1646">
        <w:rPr>
          <w:rFonts w:cs="Arial"/>
          <w:b w:val="0"/>
        </w:rPr>
        <w:t xml:space="preserve">its </w:t>
      </w:r>
      <w:r w:rsidR="00810812">
        <w:rPr>
          <w:rFonts w:cs="Arial"/>
          <w:b w:val="0"/>
        </w:rPr>
        <w:t>2</w:t>
      </w:r>
      <w:r w:rsidR="007B24E3">
        <w:rPr>
          <w:rFonts w:cs="Arial"/>
          <w:b w:val="0"/>
        </w:rPr>
        <w:t>0</w:t>
      </w:r>
      <w:r w:rsidR="00810812">
        <w:rPr>
          <w:rFonts w:cs="Arial"/>
          <w:b w:val="0"/>
        </w:rPr>
        <w:t>1</w:t>
      </w:r>
      <w:r w:rsidR="00657393">
        <w:rPr>
          <w:rFonts w:cs="Arial"/>
          <w:b w:val="0"/>
        </w:rPr>
        <w:t>8</w:t>
      </w:r>
      <w:r w:rsidR="00A9583E">
        <w:rPr>
          <w:rFonts w:cs="Arial"/>
          <w:b w:val="0"/>
        </w:rPr>
        <w:t xml:space="preserve"> </w:t>
      </w:r>
      <w:r w:rsidR="0001561A">
        <w:rPr>
          <w:rFonts w:cs="Arial"/>
          <w:b w:val="0"/>
        </w:rPr>
        <w:t xml:space="preserve">Load Management SOP through the EPE website. </w:t>
      </w:r>
      <w:r w:rsidR="00D632AD">
        <w:rPr>
          <w:rFonts w:cs="Arial"/>
          <w:b w:val="0"/>
        </w:rPr>
        <w:t xml:space="preserve">EESPs who participated in the </w:t>
      </w:r>
      <w:r w:rsidR="00810812">
        <w:rPr>
          <w:rFonts w:cs="Arial"/>
          <w:b w:val="0"/>
        </w:rPr>
        <w:t>201</w:t>
      </w:r>
      <w:r w:rsidR="00657393">
        <w:rPr>
          <w:rFonts w:cs="Arial"/>
          <w:b w:val="0"/>
        </w:rPr>
        <w:t>7</w:t>
      </w:r>
      <w:r w:rsidR="00A9583E">
        <w:rPr>
          <w:rFonts w:cs="Arial"/>
          <w:b w:val="0"/>
        </w:rPr>
        <w:t xml:space="preserve"> </w:t>
      </w:r>
      <w:r w:rsidR="00D632AD">
        <w:rPr>
          <w:rFonts w:cs="Arial"/>
          <w:b w:val="0"/>
        </w:rPr>
        <w:t>Load Management SOP w</w:t>
      </w:r>
      <w:r w:rsidR="003B413E">
        <w:rPr>
          <w:rFonts w:cs="Arial"/>
          <w:b w:val="0"/>
        </w:rPr>
        <w:t>ill</w:t>
      </w:r>
      <w:r w:rsidR="00D632AD">
        <w:rPr>
          <w:rFonts w:cs="Arial"/>
          <w:b w:val="0"/>
        </w:rPr>
        <w:t xml:space="preserve"> also </w:t>
      </w:r>
      <w:r w:rsidR="003B413E">
        <w:rPr>
          <w:rFonts w:cs="Arial"/>
          <w:b w:val="0"/>
        </w:rPr>
        <w:t xml:space="preserve">be </w:t>
      </w:r>
      <w:r w:rsidR="00D632AD">
        <w:rPr>
          <w:rFonts w:cs="Arial"/>
          <w:b w:val="0"/>
        </w:rPr>
        <w:t xml:space="preserve">sent e-mails to inform them of the opening of this program. </w:t>
      </w:r>
      <w:r w:rsidR="0001561A">
        <w:rPr>
          <w:rFonts w:cs="Arial"/>
          <w:b w:val="0"/>
        </w:rPr>
        <w:t xml:space="preserve">The program manual and initial application </w:t>
      </w:r>
      <w:r w:rsidR="006B4575">
        <w:rPr>
          <w:rFonts w:cs="Arial"/>
          <w:b w:val="0"/>
        </w:rPr>
        <w:t xml:space="preserve">will be </w:t>
      </w:r>
      <w:r w:rsidR="0001561A">
        <w:rPr>
          <w:rFonts w:cs="Arial"/>
          <w:b w:val="0"/>
        </w:rPr>
        <w:t xml:space="preserve">made available to EESPs on </w:t>
      </w:r>
      <w:r w:rsidR="00D632AD">
        <w:rPr>
          <w:rFonts w:cs="Arial"/>
          <w:b w:val="0"/>
        </w:rPr>
        <w:t xml:space="preserve">the </w:t>
      </w:r>
      <w:r w:rsidR="0001561A">
        <w:rPr>
          <w:rFonts w:cs="Arial"/>
          <w:b w:val="0"/>
        </w:rPr>
        <w:t>website. All applications are considered on a first-come, first-served basis and reviewed for eligibility.  Once approved, EESPs will be informed of their acceptance</w:t>
      </w:r>
      <w:r w:rsidR="00D632AD">
        <w:rPr>
          <w:rFonts w:cs="Arial"/>
          <w:b w:val="0"/>
        </w:rPr>
        <w:t xml:space="preserve"> into the program</w:t>
      </w:r>
      <w:r w:rsidR="0001561A">
        <w:rPr>
          <w:rFonts w:cs="Arial"/>
          <w:b w:val="0"/>
        </w:rPr>
        <w:t xml:space="preserve">.  </w:t>
      </w:r>
    </w:p>
    <w:p w14:paraId="04F4CDAF" w14:textId="77777777" w:rsidR="00800A0A" w:rsidRPr="00981D9E" w:rsidRDefault="00800A0A" w:rsidP="00911709">
      <w:pPr>
        <w:pStyle w:val="BodyText"/>
        <w:spacing w:before="0" w:after="0" w:line="240" w:lineRule="auto"/>
        <w:rPr>
          <w:rFonts w:cs="Arial"/>
          <w:b w:val="0"/>
        </w:rPr>
      </w:pPr>
    </w:p>
    <w:p w14:paraId="3E83550B" w14:textId="475B5A45" w:rsidR="006D0C49" w:rsidRDefault="00B34FCB" w:rsidP="00911709">
      <w:pPr>
        <w:pStyle w:val="BodyText"/>
        <w:spacing w:before="0" w:after="0" w:line="240" w:lineRule="auto"/>
        <w:rPr>
          <w:rFonts w:cs="Arial"/>
          <w:b w:val="0"/>
        </w:rPr>
      </w:pPr>
      <w:r w:rsidRPr="00981D9E">
        <w:rPr>
          <w:rFonts w:cs="Arial"/>
          <w:b w:val="0"/>
        </w:rPr>
        <w:lastRenderedPageBreak/>
        <w:t xml:space="preserve">All </w:t>
      </w:r>
      <w:r w:rsidR="00800A0A">
        <w:rPr>
          <w:rFonts w:cs="Arial"/>
          <w:b w:val="0"/>
        </w:rPr>
        <w:t xml:space="preserve">of the </w:t>
      </w:r>
      <w:r w:rsidR="00F84093">
        <w:rPr>
          <w:rFonts w:cs="Arial"/>
          <w:b w:val="0"/>
        </w:rPr>
        <w:t xml:space="preserve">existing </w:t>
      </w:r>
      <w:r w:rsidRPr="00981D9E">
        <w:rPr>
          <w:rFonts w:cs="Arial"/>
          <w:b w:val="0"/>
        </w:rPr>
        <w:t>M</w:t>
      </w:r>
      <w:r w:rsidR="004C5085" w:rsidRPr="00981D9E">
        <w:rPr>
          <w:rFonts w:cs="Arial"/>
          <w:b w:val="0"/>
        </w:rPr>
        <w:t xml:space="preserve">TPs </w:t>
      </w:r>
      <w:r w:rsidR="00142B4E">
        <w:rPr>
          <w:rFonts w:cs="Arial"/>
          <w:b w:val="0"/>
        </w:rPr>
        <w:t>were</w:t>
      </w:r>
      <w:r w:rsidR="004C5085" w:rsidRPr="00981D9E">
        <w:rPr>
          <w:rFonts w:cs="Arial"/>
          <w:b w:val="0"/>
        </w:rPr>
        <w:t xml:space="preserve"> opened for new projects in January </w:t>
      </w:r>
      <w:r w:rsidR="00E66CE5">
        <w:rPr>
          <w:rFonts w:cs="Arial"/>
          <w:b w:val="0"/>
        </w:rPr>
        <w:t>201</w:t>
      </w:r>
      <w:r w:rsidR="006B33A4">
        <w:rPr>
          <w:rFonts w:cs="Arial"/>
          <w:b w:val="0"/>
        </w:rPr>
        <w:t>8</w:t>
      </w:r>
      <w:r w:rsidR="00142B4E">
        <w:rPr>
          <w:rFonts w:cs="Arial"/>
          <w:b w:val="0"/>
        </w:rPr>
        <w:t>.</w:t>
      </w:r>
      <w:r w:rsidR="004C5085" w:rsidRPr="00981D9E">
        <w:rPr>
          <w:rFonts w:cs="Arial"/>
          <w:b w:val="0"/>
        </w:rPr>
        <w:t xml:space="preserve">  </w:t>
      </w:r>
      <w:r w:rsidR="00B17A15">
        <w:rPr>
          <w:rFonts w:cs="Arial"/>
          <w:b w:val="0"/>
        </w:rPr>
        <w:t xml:space="preserve">Depending </w:t>
      </w:r>
      <w:r w:rsidR="009F31E9">
        <w:rPr>
          <w:rFonts w:cs="Arial"/>
          <w:b w:val="0"/>
        </w:rPr>
        <w:t>up</w:t>
      </w:r>
      <w:r w:rsidR="00B17A15">
        <w:rPr>
          <w:rFonts w:cs="Arial"/>
          <w:b w:val="0"/>
        </w:rPr>
        <w:t xml:space="preserve">on the program, </w:t>
      </w:r>
      <w:r w:rsidR="00512B67">
        <w:rPr>
          <w:rFonts w:cs="Arial"/>
          <w:b w:val="0"/>
        </w:rPr>
        <w:t>the MTPs</w:t>
      </w:r>
      <w:r w:rsidR="00142B4E">
        <w:rPr>
          <w:rFonts w:cs="Arial"/>
          <w:b w:val="0"/>
        </w:rPr>
        <w:t xml:space="preserve"> were announced through</w:t>
      </w:r>
      <w:r w:rsidR="004C5085" w:rsidRPr="00981D9E">
        <w:rPr>
          <w:rFonts w:cs="Arial"/>
          <w:b w:val="0"/>
        </w:rPr>
        <w:t xml:space="preserve"> kick-off meetings, informative e-mails to EES</w:t>
      </w:r>
      <w:r w:rsidR="00C64BD4" w:rsidRPr="00981D9E">
        <w:rPr>
          <w:rFonts w:cs="Arial"/>
          <w:b w:val="0"/>
        </w:rPr>
        <w:t xml:space="preserve">Ps, </w:t>
      </w:r>
      <w:r w:rsidR="00800A0A">
        <w:rPr>
          <w:rFonts w:cs="Arial"/>
          <w:b w:val="0"/>
        </w:rPr>
        <w:t xml:space="preserve">direct communication, </w:t>
      </w:r>
      <w:r w:rsidR="00B20733">
        <w:rPr>
          <w:rFonts w:cs="Arial"/>
          <w:b w:val="0"/>
        </w:rPr>
        <w:t>or</w:t>
      </w:r>
      <w:r w:rsidR="00B20733" w:rsidRPr="00981D9E">
        <w:rPr>
          <w:rFonts w:cs="Arial"/>
          <w:b w:val="0"/>
        </w:rPr>
        <w:t xml:space="preserve"> </w:t>
      </w:r>
      <w:r w:rsidR="00142B4E">
        <w:rPr>
          <w:rFonts w:cs="Arial"/>
          <w:b w:val="0"/>
        </w:rPr>
        <w:t xml:space="preserve">the </w:t>
      </w:r>
      <w:r w:rsidR="00C64BD4" w:rsidRPr="00266F2D">
        <w:rPr>
          <w:rFonts w:cs="Arial"/>
          <w:b w:val="0"/>
        </w:rPr>
        <w:t>EPE website</w:t>
      </w:r>
      <w:r w:rsidR="00C64BD4" w:rsidRPr="00981D9E">
        <w:rPr>
          <w:rFonts w:cs="Arial"/>
          <w:b w:val="0"/>
        </w:rPr>
        <w:t>.</w:t>
      </w:r>
      <w:r w:rsidR="00142B4E">
        <w:rPr>
          <w:rFonts w:cs="Arial"/>
          <w:b w:val="0"/>
        </w:rPr>
        <w:t xml:space="preserve"> </w:t>
      </w:r>
    </w:p>
    <w:p w14:paraId="66BDED22" w14:textId="77777777" w:rsidR="009A0B99" w:rsidRPr="00981D9E" w:rsidRDefault="009A0B99" w:rsidP="00911709">
      <w:pPr>
        <w:pStyle w:val="BodyText"/>
        <w:spacing w:before="0" w:after="0" w:line="240" w:lineRule="auto"/>
        <w:rPr>
          <w:rFonts w:cs="Arial"/>
          <w:b w:val="0"/>
        </w:rPr>
      </w:pPr>
    </w:p>
    <w:p w14:paraId="099A60E7" w14:textId="77777777" w:rsidR="00C30FC1" w:rsidRPr="00981D9E" w:rsidRDefault="00A317D6" w:rsidP="00911709">
      <w:pPr>
        <w:pStyle w:val="Heading3"/>
        <w:keepNext w:val="0"/>
        <w:spacing w:before="0" w:after="0"/>
        <w:rPr>
          <w:rFonts w:cs="Arial"/>
        </w:rPr>
      </w:pPr>
      <w:r w:rsidRPr="00981D9E">
        <w:rPr>
          <w:rFonts w:cs="Arial"/>
        </w:rPr>
        <w:t>Program Tracking</w:t>
      </w:r>
    </w:p>
    <w:p w14:paraId="028443D5" w14:textId="77777777" w:rsidR="006D0C49" w:rsidRDefault="006D0C49" w:rsidP="00911709">
      <w:pPr>
        <w:pStyle w:val="BodyText"/>
        <w:spacing w:before="0" w:after="0" w:line="240" w:lineRule="auto"/>
        <w:rPr>
          <w:rFonts w:cs="Arial"/>
          <w:b w:val="0"/>
        </w:rPr>
      </w:pPr>
    </w:p>
    <w:p w14:paraId="272AE18D" w14:textId="4A5F1A04" w:rsidR="00C30FC1" w:rsidRDefault="00A317D6" w:rsidP="00911709">
      <w:pPr>
        <w:pStyle w:val="BodyText"/>
        <w:spacing w:before="0" w:after="0" w:line="240" w:lineRule="auto"/>
        <w:rPr>
          <w:rFonts w:cs="Arial"/>
          <w:b w:val="0"/>
        </w:rPr>
      </w:pPr>
      <w:r w:rsidRPr="00981D9E">
        <w:rPr>
          <w:rFonts w:cs="Arial"/>
          <w:b w:val="0"/>
        </w:rPr>
        <w:t>EPE uses online database</w:t>
      </w:r>
      <w:r w:rsidR="00DA25F6">
        <w:rPr>
          <w:rFonts w:cs="Arial"/>
          <w:b w:val="0"/>
        </w:rPr>
        <w:t>s</w:t>
      </w:r>
      <w:r w:rsidRPr="00981D9E">
        <w:rPr>
          <w:rFonts w:cs="Arial"/>
          <w:b w:val="0"/>
        </w:rPr>
        <w:t xml:space="preserve"> to </w:t>
      </w:r>
      <w:r w:rsidR="00F95228">
        <w:rPr>
          <w:rFonts w:cs="Arial"/>
          <w:b w:val="0"/>
        </w:rPr>
        <w:t>track</w:t>
      </w:r>
      <w:r w:rsidR="00F95228" w:rsidRPr="00981D9E">
        <w:rPr>
          <w:rFonts w:cs="Arial"/>
          <w:b w:val="0"/>
        </w:rPr>
        <w:t xml:space="preserve"> </w:t>
      </w:r>
      <w:r w:rsidRPr="00981D9E">
        <w:rPr>
          <w:rFonts w:cs="Arial"/>
          <w:b w:val="0"/>
        </w:rPr>
        <w:t xml:space="preserve">program activity </w:t>
      </w:r>
      <w:r w:rsidR="00800A0A" w:rsidRPr="00981D9E">
        <w:rPr>
          <w:rFonts w:cs="Arial"/>
          <w:b w:val="0"/>
        </w:rPr>
        <w:t xml:space="preserve">for </w:t>
      </w:r>
      <w:r w:rsidR="00E4007C">
        <w:rPr>
          <w:rFonts w:cs="Arial"/>
          <w:b w:val="0"/>
        </w:rPr>
        <w:t>most of</w:t>
      </w:r>
      <w:r w:rsidR="006130BB">
        <w:rPr>
          <w:rFonts w:cs="Arial"/>
          <w:b w:val="0"/>
        </w:rPr>
        <w:t xml:space="preserve"> the various</w:t>
      </w:r>
      <w:r w:rsidR="00825465">
        <w:rPr>
          <w:rFonts w:cs="Arial"/>
          <w:b w:val="0"/>
        </w:rPr>
        <w:t xml:space="preserve"> </w:t>
      </w:r>
      <w:r w:rsidR="00DA25F6">
        <w:rPr>
          <w:rFonts w:cs="Arial"/>
          <w:b w:val="0"/>
        </w:rPr>
        <w:t>MTPs</w:t>
      </w:r>
      <w:r w:rsidR="00147D14">
        <w:rPr>
          <w:rFonts w:cs="Arial"/>
          <w:b w:val="0"/>
        </w:rPr>
        <w:t xml:space="preserve">. </w:t>
      </w:r>
      <w:r w:rsidRPr="00981D9E">
        <w:rPr>
          <w:rFonts w:cs="Arial"/>
          <w:b w:val="0"/>
        </w:rPr>
        <w:t xml:space="preserve"> </w:t>
      </w:r>
      <w:r w:rsidR="00051BDC">
        <w:rPr>
          <w:rFonts w:cs="Arial"/>
          <w:b w:val="0"/>
        </w:rPr>
        <w:t xml:space="preserve">Depending </w:t>
      </w:r>
      <w:r w:rsidR="000F4BC0">
        <w:rPr>
          <w:rFonts w:cs="Arial"/>
          <w:b w:val="0"/>
        </w:rPr>
        <w:t>up</w:t>
      </w:r>
      <w:r w:rsidR="00051BDC">
        <w:rPr>
          <w:rFonts w:cs="Arial"/>
          <w:b w:val="0"/>
        </w:rPr>
        <w:t>on the associated program,</w:t>
      </w:r>
      <w:r w:rsidR="00A9583E">
        <w:rPr>
          <w:rFonts w:cs="Arial"/>
          <w:b w:val="0"/>
        </w:rPr>
        <w:t xml:space="preserve"> t</w:t>
      </w:r>
      <w:r w:rsidR="00F95228">
        <w:rPr>
          <w:rFonts w:cs="Arial"/>
          <w:b w:val="0"/>
        </w:rPr>
        <w:t>hese</w:t>
      </w:r>
      <w:r w:rsidR="00F95228" w:rsidRPr="00981D9E">
        <w:rPr>
          <w:rFonts w:cs="Arial"/>
          <w:b w:val="0"/>
        </w:rPr>
        <w:t xml:space="preserve"> </w:t>
      </w:r>
      <w:r w:rsidRPr="00981D9E">
        <w:rPr>
          <w:rFonts w:cs="Arial"/>
          <w:b w:val="0"/>
        </w:rPr>
        <w:t>database</w:t>
      </w:r>
      <w:r w:rsidR="00DA25F6">
        <w:rPr>
          <w:rFonts w:cs="Arial"/>
          <w:b w:val="0"/>
        </w:rPr>
        <w:t>s</w:t>
      </w:r>
      <w:r w:rsidRPr="00981D9E">
        <w:rPr>
          <w:rFonts w:cs="Arial"/>
          <w:b w:val="0"/>
        </w:rPr>
        <w:t xml:space="preserve"> </w:t>
      </w:r>
      <w:r w:rsidR="00DA25F6">
        <w:rPr>
          <w:rFonts w:cs="Arial"/>
          <w:b w:val="0"/>
        </w:rPr>
        <w:t>are</w:t>
      </w:r>
      <w:r w:rsidR="00DA25F6" w:rsidRPr="00981D9E">
        <w:rPr>
          <w:rFonts w:cs="Arial"/>
          <w:b w:val="0"/>
        </w:rPr>
        <w:t xml:space="preserve"> </w:t>
      </w:r>
      <w:r w:rsidRPr="00981D9E">
        <w:rPr>
          <w:rFonts w:cs="Arial"/>
          <w:b w:val="0"/>
        </w:rPr>
        <w:t xml:space="preserve">accessible to project sponsors, </w:t>
      </w:r>
      <w:r w:rsidR="00F95228">
        <w:rPr>
          <w:rFonts w:cs="Arial"/>
          <w:b w:val="0"/>
        </w:rPr>
        <w:t xml:space="preserve">EESPs, </w:t>
      </w:r>
      <w:r w:rsidRPr="00981D9E">
        <w:rPr>
          <w:rFonts w:cs="Arial"/>
          <w:b w:val="0"/>
        </w:rPr>
        <w:t>implementers</w:t>
      </w:r>
      <w:r w:rsidR="00F95228">
        <w:rPr>
          <w:rFonts w:cs="Arial"/>
          <w:b w:val="0"/>
        </w:rPr>
        <w:t>,</w:t>
      </w:r>
      <w:r w:rsidRPr="00981D9E">
        <w:rPr>
          <w:rFonts w:cs="Arial"/>
          <w:b w:val="0"/>
        </w:rPr>
        <w:t xml:space="preserve"> and administrators. </w:t>
      </w:r>
      <w:r w:rsidR="008C41EE">
        <w:rPr>
          <w:rFonts w:cs="Arial"/>
          <w:b w:val="0"/>
        </w:rPr>
        <w:t>The on-line databases</w:t>
      </w:r>
      <w:r w:rsidRPr="00981D9E">
        <w:rPr>
          <w:rFonts w:cs="Arial"/>
          <w:b w:val="0"/>
        </w:rPr>
        <w:t xml:space="preserve"> </w:t>
      </w:r>
      <w:r w:rsidR="008C41EE" w:rsidRPr="00981D9E">
        <w:rPr>
          <w:rFonts w:cs="Arial"/>
          <w:b w:val="0"/>
        </w:rPr>
        <w:t>captur</w:t>
      </w:r>
      <w:r w:rsidR="008C41EE">
        <w:rPr>
          <w:rFonts w:cs="Arial"/>
          <w:b w:val="0"/>
        </w:rPr>
        <w:t>e customer and project</w:t>
      </w:r>
      <w:r w:rsidRPr="00981D9E">
        <w:rPr>
          <w:rFonts w:cs="Arial"/>
          <w:b w:val="0"/>
        </w:rPr>
        <w:t xml:space="preserve"> information</w:t>
      </w:r>
      <w:r w:rsidR="008C41EE">
        <w:rPr>
          <w:rFonts w:cs="Arial"/>
          <w:b w:val="0"/>
        </w:rPr>
        <w:t xml:space="preserve"> such as utility </w:t>
      </w:r>
      <w:r w:rsidR="0064088A">
        <w:rPr>
          <w:rFonts w:cs="Arial"/>
          <w:b w:val="0"/>
        </w:rPr>
        <w:t xml:space="preserve">meter </w:t>
      </w:r>
      <w:r w:rsidR="009318F1">
        <w:rPr>
          <w:rFonts w:cs="Arial"/>
          <w:b w:val="0"/>
        </w:rPr>
        <w:t xml:space="preserve">number </w:t>
      </w:r>
      <w:r w:rsidR="0064088A">
        <w:rPr>
          <w:rFonts w:cs="Arial"/>
          <w:b w:val="0"/>
        </w:rPr>
        <w:t xml:space="preserve">or account </w:t>
      </w:r>
      <w:r w:rsidR="008C41EE">
        <w:rPr>
          <w:rFonts w:cs="Arial"/>
          <w:b w:val="0"/>
        </w:rPr>
        <w:t>number, proposed measures</w:t>
      </w:r>
      <w:r w:rsidR="005C0727">
        <w:rPr>
          <w:rFonts w:cs="Arial"/>
          <w:b w:val="0"/>
        </w:rPr>
        <w:t xml:space="preserve"> and</w:t>
      </w:r>
      <w:r w:rsidR="008C41EE">
        <w:rPr>
          <w:rFonts w:cs="Arial"/>
          <w:b w:val="0"/>
        </w:rPr>
        <w:t xml:space="preserve"> </w:t>
      </w:r>
      <w:r w:rsidR="005C0727">
        <w:rPr>
          <w:rFonts w:cs="Arial"/>
          <w:b w:val="0"/>
        </w:rPr>
        <w:t xml:space="preserve">associated energy savings, </w:t>
      </w:r>
      <w:r w:rsidR="00421D8B">
        <w:rPr>
          <w:rFonts w:cs="Arial"/>
          <w:b w:val="0"/>
        </w:rPr>
        <w:t xml:space="preserve">and </w:t>
      </w:r>
      <w:r w:rsidR="00F37820">
        <w:rPr>
          <w:rFonts w:cs="Arial"/>
          <w:b w:val="0"/>
        </w:rPr>
        <w:t>incentive amounts</w:t>
      </w:r>
      <w:r w:rsidR="00421D8B">
        <w:rPr>
          <w:rFonts w:cs="Arial"/>
          <w:b w:val="0"/>
        </w:rPr>
        <w:t>.</w:t>
      </w:r>
      <w:r w:rsidR="008C41EE">
        <w:rPr>
          <w:rFonts w:cs="Arial"/>
          <w:b w:val="0"/>
        </w:rPr>
        <w:t xml:space="preserve"> </w:t>
      </w:r>
      <w:r w:rsidRPr="00981D9E">
        <w:rPr>
          <w:rFonts w:cs="Arial"/>
          <w:b w:val="0"/>
        </w:rPr>
        <w:t xml:space="preserve"> </w:t>
      </w:r>
    </w:p>
    <w:p w14:paraId="331BA748" w14:textId="77777777" w:rsidR="006D0C49" w:rsidRPr="00981D9E" w:rsidRDefault="006D0C49" w:rsidP="00911709">
      <w:pPr>
        <w:pStyle w:val="BodyText"/>
        <w:spacing w:before="0" w:after="0" w:line="240" w:lineRule="auto"/>
        <w:rPr>
          <w:rFonts w:cs="Arial"/>
          <w:b w:val="0"/>
        </w:rPr>
      </w:pPr>
    </w:p>
    <w:p w14:paraId="46ED4375" w14:textId="77777777" w:rsidR="00C30FC1" w:rsidRPr="00981D9E" w:rsidRDefault="00A317D6" w:rsidP="00911709">
      <w:pPr>
        <w:pStyle w:val="Heading3"/>
        <w:keepLines/>
        <w:spacing w:before="0" w:after="0"/>
        <w:rPr>
          <w:rFonts w:cs="Arial"/>
        </w:rPr>
      </w:pPr>
      <w:r w:rsidRPr="00981D9E">
        <w:rPr>
          <w:rFonts w:cs="Arial"/>
        </w:rPr>
        <w:t>Measurement and Verification</w:t>
      </w:r>
    </w:p>
    <w:p w14:paraId="1741B23A" w14:textId="77777777" w:rsidR="006D0C49" w:rsidRDefault="006D0C49" w:rsidP="00911709">
      <w:pPr>
        <w:pStyle w:val="BodyText"/>
        <w:keepNext/>
        <w:keepLines/>
        <w:spacing w:before="0" w:after="0" w:line="240" w:lineRule="auto"/>
        <w:rPr>
          <w:rFonts w:cs="Arial"/>
          <w:b w:val="0"/>
        </w:rPr>
      </w:pPr>
    </w:p>
    <w:p w14:paraId="4E5F22ED" w14:textId="77777777" w:rsidR="00C30FC1" w:rsidRDefault="007A1646" w:rsidP="00911709">
      <w:pPr>
        <w:pStyle w:val="BodyText"/>
        <w:keepNext/>
        <w:keepLines/>
        <w:spacing w:before="0" w:after="0" w:line="240" w:lineRule="auto"/>
        <w:rPr>
          <w:rFonts w:cs="Arial"/>
          <w:b w:val="0"/>
        </w:rPr>
      </w:pPr>
      <w:r>
        <w:rPr>
          <w:rFonts w:cs="Arial"/>
          <w:b w:val="0"/>
        </w:rPr>
        <w:t xml:space="preserve">The majority </w:t>
      </w:r>
      <w:r w:rsidR="00B02B64" w:rsidRPr="00981D9E">
        <w:rPr>
          <w:rFonts w:cs="Arial"/>
          <w:b w:val="0"/>
        </w:rPr>
        <w:t xml:space="preserve">of projects implemented </w:t>
      </w:r>
      <w:r w:rsidR="00142B4E">
        <w:rPr>
          <w:rFonts w:cs="Arial"/>
          <w:b w:val="0"/>
        </w:rPr>
        <w:t xml:space="preserve">through EPE’s </w:t>
      </w:r>
      <w:r>
        <w:rPr>
          <w:rFonts w:cs="Arial"/>
          <w:b w:val="0"/>
        </w:rPr>
        <w:t xml:space="preserve">energy efficiency </w:t>
      </w:r>
      <w:r w:rsidR="00B02B64" w:rsidRPr="00981D9E">
        <w:rPr>
          <w:rFonts w:cs="Arial"/>
          <w:b w:val="0"/>
        </w:rPr>
        <w:t xml:space="preserve">programs report demand and energy </w:t>
      </w:r>
      <w:r>
        <w:rPr>
          <w:rFonts w:cs="Arial"/>
          <w:b w:val="0"/>
        </w:rPr>
        <w:t>reductions</w:t>
      </w:r>
      <w:r w:rsidRPr="00981D9E">
        <w:rPr>
          <w:rFonts w:cs="Arial"/>
          <w:b w:val="0"/>
        </w:rPr>
        <w:t xml:space="preserve"> </w:t>
      </w:r>
      <w:r w:rsidR="00B02B64" w:rsidRPr="00981D9E">
        <w:rPr>
          <w:rFonts w:cs="Arial"/>
          <w:b w:val="0"/>
        </w:rPr>
        <w:t xml:space="preserve">utilizing </w:t>
      </w:r>
      <w:r w:rsidR="00142B4E">
        <w:rPr>
          <w:rFonts w:cs="Arial"/>
          <w:b w:val="0"/>
        </w:rPr>
        <w:t>deemed savings</w:t>
      </w:r>
      <w:r w:rsidR="00B02B64" w:rsidRPr="00981D9E">
        <w:rPr>
          <w:rFonts w:cs="Arial"/>
          <w:b w:val="0"/>
        </w:rPr>
        <w:t xml:space="preserve"> </w:t>
      </w:r>
      <w:r w:rsidR="003D438C">
        <w:rPr>
          <w:rFonts w:cs="Arial"/>
          <w:b w:val="0"/>
        </w:rPr>
        <w:t xml:space="preserve">as </w:t>
      </w:r>
      <w:r w:rsidR="00B02B64" w:rsidRPr="00981D9E">
        <w:rPr>
          <w:rFonts w:cs="Arial"/>
          <w:b w:val="0"/>
        </w:rPr>
        <w:t xml:space="preserve">approved by the PUCT. If </w:t>
      </w:r>
      <w:r w:rsidR="0064088A">
        <w:rPr>
          <w:rFonts w:cs="Arial"/>
          <w:b w:val="0"/>
        </w:rPr>
        <w:t xml:space="preserve">the </w:t>
      </w:r>
      <w:r w:rsidR="00B02B64" w:rsidRPr="00981D9E">
        <w:rPr>
          <w:rFonts w:cs="Arial"/>
          <w:b w:val="0"/>
        </w:rPr>
        <w:t xml:space="preserve">deemed savings </w:t>
      </w:r>
      <w:r w:rsidR="0064088A">
        <w:rPr>
          <w:rFonts w:cs="Arial"/>
          <w:b w:val="0"/>
        </w:rPr>
        <w:t xml:space="preserve">approach is not applicable </w:t>
      </w:r>
      <w:r w:rsidR="00B02B64" w:rsidRPr="00981D9E">
        <w:rPr>
          <w:rFonts w:cs="Arial"/>
          <w:b w:val="0"/>
        </w:rPr>
        <w:t>for a particular installation, savings will be reported using an approved</w:t>
      </w:r>
      <w:r w:rsidR="00A317D6" w:rsidRPr="00981D9E">
        <w:rPr>
          <w:rFonts w:cs="Arial"/>
          <w:b w:val="0"/>
        </w:rPr>
        <w:t xml:space="preserve"> </w:t>
      </w:r>
      <w:r w:rsidR="00B02B64" w:rsidRPr="00981D9E">
        <w:rPr>
          <w:rFonts w:cs="Arial"/>
          <w:b w:val="0"/>
        </w:rPr>
        <w:t>measurement and verification approach.</w:t>
      </w:r>
      <w:r w:rsidR="002E3414">
        <w:rPr>
          <w:rFonts w:cs="Arial"/>
          <w:b w:val="0"/>
        </w:rPr>
        <w:t xml:space="preserve"> </w:t>
      </w:r>
      <w:r w:rsidR="00436DFE" w:rsidRPr="00981D9E">
        <w:rPr>
          <w:rFonts w:cs="Arial"/>
          <w:b w:val="0"/>
        </w:rPr>
        <w:t>Guidelines within t</w:t>
      </w:r>
      <w:r w:rsidR="00B02B64" w:rsidRPr="00981D9E">
        <w:rPr>
          <w:rFonts w:cs="Arial"/>
          <w:b w:val="0"/>
        </w:rPr>
        <w:t xml:space="preserve">he International Performance Measurement and Verification Protocol (IPMVP) will be used </w:t>
      </w:r>
      <w:r w:rsidR="00B20733">
        <w:rPr>
          <w:rFonts w:cs="Arial"/>
          <w:b w:val="0"/>
        </w:rPr>
        <w:t>in instances in which</w:t>
      </w:r>
      <w:r w:rsidR="00B02B64" w:rsidRPr="00981D9E">
        <w:rPr>
          <w:rFonts w:cs="Arial"/>
          <w:b w:val="0"/>
        </w:rPr>
        <w:t>:</w:t>
      </w:r>
    </w:p>
    <w:p w14:paraId="32CBBF5B" w14:textId="77777777" w:rsidR="006D0C49" w:rsidRPr="00981D9E" w:rsidRDefault="006D0C49" w:rsidP="00911709">
      <w:pPr>
        <w:pStyle w:val="BodyText"/>
        <w:spacing w:before="0" w:after="0" w:line="240" w:lineRule="auto"/>
        <w:rPr>
          <w:rFonts w:cs="Arial"/>
          <w:b w:val="0"/>
        </w:rPr>
      </w:pPr>
    </w:p>
    <w:p w14:paraId="4D78D70E" w14:textId="77777777" w:rsidR="00C30FC1" w:rsidRPr="003D08DC" w:rsidRDefault="00751C64" w:rsidP="007265D8">
      <w:pPr>
        <w:pStyle w:val="ListBullet"/>
        <w:numPr>
          <w:ilvl w:val="0"/>
          <w:numId w:val="7"/>
        </w:numPr>
        <w:spacing w:before="0" w:after="0" w:line="240" w:lineRule="auto"/>
        <w:ind w:left="360"/>
        <w:jc w:val="both"/>
        <w:rPr>
          <w:rFonts w:ascii="Arial" w:hAnsi="Arial" w:cs="Arial"/>
          <w:b w:val="0"/>
          <w:bCs/>
          <w:i/>
          <w:iCs/>
          <w:sz w:val="22"/>
          <w:szCs w:val="22"/>
        </w:rPr>
      </w:pPr>
      <w:r w:rsidRPr="003D08DC">
        <w:rPr>
          <w:rFonts w:ascii="Arial" w:hAnsi="Arial" w:cs="Arial"/>
          <w:b w:val="0"/>
          <w:sz w:val="22"/>
          <w:szCs w:val="22"/>
        </w:rPr>
        <w:t>a</w:t>
      </w:r>
      <w:r w:rsidR="00B02B64" w:rsidRPr="003D08DC">
        <w:rPr>
          <w:rFonts w:ascii="Arial" w:hAnsi="Arial" w:cs="Arial"/>
          <w:b w:val="0"/>
          <w:sz w:val="22"/>
          <w:szCs w:val="22"/>
        </w:rPr>
        <w:t xml:space="preserve"> PUCT-approved deemed savings is not available for the energy efficiency</w:t>
      </w:r>
      <w:r w:rsidR="00B02B64" w:rsidRPr="003D08DC">
        <w:rPr>
          <w:rFonts w:ascii="Arial" w:hAnsi="Arial" w:cs="Arial"/>
          <w:b w:val="0"/>
          <w:bCs/>
          <w:i/>
          <w:iCs/>
          <w:sz w:val="22"/>
          <w:szCs w:val="22"/>
        </w:rPr>
        <w:t xml:space="preserve"> </w:t>
      </w:r>
      <w:r w:rsidR="00B02B64" w:rsidRPr="003D08DC">
        <w:rPr>
          <w:rFonts w:ascii="Arial" w:hAnsi="Arial" w:cs="Arial"/>
          <w:b w:val="0"/>
          <w:sz w:val="22"/>
          <w:szCs w:val="22"/>
        </w:rPr>
        <w:t>measure</w:t>
      </w:r>
      <w:r w:rsidR="00825465">
        <w:rPr>
          <w:rFonts w:ascii="Arial" w:hAnsi="Arial" w:cs="Arial"/>
          <w:b w:val="0"/>
          <w:sz w:val="22"/>
          <w:szCs w:val="22"/>
        </w:rPr>
        <w:t>(</w:t>
      </w:r>
      <w:r w:rsidR="00B02B64" w:rsidRPr="003D08DC">
        <w:rPr>
          <w:rFonts w:ascii="Arial" w:hAnsi="Arial" w:cs="Arial"/>
          <w:b w:val="0"/>
          <w:sz w:val="22"/>
          <w:szCs w:val="22"/>
        </w:rPr>
        <w:t>s</w:t>
      </w:r>
      <w:r w:rsidR="00825465">
        <w:rPr>
          <w:rFonts w:ascii="Arial" w:hAnsi="Arial" w:cs="Arial"/>
          <w:b w:val="0"/>
          <w:sz w:val="22"/>
          <w:szCs w:val="22"/>
        </w:rPr>
        <w:t>)</w:t>
      </w:r>
      <w:r w:rsidR="00B02B64" w:rsidRPr="003D08DC">
        <w:rPr>
          <w:rFonts w:ascii="Arial" w:hAnsi="Arial" w:cs="Arial"/>
          <w:b w:val="0"/>
          <w:sz w:val="22"/>
          <w:szCs w:val="22"/>
        </w:rPr>
        <w:t xml:space="preserve"> included in an eligible project; or</w:t>
      </w:r>
    </w:p>
    <w:p w14:paraId="2FDF1B7D" w14:textId="77777777" w:rsidR="006D0C49" w:rsidRPr="003D08DC" w:rsidRDefault="006D0C49" w:rsidP="00911709">
      <w:pPr>
        <w:pStyle w:val="ListBullet"/>
        <w:spacing w:before="0" w:after="0" w:line="240" w:lineRule="auto"/>
        <w:ind w:left="360" w:hanging="360"/>
        <w:jc w:val="both"/>
        <w:rPr>
          <w:rFonts w:ascii="Arial" w:hAnsi="Arial" w:cs="Arial"/>
          <w:b w:val="0"/>
          <w:bCs/>
          <w:i/>
          <w:iCs/>
          <w:sz w:val="22"/>
          <w:szCs w:val="22"/>
        </w:rPr>
      </w:pPr>
    </w:p>
    <w:p w14:paraId="1D2E575D" w14:textId="77777777" w:rsidR="00C30FC1" w:rsidRPr="003D08DC" w:rsidRDefault="00751C64" w:rsidP="007265D8">
      <w:pPr>
        <w:pStyle w:val="ListBullet"/>
        <w:numPr>
          <w:ilvl w:val="0"/>
          <w:numId w:val="7"/>
        </w:numPr>
        <w:spacing w:before="0" w:after="0" w:line="240" w:lineRule="auto"/>
        <w:ind w:left="360"/>
        <w:jc w:val="both"/>
        <w:rPr>
          <w:rFonts w:ascii="Arial" w:hAnsi="Arial" w:cs="Arial"/>
          <w:b w:val="0"/>
          <w:bCs/>
          <w:i/>
          <w:iCs/>
          <w:sz w:val="22"/>
          <w:szCs w:val="22"/>
        </w:rPr>
      </w:pPr>
      <w:r w:rsidRPr="003D08DC">
        <w:rPr>
          <w:rFonts w:ascii="Arial" w:hAnsi="Arial" w:cs="Arial"/>
          <w:b w:val="0"/>
          <w:sz w:val="22"/>
          <w:szCs w:val="22"/>
        </w:rPr>
        <w:t>a</w:t>
      </w:r>
      <w:r w:rsidR="00B02B64" w:rsidRPr="003D08DC">
        <w:rPr>
          <w:rFonts w:ascii="Arial" w:hAnsi="Arial" w:cs="Arial"/>
          <w:b w:val="0"/>
          <w:sz w:val="22"/>
          <w:szCs w:val="22"/>
        </w:rPr>
        <w:t>n EESP has elected to follow the protocol because it believes that measurement and</w:t>
      </w:r>
      <w:r w:rsidR="00B02B64" w:rsidRPr="003D08DC">
        <w:rPr>
          <w:rFonts w:ascii="Arial" w:hAnsi="Arial" w:cs="Arial"/>
          <w:b w:val="0"/>
          <w:bCs/>
          <w:i/>
          <w:iCs/>
          <w:sz w:val="22"/>
          <w:szCs w:val="22"/>
        </w:rPr>
        <w:t xml:space="preserve"> </w:t>
      </w:r>
      <w:r w:rsidR="00B02B64" w:rsidRPr="003D08DC">
        <w:rPr>
          <w:rFonts w:ascii="Arial" w:hAnsi="Arial" w:cs="Arial"/>
          <w:b w:val="0"/>
          <w:sz w:val="22"/>
          <w:szCs w:val="22"/>
        </w:rPr>
        <w:t>verification activities will result in a more accurate estimate of the savings associated with the</w:t>
      </w:r>
      <w:r w:rsidR="00B02B64" w:rsidRPr="003D08DC">
        <w:rPr>
          <w:rFonts w:ascii="Arial" w:hAnsi="Arial" w:cs="Arial"/>
          <w:b w:val="0"/>
          <w:bCs/>
          <w:i/>
          <w:iCs/>
          <w:sz w:val="22"/>
          <w:szCs w:val="22"/>
        </w:rPr>
        <w:t xml:space="preserve"> </w:t>
      </w:r>
      <w:r w:rsidR="00B02B64" w:rsidRPr="003D08DC">
        <w:rPr>
          <w:rFonts w:ascii="Arial" w:hAnsi="Arial" w:cs="Arial"/>
          <w:b w:val="0"/>
          <w:sz w:val="22"/>
          <w:szCs w:val="22"/>
        </w:rPr>
        <w:t xml:space="preserve">project than would </w:t>
      </w:r>
      <w:r w:rsidR="0064088A">
        <w:rPr>
          <w:rFonts w:ascii="Arial" w:hAnsi="Arial" w:cs="Arial"/>
          <w:b w:val="0"/>
          <w:sz w:val="22"/>
          <w:szCs w:val="22"/>
        </w:rPr>
        <w:t xml:space="preserve">the </w:t>
      </w:r>
      <w:r w:rsidR="00B02B64" w:rsidRPr="003D08DC">
        <w:rPr>
          <w:rFonts w:ascii="Arial" w:hAnsi="Arial" w:cs="Arial"/>
          <w:b w:val="0"/>
          <w:sz w:val="22"/>
          <w:szCs w:val="22"/>
        </w:rPr>
        <w:t>application of the PUCT-approved deemed savings value.</w:t>
      </w:r>
      <w:r w:rsidR="0064088A">
        <w:rPr>
          <w:rFonts w:ascii="Arial" w:hAnsi="Arial" w:cs="Arial"/>
          <w:b w:val="0"/>
          <w:sz w:val="22"/>
          <w:szCs w:val="22"/>
        </w:rPr>
        <w:t xml:space="preserve"> </w:t>
      </w:r>
    </w:p>
    <w:p w14:paraId="15DA532B" w14:textId="77777777" w:rsidR="006D0C49" w:rsidRPr="00CF26A0" w:rsidRDefault="006D0C49" w:rsidP="00911709">
      <w:pPr>
        <w:pStyle w:val="BodyText"/>
        <w:spacing w:before="0" w:after="0" w:line="240" w:lineRule="auto"/>
        <w:rPr>
          <w:rFonts w:cs="Arial"/>
          <w:b w:val="0"/>
          <w:szCs w:val="22"/>
        </w:rPr>
      </w:pPr>
    </w:p>
    <w:p w14:paraId="73B55DED" w14:textId="77777777" w:rsidR="00B02B64" w:rsidRDefault="00B02B64" w:rsidP="00911709">
      <w:pPr>
        <w:pStyle w:val="BodyText"/>
        <w:spacing w:before="0" w:after="0" w:line="240" w:lineRule="auto"/>
        <w:rPr>
          <w:rFonts w:cs="Arial"/>
          <w:b w:val="0"/>
        </w:rPr>
      </w:pPr>
      <w:r w:rsidRPr="006D0C49">
        <w:rPr>
          <w:rFonts w:cs="Arial"/>
          <w:b w:val="0"/>
        </w:rPr>
        <w:t>The IPMVP is voluminous and is not included with this plan.</w:t>
      </w:r>
    </w:p>
    <w:p w14:paraId="0FE14DFA" w14:textId="77777777" w:rsidR="003D438C" w:rsidRDefault="003D438C" w:rsidP="00911709">
      <w:pPr>
        <w:pStyle w:val="BodyText"/>
        <w:spacing w:before="0" w:after="0" w:line="240" w:lineRule="auto"/>
        <w:rPr>
          <w:rFonts w:cs="Arial"/>
          <w:b w:val="0"/>
        </w:rPr>
      </w:pPr>
    </w:p>
    <w:p w14:paraId="5179337B" w14:textId="3405904B" w:rsidR="00150EBC" w:rsidRDefault="00CE2F82" w:rsidP="00911709">
      <w:pPr>
        <w:pStyle w:val="BodyText"/>
        <w:spacing w:before="0" w:after="0" w:line="240" w:lineRule="auto"/>
        <w:rPr>
          <w:rFonts w:cs="Arial"/>
          <w:b w:val="0"/>
        </w:rPr>
      </w:pPr>
      <w:r>
        <w:rPr>
          <w:rFonts w:cs="Arial"/>
          <w:b w:val="0"/>
        </w:rPr>
        <w:t xml:space="preserve">Based on </w:t>
      </w:r>
      <w:r w:rsidR="003D438C">
        <w:rPr>
          <w:rFonts w:cs="Arial"/>
          <w:b w:val="0"/>
        </w:rPr>
        <w:t xml:space="preserve">the EE Rule, the PUCT </w:t>
      </w:r>
      <w:r w:rsidR="00FB6717">
        <w:rPr>
          <w:rFonts w:cs="Arial"/>
          <w:b w:val="0"/>
        </w:rPr>
        <w:t>implemented an evaluation, measurement, and verification (EM&amp;V) process that include</w:t>
      </w:r>
      <w:r w:rsidR="00A61FF9">
        <w:rPr>
          <w:rFonts w:cs="Arial"/>
          <w:b w:val="0"/>
        </w:rPr>
        <w:t>d</w:t>
      </w:r>
      <w:r w:rsidR="00FB6717">
        <w:rPr>
          <w:rFonts w:cs="Arial"/>
          <w:b w:val="0"/>
        </w:rPr>
        <w:t xml:space="preserve"> the selection of an EM&amp;V contractor in 2013</w:t>
      </w:r>
      <w:r w:rsidR="00A61FF9">
        <w:rPr>
          <w:rFonts w:cs="Arial"/>
          <w:b w:val="0"/>
        </w:rPr>
        <w:t xml:space="preserve">. </w:t>
      </w:r>
      <w:r w:rsidR="000B5A70">
        <w:rPr>
          <w:rFonts w:cs="Arial"/>
          <w:b w:val="0"/>
        </w:rPr>
        <w:t xml:space="preserve">The PUCT </w:t>
      </w:r>
      <w:r w:rsidR="001F46B2">
        <w:rPr>
          <w:rFonts w:cs="Arial"/>
          <w:b w:val="0"/>
        </w:rPr>
        <w:t>selected</w:t>
      </w:r>
      <w:r w:rsidR="004D5727">
        <w:rPr>
          <w:rFonts w:cs="Arial"/>
          <w:b w:val="0"/>
        </w:rPr>
        <w:t xml:space="preserve"> </w:t>
      </w:r>
      <w:r w:rsidR="004D5F6E">
        <w:rPr>
          <w:rFonts w:cs="Arial"/>
          <w:b w:val="0"/>
        </w:rPr>
        <w:t>the</w:t>
      </w:r>
      <w:r w:rsidR="00750A04">
        <w:rPr>
          <w:rFonts w:cs="Arial"/>
          <w:b w:val="0"/>
        </w:rPr>
        <w:t xml:space="preserve"> </w:t>
      </w:r>
      <w:r w:rsidR="001F46B2">
        <w:rPr>
          <w:rFonts w:cs="Arial"/>
          <w:b w:val="0"/>
        </w:rPr>
        <w:t xml:space="preserve">current </w:t>
      </w:r>
      <w:r w:rsidR="00750A04">
        <w:rPr>
          <w:rFonts w:cs="Arial"/>
          <w:b w:val="0"/>
        </w:rPr>
        <w:t xml:space="preserve">third-party EM&amp;V contractor </w:t>
      </w:r>
      <w:r w:rsidR="004D5F6E">
        <w:rPr>
          <w:rFonts w:cs="Arial"/>
          <w:b w:val="0"/>
        </w:rPr>
        <w:t>through the Request for Proposal 473-17-002</w:t>
      </w:r>
      <w:r w:rsidR="009A0B99">
        <w:rPr>
          <w:rFonts w:cs="Arial"/>
          <w:b w:val="0"/>
        </w:rPr>
        <w:t xml:space="preserve"> (RFP)</w:t>
      </w:r>
      <w:r w:rsidR="004D5F6E">
        <w:rPr>
          <w:rFonts w:cs="Arial"/>
          <w:b w:val="0"/>
        </w:rPr>
        <w:t xml:space="preserve">, Project No. 46302. The selected EM&amp;V team is </w:t>
      </w:r>
      <w:r w:rsidR="00750A04">
        <w:rPr>
          <w:rFonts w:cs="Arial"/>
          <w:b w:val="0"/>
        </w:rPr>
        <w:t>led by Tetra</w:t>
      </w:r>
      <w:r w:rsidR="004E499B">
        <w:rPr>
          <w:rFonts w:cs="Arial"/>
          <w:b w:val="0"/>
        </w:rPr>
        <w:t xml:space="preserve"> </w:t>
      </w:r>
      <w:r w:rsidR="00750A04">
        <w:rPr>
          <w:rFonts w:cs="Arial"/>
          <w:b w:val="0"/>
        </w:rPr>
        <w:t>Tech and includes Texas Energy Engineering Services</w:t>
      </w:r>
      <w:r w:rsidR="004D5F6E">
        <w:rPr>
          <w:rFonts w:cs="Arial"/>
          <w:b w:val="0"/>
        </w:rPr>
        <w:t xml:space="preserve">, Inc. (TEESI). The RFP was for </w:t>
      </w:r>
      <w:r w:rsidR="00B3061C">
        <w:rPr>
          <w:rFonts w:cs="Arial"/>
          <w:b w:val="0"/>
        </w:rPr>
        <w:t xml:space="preserve">the evaluation of </w:t>
      </w:r>
      <w:r w:rsidR="004D5F6E">
        <w:rPr>
          <w:rFonts w:cs="Arial"/>
          <w:b w:val="0"/>
        </w:rPr>
        <w:t>Program Year</w:t>
      </w:r>
      <w:r w:rsidR="00233130">
        <w:rPr>
          <w:rFonts w:cs="Arial"/>
          <w:b w:val="0"/>
        </w:rPr>
        <w:t xml:space="preserve"> (PY) 2016 through PY</w:t>
      </w:r>
      <w:r w:rsidR="0065124C">
        <w:rPr>
          <w:rFonts w:cs="Arial"/>
          <w:b w:val="0"/>
        </w:rPr>
        <w:t xml:space="preserve"> </w:t>
      </w:r>
      <w:r w:rsidR="00233130">
        <w:rPr>
          <w:rFonts w:cs="Arial"/>
          <w:b w:val="0"/>
        </w:rPr>
        <w:t>2019.</w:t>
      </w:r>
      <w:r w:rsidR="00F9270C">
        <w:rPr>
          <w:rFonts w:cs="Arial"/>
          <w:b w:val="0"/>
        </w:rPr>
        <w:t xml:space="preserve"> EPE will continue to provide all of the necessary information and data to the EM&amp;V team.</w:t>
      </w:r>
      <w:r w:rsidR="00CE0B22">
        <w:rPr>
          <w:rFonts w:cs="Arial"/>
          <w:b w:val="0"/>
        </w:rPr>
        <w:t xml:space="preserve"> </w:t>
      </w:r>
    </w:p>
    <w:p w14:paraId="31B8D059" w14:textId="3D75F806" w:rsidR="00AA56F2" w:rsidRDefault="00AA56F2">
      <w:pPr>
        <w:rPr>
          <w:rFonts w:ascii="Arial" w:hAnsi="Arial" w:cs="Arial"/>
          <w:b w:val="0"/>
          <w:sz w:val="22"/>
        </w:rPr>
      </w:pPr>
    </w:p>
    <w:p w14:paraId="1A1DB7EE" w14:textId="45B7856E" w:rsidR="00C30FC1" w:rsidRPr="00981D9E" w:rsidRDefault="00A317D6" w:rsidP="00911709">
      <w:pPr>
        <w:pStyle w:val="Heading2"/>
        <w:keepNext w:val="0"/>
        <w:tabs>
          <w:tab w:val="num" w:pos="0"/>
        </w:tabs>
        <w:spacing w:before="0" w:after="0"/>
        <w:rPr>
          <w:rFonts w:cs="Arial"/>
          <w:spacing w:val="0"/>
        </w:rPr>
      </w:pPr>
      <w:bookmarkStart w:id="16" w:name="_Toc509500756"/>
      <w:r w:rsidRPr="00981D9E">
        <w:rPr>
          <w:rFonts w:cs="Arial"/>
          <w:spacing w:val="0"/>
        </w:rPr>
        <w:t>Outreach Activities</w:t>
      </w:r>
      <w:bookmarkEnd w:id="16"/>
    </w:p>
    <w:p w14:paraId="0125F7E3" w14:textId="77777777" w:rsidR="006D0C49" w:rsidRDefault="006D0C49" w:rsidP="00911709">
      <w:pPr>
        <w:pStyle w:val="BodyText"/>
        <w:spacing w:before="0" w:after="0" w:line="240" w:lineRule="auto"/>
        <w:rPr>
          <w:rFonts w:cs="Arial"/>
          <w:b w:val="0"/>
        </w:rPr>
      </w:pPr>
    </w:p>
    <w:p w14:paraId="28A36B73" w14:textId="77777777" w:rsidR="00C30FC1" w:rsidRDefault="00B02B64" w:rsidP="00911709">
      <w:pPr>
        <w:pStyle w:val="BodyText"/>
        <w:spacing w:before="0" w:after="0" w:line="240" w:lineRule="auto"/>
        <w:rPr>
          <w:rFonts w:cs="Arial"/>
          <w:b w:val="0"/>
        </w:rPr>
      </w:pPr>
      <w:r w:rsidRPr="00981D9E">
        <w:rPr>
          <w:rFonts w:cs="Arial"/>
          <w:b w:val="0"/>
        </w:rPr>
        <w:t>EPE anticipates that outreach to a broad range of EESP</w:t>
      </w:r>
      <w:r w:rsidR="0071625D" w:rsidRPr="00981D9E">
        <w:rPr>
          <w:rFonts w:cs="Arial"/>
          <w:b w:val="0"/>
        </w:rPr>
        <w:t>s</w:t>
      </w:r>
      <w:r w:rsidRPr="00981D9E">
        <w:rPr>
          <w:rFonts w:cs="Arial"/>
          <w:b w:val="0"/>
        </w:rPr>
        <w:t xml:space="preserve"> and market segments will be necessary in order to meet the savings goals required by </w:t>
      </w:r>
      <w:r w:rsidR="00005934">
        <w:rPr>
          <w:rFonts w:cs="Arial"/>
          <w:b w:val="0"/>
        </w:rPr>
        <w:t xml:space="preserve">Section </w:t>
      </w:r>
      <w:r w:rsidR="003178D7">
        <w:rPr>
          <w:rFonts w:cs="Arial"/>
          <w:b w:val="0"/>
        </w:rPr>
        <w:t>(e)(1)</w:t>
      </w:r>
      <w:r w:rsidR="00005934">
        <w:rPr>
          <w:rFonts w:cs="Arial"/>
          <w:b w:val="0"/>
        </w:rPr>
        <w:t xml:space="preserve"> of the EE Rule</w:t>
      </w:r>
      <w:r w:rsidR="003178D7" w:rsidRPr="00597FB6">
        <w:rPr>
          <w:rFonts w:cs="Arial"/>
          <w:b w:val="0"/>
        </w:rPr>
        <w:t xml:space="preserve"> </w:t>
      </w:r>
      <w:r w:rsidR="00EE7C10" w:rsidRPr="00981D9E">
        <w:rPr>
          <w:rFonts w:cs="Arial"/>
          <w:b w:val="0"/>
        </w:rPr>
        <w:t xml:space="preserve">and </w:t>
      </w:r>
      <w:r w:rsidRPr="00981D9E">
        <w:rPr>
          <w:rFonts w:cs="Arial"/>
          <w:b w:val="0"/>
        </w:rPr>
        <w:t>PURA</w:t>
      </w:r>
      <w:r w:rsidR="005A5C6A">
        <w:rPr>
          <w:rFonts w:cs="Arial"/>
          <w:b w:val="0"/>
        </w:rPr>
        <w:t xml:space="preserve"> </w:t>
      </w:r>
      <w:r w:rsidR="005A5C6A" w:rsidRPr="00597FB6">
        <w:rPr>
          <w:rFonts w:cs="Arial"/>
          <w:b w:val="0"/>
        </w:rPr>
        <w:t>§</w:t>
      </w:r>
      <w:r w:rsidR="00CD6042">
        <w:rPr>
          <w:rFonts w:cs="Arial"/>
          <w:b w:val="0"/>
        </w:rPr>
        <w:t> </w:t>
      </w:r>
      <w:r w:rsidR="005A5C6A" w:rsidRPr="00597FB6">
        <w:rPr>
          <w:rFonts w:cs="Arial"/>
          <w:b w:val="0"/>
        </w:rPr>
        <w:t>39.905</w:t>
      </w:r>
      <w:r w:rsidRPr="00981D9E">
        <w:rPr>
          <w:rFonts w:cs="Arial"/>
          <w:b w:val="0"/>
          <w:sz w:val="23"/>
          <w:szCs w:val="23"/>
        </w:rPr>
        <w:t xml:space="preserve">. </w:t>
      </w:r>
      <w:r w:rsidR="00352B57" w:rsidRPr="00981D9E">
        <w:rPr>
          <w:rFonts w:cs="Arial"/>
          <w:b w:val="0"/>
          <w:sz w:val="23"/>
          <w:szCs w:val="23"/>
        </w:rPr>
        <w:t xml:space="preserve"> </w:t>
      </w:r>
      <w:r w:rsidR="00646008" w:rsidRPr="00981D9E">
        <w:rPr>
          <w:rFonts w:cs="Arial"/>
          <w:b w:val="0"/>
        </w:rPr>
        <w:t>EPE markets the availability of its programs in the following manner:</w:t>
      </w:r>
    </w:p>
    <w:p w14:paraId="205DE629" w14:textId="77777777" w:rsidR="00D50397" w:rsidRPr="00981D9E" w:rsidRDefault="00D50397" w:rsidP="00911709">
      <w:pPr>
        <w:pStyle w:val="BodyText"/>
        <w:spacing w:before="0" w:after="0" w:line="240" w:lineRule="auto"/>
        <w:rPr>
          <w:rFonts w:cs="Arial"/>
          <w:b w:val="0"/>
        </w:rPr>
      </w:pPr>
    </w:p>
    <w:p w14:paraId="4D536788" w14:textId="4ED6AF2D" w:rsidR="000B679D" w:rsidRPr="00F9270C" w:rsidRDefault="006340EF" w:rsidP="007265D8">
      <w:pPr>
        <w:pStyle w:val="BodyText"/>
        <w:numPr>
          <w:ilvl w:val="0"/>
          <w:numId w:val="5"/>
        </w:numPr>
        <w:tabs>
          <w:tab w:val="clear" w:pos="720"/>
          <w:tab w:val="num" w:pos="360"/>
        </w:tabs>
        <w:spacing w:before="0" w:after="0" w:line="240" w:lineRule="auto"/>
        <w:ind w:left="360"/>
        <w:rPr>
          <w:rFonts w:cs="Arial"/>
          <w:b w:val="0"/>
          <w:szCs w:val="22"/>
        </w:rPr>
      </w:pPr>
      <w:r w:rsidRPr="00F9270C">
        <w:rPr>
          <w:rFonts w:cs="Arial"/>
          <w:b w:val="0"/>
          <w:szCs w:val="22"/>
        </w:rPr>
        <w:t>EPE m</w:t>
      </w:r>
      <w:r w:rsidR="00871306" w:rsidRPr="00F9270C">
        <w:rPr>
          <w:rFonts w:cs="Arial"/>
          <w:b w:val="0"/>
          <w:szCs w:val="22"/>
        </w:rPr>
        <w:t>aintain</w:t>
      </w:r>
      <w:r w:rsidR="00BF6AE6" w:rsidRPr="00F9270C">
        <w:rPr>
          <w:rFonts w:cs="Arial"/>
          <w:b w:val="0"/>
          <w:szCs w:val="22"/>
        </w:rPr>
        <w:t>s</w:t>
      </w:r>
      <w:r w:rsidR="00F9270C">
        <w:rPr>
          <w:rFonts w:cs="Arial"/>
          <w:b w:val="0"/>
          <w:szCs w:val="22"/>
        </w:rPr>
        <w:t xml:space="preserve"> the</w:t>
      </w:r>
      <w:r w:rsidR="00B745E6">
        <w:rPr>
          <w:rFonts w:cs="Arial"/>
          <w:b w:val="0"/>
          <w:szCs w:val="22"/>
        </w:rPr>
        <w:t xml:space="preserve"> </w:t>
      </w:r>
      <w:hyperlink r:id="rId14" w:history="1">
        <w:r w:rsidR="00ED03BF" w:rsidRPr="00E93F39">
          <w:rPr>
            <w:rStyle w:val="Hyperlink"/>
            <w:rFonts w:ascii="Arial" w:hAnsi="Arial" w:cs="Arial"/>
            <w:sz w:val="22"/>
            <w:szCs w:val="22"/>
          </w:rPr>
          <w:t>www.epelectric.com</w:t>
        </w:r>
      </w:hyperlink>
      <w:r w:rsidR="00ED03BF">
        <w:rPr>
          <w:rFonts w:cs="Arial"/>
          <w:b w:val="0"/>
          <w:szCs w:val="22"/>
        </w:rPr>
        <w:t xml:space="preserve"> </w:t>
      </w:r>
      <w:r w:rsidR="002E3414" w:rsidRPr="00F9270C">
        <w:rPr>
          <w:rFonts w:cs="Arial"/>
          <w:b w:val="0"/>
          <w:szCs w:val="22"/>
        </w:rPr>
        <w:t>website</w:t>
      </w:r>
      <w:r w:rsidR="00871306" w:rsidRPr="00F9270C">
        <w:rPr>
          <w:rStyle w:val="Hyperlink"/>
          <w:rFonts w:ascii="Arial" w:hAnsi="Arial" w:cs="Arial"/>
          <w:color w:val="auto"/>
          <w:sz w:val="22"/>
          <w:szCs w:val="22"/>
          <w:u w:val="none"/>
        </w:rPr>
        <w:t xml:space="preserve">. </w:t>
      </w:r>
      <w:r w:rsidR="00F9270C" w:rsidRPr="00F9270C">
        <w:rPr>
          <w:rStyle w:val="Hyperlink"/>
          <w:rFonts w:ascii="Arial" w:hAnsi="Arial" w:cs="Arial"/>
          <w:color w:val="auto"/>
          <w:sz w:val="22"/>
          <w:szCs w:val="22"/>
          <w:u w:val="none"/>
        </w:rPr>
        <w:t xml:space="preserve">The use of </w:t>
      </w:r>
      <w:r w:rsidR="00F24145">
        <w:rPr>
          <w:rStyle w:val="Hyperlink"/>
          <w:rFonts w:ascii="Arial" w:hAnsi="Arial" w:cs="Arial"/>
          <w:color w:val="auto"/>
          <w:sz w:val="22"/>
          <w:szCs w:val="22"/>
          <w:u w:val="none"/>
        </w:rPr>
        <w:t>the</w:t>
      </w:r>
      <w:r w:rsidR="00F24145" w:rsidRPr="00F9270C">
        <w:rPr>
          <w:rStyle w:val="Hyperlink"/>
          <w:rFonts w:ascii="Arial" w:hAnsi="Arial" w:cs="Arial"/>
          <w:color w:val="auto"/>
          <w:sz w:val="22"/>
          <w:szCs w:val="22"/>
          <w:u w:val="none"/>
        </w:rPr>
        <w:t xml:space="preserve"> </w:t>
      </w:r>
      <w:r w:rsidR="000E445E" w:rsidRPr="00F9270C">
        <w:rPr>
          <w:rFonts w:cs="Arial"/>
          <w:b w:val="0"/>
          <w:szCs w:val="22"/>
        </w:rPr>
        <w:t>w</w:t>
      </w:r>
      <w:r w:rsidR="00BF6AE6" w:rsidRPr="00F9270C">
        <w:rPr>
          <w:rFonts w:cs="Arial"/>
          <w:b w:val="0"/>
          <w:szCs w:val="22"/>
        </w:rPr>
        <w:t xml:space="preserve">ebsite </w:t>
      </w:r>
      <w:r w:rsidR="00F9270C" w:rsidRPr="00F9270C">
        <w:rPr>
          <w:rFonts w:cs="Arial"/>
          <w:b w:val="0"/>
          <w:szCs w:val="22"/>
        </w:rPr>
        <w:t xml:space="preserve">is one of </w:t>
      </w:r>
      <w:r w:rsidR="00BF6AE6" w:rsidRPr="00F9270C">
        <w:rPr>
          <w:rFonts w:cs="Arial"/>
          <w:b w:val="0"/>
          <w:szCs w:val="22"/>
        </w:rPr>
        <w:t>the primary method</w:t>
      </w:r>
      <w:r w:rsidR="00F9270C" w:rsidRPr="00F9270C">
        <w:rPr>
          <w:rFonts w:cs="Arial"/>
          <w:b w:val="0"/>
          <w:szCs w:val="22"/>
        </w:rPr>
        <w:t>s</w:t>
      </w:r>
      <w:r w:rsidR="00BF6AE6" w:rsidRPr="00F9270C">
        <w:rPr>
          <w:rFonts w:cs="Arial"/>
          <w:b w:val="0"/>
          <w:szCs w:val="22"/>
        </w:rPr>
        <w:t xml:space="preserve"> of communication to provide potential </w:t>
      </w:r>
      <w:r w:rsidR="005A0579" w:rsidRPr="00F9270C">
        <w:rPr>
          <w:rFonts w:cs="Arial"/>
          <w:b w:val="0"/>
          <w:szCs w:val="22"/>
        </w:rPr>
        <w:t>p</w:t>
      </w:r>
      <w:r w:rsidR="00BF6AE6" w:rsidRPr="00F9270C">
        <w:rPr>
          <w:rFonts w:cs="Arial"/>
          <w:b w:val="0"/>
          <w:szCs w:val="22"/>
        </w:rPr>
        <w:t xml:space="preserve">roject </w:t>
      </w:r>
      <w:r w:rsidR="005A0579" w:rsidRPr="00F9270C">
        <w:rPr>
          <w:rFonts w:cs="Arial"/>
          <w:b w:val="0"/>
          <w:szCs w:val="22"/>
        </w:rPr>
        <w:t>s</w:t>
      </w:r>
      <w:r w:rsidR="00BF6AE6" w:rsidRPr="00F9270C">
        <w:rPr>
          <w:rFonts w:cs="Arial"/>
          <w:b w:val="0"/>
          <w:szCs w:val="22"/>
        </w:rPr>
        <w:t xml:space="preserve">ponsors </w:t>
      </w:r>
      <w:r w:rsidR="00F9270C" w:rsidRPr="00F9270C">
        <w:rPr>
          <w:rFonts w:cs="Arial"/>
          <w:b w:val="0"/>
          <w:szCs w:val="22"/>
        </w:rPr>
        <w:t xml:space="preserve">and customers </w:t>
      </w:r>
      <w:r w:rsidR="00BF6AE6" w:rsidRPr="00F9270C">
        <w:rPr>
          <w:rFonts w:cs="Arial"/>
          <w:b w:val="0"/>
          <w:szCs w:val="22"/>
        </w:rPr>
        <w:t>with program information.</w:t>
      </w:r>
      <w:r w:rsidR="005A0579" w:rsidRPr="00F9270C">
        <w:rPr>
          <w:rFonts w:cs="Arial"/>
          <w:b w:val="0"/>
          <w:szCs w:val="22"/>
        </w:rPr>
        <w:t xml:space="preserve"> </w:t>
      </w:r>
      <w:r w:rsidR="00B47CB5" w:rsidRPr="00F9270C">
        <w:rPr>
          <w:rFonts w:cs="Arial"/>
          <w:b w:val="0"/>
          <w:szCs w:val="22"/>
        </w:rPr>
        <w:t>T</w:t>
      </w:r>
      <w:r w:rsidR="002E3414" w:rsidRPr="00F9270C">
        <w:rPr>
          <w:rFonts w:cs="Arial"/>
          <w:b w:val="0"/>
          <w:szCs w:val="22"/>
        </w:rPr>
        <w:t xml:space="preserve">he website </w:t>
      </w:r>
      <w:r w:rsidR="00C205FB">
        <w:rPr>
          <w:rFonts w:cs="Arial"/>
          <w:b w:val="0"/>
          <w:szCs w:val="22"/>
        </w:rPr>
        <w:t xml:space="preserve">may </w:t>
      </w:r>
      <w:r w:rsidR="00BF6AE6" w:rsidRPr="00F9270C">
        <w:rPr>
          <w:rFonts w:cs="Arial"/>
          <w:b w:val="0"/>
          <w:szCs w:val="22"/>
        </w:rPr>
        <w:t xml:space="preserve">contain detailed information </w:t>
      </w:r>
      <w:r w:rsidR="00F9270C">
        <w:rPr>
          <w:rFonts w:cs="Arial"/>
          <w:b w:val="0"/>
          <w:szCs w:val="22"/>
        </w:rPr>
        <w:t>such as</w:t>
      </w:r>
      <w:r w:rsidR="00F9270C" w:rsidRPr="00F9270C">
        <w:rPr>
          <w:rFonts w:cs="Arial"/>
          <w:b w:val="0"/>
          <w:szCs w:val="22"/>
        </w:rPr>
        <w:t xml:space="preserve"> </w:t>
      </w:r>
      <w:r w:rsidR="00BF6AE6" w:rsidRPr="00F9270C">
        <w:rPr>
          <w:rFonts w:cs="Arial"/>
          <w:b w:val="0"/>
          <w:szCs w:val="22"/>
        </w:rPr>
        <w:t xml:space="preserve">requirements for </w:t>
      </w:r>
      <w:r w:rsidR="00F24145" w:rsidRPr="00F9270C">
        <w:rPr>
          <w:rFonts w:cs="Arial"/>
          <w:b w:val="0"/>
          <w:szCs w:val="22"/>
        </w:rPr>
        <w:t>pro</w:t>
      </w:r>
      <w:r w:rsidR="00F24145">
        <w:rPr>
          <w:rFonts w:cs="Arial"/>
          <w:b w:val="0"/>
          <w:szCs w:val="22"/>
        </w:rPr>
        <w:t>gram</w:t>
      </w:r>
      <w:r w:rsidR="00F24145" w:rsidRPr="00F9270C">
        <w:rPr>
          <w:rFonts w:cs="Arial"/>
          <w:b w:val="0"/>
          <w:szCs w:val="22"/>
        </w:rPr>
        <w:t xml:space="preserve"> </w:t>
      </w:r>
      <w:r w:rsidR="00BF6AE6" w:rsidRPr="00F9270C">
        <w:rPr>
          <w:rFonts w:cs="Arial"/>
          <w:b w:val="0"/>
          <w:szCs w:val="22"/>
        </w:rPr>
        <w:t xml:space="preserve">participation, project eligibility, end-use measure eligibility, incentive levels, application procedures, </w:t>
      </w:r>
      <w:r w:rsidR="005F2D16" w:rsidRPr="00F9270C">
        <w:rPr>
          <w:rFonts w:cs="Arial"/>
          <w:b w:val="0"/>
          <w:szCs w:val="22"/>
        </w:rPr>
        <w:t xml:space="preserve">program manuals, </w:t>
      </w:r>
      <w:r w:rsidR="00BF6AE6" w:rsidRPr="00F9270C">
        <w:rPr>
          <w:rFonts w:cs="Arial"/>
          <w:b w:val="0"/>
          <w:szCs w:val="22"/>
        </w:rPr>
        <w:t xml:space="preserve">and available funding. </w:t>
      </w:r>
      <w:r w:rsidR="005A0579" w:rsidRPr="00F9270C">
        <w:rPr>
          <w:rFonts w:cs="Arial"/>
          <w:b w:val="0"/>
          <w:szCs w:val="22"/>
        </w:rPr>
        <w:t xml:space="preserve"> </w:t>
      </w:r>
    </w:p>
    <w:p w14:paraId="13B7AA2F" w14:textId="77777777" w:rsidR="00D50397" w:rsidRPr="00981D9E" w:rsidRDefault="00D50397" w:rsidP="00911709">
      <w:pPr>
        <w:pStyle w:val="BodyText"/>
        <w:tabs>
          <w:tab w:val="num" w:pos="360"/>
        </w:tabs>
        <w:spacing w:before="0" w:after="0" w:line="240" w:lineRule="auto"/>
        <w:ind w:left="360" w:hanging="360"/>
        <w:rPr>
          <w:rFonts w:cs="Arial"/>
          <w:b w:val="0"/>
        </w:rPr>
      </w:pPr>
    </w:p>
    <w:p w14:paraId="080879BC" w14:textId="5DF4A0D4" w:rsidR="000B679D" w:rsidRPr="00D50397" w:rsidRDefault="006340EF" w:rsidP="007265D8">
      <w:pPr>
        <w:pStyle w:val="BodyText"/>
        <w:numPr>
          <w:ilvl w:val="0"/>
          <w:numId w:val="5"/>
        </w:numPr>
        <w:tabs>
          <w:tab w:val="clear" w:pos="720"/>
          <w:tab w:val="num" w:pos="360"/>
        </w:tabs>
        <w:spacing w:before="0" w:after="0" w:line="240" w:lineRule="auto"/>
        <w:ind w:left="360"/>
        <w:rPr>
          <w:rFonts w:cs="Arial"/>
          <w:b w:val="0"/>
          <w:spacing w:val="-2"/>
        </w:rPr>
      </w:pPr>
      <w:r w:rsidRPr="00D50397">
        <w:rPr>
          <w:rFonts w:cs="Arial"/>
          <w:b w:val="0"/>
          <w:spacing w:val="-2"/>
        </w:rPr>
        <w:t>EPE offers</w:t>
      </w:r>
      <w:r w:rsidR="00B02B64" w:rsidRPr="00D50397">
        <w:rPr>
          <w:rFonts w:cs="Arial"/>
          <w:b w:val="0"/>
          <w:spacing w:val="-2"/>
        </w:rPr>
        <w:t xml:space="preserve"> </w:t>
      </w:r>
      <w:r w:rsidR="00A317D6" w:rsidRPr="00D50397">
        <w:rPr>
          <w:rFonts w:cs="Arial"/>
          <w:b w:val="0"/>
          <w:spacing w:val="-2"/>
        </w:rPr>
        <w:t xml:space="preserve">outreach </w:t>
      </w:r>
      <w:r w:rsidR="00646008" w:rsidRPr="00D50397">
        <w:rPr>
          <w:rFonts w:cs="Arial"/>
          <w:b w:val="0"/>
          <w:spacing w:val="-2"/>
        </w:rPr>
        <w:t>workshops</w:t>
      </w:r>
      <w:r w:rsidR="002E3414">
        <w:rPr>
          <w:rFonts w:cs="Arial"/>
          <w:b w:val="0"/>
          <w:spacing w:val="-2"/>
        </w:rPr>
        <w:t>,</w:t>
      </w:r>
      <w:r w:rsidR="00B02B64" w:rsidRPr="00D50397">
        <w:rPr>
          <w:rFonts w:cs="Arial"/>
          <w:b w:val="0"/>
          <w:spacing w:val="-2"/>
        </w:rPr>
        <w:t xml:space="preserve"> </w:t>
      </w:r>
      <w:r w:rsidR="0071625D" w:rsidRPr="00D50397">
        <w:rPr>
          <w:rFonts w:cs="Arial"/>
          <w:b w:val="0"/>
          <w:spacing w:val="-2"/>
        </w:rPr>
        <w:t>either physically or through webinars</w:t>
      </w:r>
      <w:r w:rsidR="002E3414">
        <w:rPr>
          <w:rFonts w:cs="Arial"/>
          <w:b w:val="0"/>
          <w:spacing w:val="-2"/>
        </w:rPr>
        <w:t>,</w:t>
      </w:r>
      <w:r w:rsidR="0071625D" w:rsidRPr="00D50397">
        <w:rPr>
          <w:rFonts w:cs="Arial"/>
          <w:b w:val="0"/>
          <w:spacing w:val="-2"/>
        </w:rPr>
        <w:t xml:space="preserve"> </w:t>
      </w:r>
      <w:r w:rsidR="00B02B64" w:rsidRPr="00D50397">
        <w:rPr>
          <w:rFonts w:cs="Arial"/>
          <w:b w:val="0"/>
          <w:spacing w:val="-2"/>
        </w:rPr>
        <w:t>for</w:t>
      </w:r>
      <w:r w:rsidR="00944763" w:rsidRPr="00D50397">
        <w:rPr>
          <w:rFonts w:cs="Arial"/>
          <w:b w:val="0"/>
          <w:spacing w:val="-2"/>
        </w:rPr>
        <w:t xml:space="preserve"> </w:t>
      </w:r>
      <w:r w:rsidR="0000333E">
        <w:rPr>
          <w:rFonts w:cs="Arial"/>
          <w:b w:val="0"/>
          <w:spacing w:val="-2"/>
        </w:rPr>
        <w:t xml:space="preserve">some of </w:t>
      </w:r>
      <w:r w:rsidR="00233130">
        <w:rPr>
          <w:rFonts w:cs="Arial"/>
          <w:b w:val="0"/>
          <w:spacing w:val="-2"/>
        </w:rPr>
        <w:t>the</w:t>
      </w:r>
      <w:r w:rsidR="00944763" w:rsidRPr="00D50397">
        <w:rPr>
          <w:rFonts w:cs="Arial"/>
          <w:b w:val="0"/>
          <w:spacing w:val="-2"/>
        </w:rPr>
        <w:t xml:space="preserve"> MTPs</w:t>
      </w:r>
      <w:r w:rsidR="00B02B64" w:rsidRPr="00D50397">
        <w:rPr>
          <w:rFonts w:cs="Arial"/>
          <w:b w:val="0"/>
          <w:spacing w:val="-2"/>
        </w:rPr>
        <w:t xml:space="preserve">. </w:t>
      </w:r>
      <w:r w:rsidR="0000186F" w:rsidRPr="00D50397">
        <w:rPr>
          <w:rFonts w:cs="Arial"/>
          <w:b w:val="0"/>
          <w:spacing w:val="-2"/>
        </w:rPr>
        <w:t xml:space="preserve"> </w:t>
      </w:r>
      <w:r w:rsidR="00646008" w:rsidRPr="00D50397">
        <w:rPr>
          <w:rFonts w:cs="Arial"/>
          <w:b w:val="0"/>
          <w:spacing w:val="-2"/>
        </w:rPr>
        <w:t>EPE</w:t>
      </w:r>
      <w:r w:rsidR="00B02B64" w:rsidRPr="00D50397">
        <w:rPr>
          <w:rFonts w:cs="Arial"/>
          <w:b w:val="0"/>
          <w:spacing w:val="-2"/>
        </w:rPr>
        <w:t xml:space="preserve"> invite</w:t>
      </w:r>
      <w:r w:rsidR="00646008" w:rsidRPr="00D50397">
        <w:rPr>
          <w:rFonts w:cs="Arial"/>
          <w:b w:val="0"/>
          <w:spacing w:val="-2"/>
        </w:rPr>
        <w:t>s</w:t>
      </w:r>
      <w:r w:rsidR="00B02B64" w:rsidRPr="00D50397">
        <w:rPr>
          <w:rFonts w:cs="Arial"/>
          <w:b w:val="0"/>
          <w:spacing w:val="-2"/>
        </w:rPr>
        <w:t xml:space="preserve"> </w:t>
      </w:r>
      <w:r w:rsidR="00F24145">
        <w:rPr>
          <w:rFonts w:cs="Arial"/>
          <w:b w:val="0"/>
          <w:spacing w:val="-2"/>
        </w:rPr>
        <w:t>the appropriate EESPs</w:t>
      </w:r>
      <w:r w:rsidR="00B02B64" w:rsidRPr="00D50397">
        <w:rPr>
          <w:rFonts w:cs="Arial"/>
          <w:b w:val="0"/>
          <w:spacing w:val="-2"/>
        </w:rPr>
        <w:t xml:space="preserve"> to participate in the workshops. </w:t>
      </w:r>
      <w:r w:rsidR="00A317D6" w:rsidRPr="00D50397">
        <w:rPr>
          <w:rFonts w:cs="Arial"/>
          <w:b w:val="0"/>
          <w:spacing w:val="-2"/>
        </w:rPr>
        <w:t xml:space="preserve">The workshops </w:t>
      </w:r>
      <w:r w:rsidR="00F24145">
        <w:rPr>
          <w:rFonts w:cs="Arial"/>
          <w:b w:val="0"/>
          <w:spacing w:val="-2"/>
          <w:szCs w:val="25"/>
        </w:rPr>
        <w:t>describe</w:t>
      </w:r>
      <w:r w:rsidR="00F24145" w:rsidRPr="00D50397">
        <w:rPr>
          <w:rFonts w:cs="Arial"/>
          <w:b w:val="0"/>
          <w:spacing w:val="-2"/>
          <w:szCs w:val="25"/>
        </w:rPr>
        <w:t xml:space="preserve"> </w:t>
      </w:r>
      <w:r w:rsidR="00F24145">
        <w:rPr>
          <w:rFonts w:cs="Arial"/>
          <w:b w:val="0"/>
          <w:spacing w:val="-2"/>
          <w:szCs w:val="25"/>
        </w:rPr>
        <w:t xml:space="preserve">the </w:t>
      </w:r>
      <w:r w:rsidR="00F24145" w:rsidRPr="00F9270C">
        <w:rPr>
          <w:rFonts w:cs="Arial"/>
          <w:b w:val="0"/>
          <w:szCs w:val="22"/>
        </w:rPr>
        <w:lastRenderedPageBreak/>
        <w:t>requirements for pro</w:t>
      </w:r>
      <w:r w:rsidR="00F24145">
        <w:rPr>
          <w:rFonts w:cs="Arial"/>
          <w:b w:val="0"/>
          <w:szCs w:val="22"/>
        </w:rPr>
        <w:t>gram</w:t>
      </w:r>
      <w:r w:rsidR="00F24145" w:rsidRPr="00F9270C">
        <w:rPr>
          <w:rFonts w:cs="Arial"/>
          <w:b w:val="0"/>
          <w:szCs w:val="22"/>
        </w:rPr>
        <w:t xml:space="preserve"> participation, project eligibility, end-use measure eligibility, incentive levels, application procedures, and available funding</w:t>
      </w:r>
      <w:r w:rsidR="00F24145">
        <w:rPr>
          <w:rFonts w:cs="Arial"/>
          <w:b w:val="0"/>
          <w:szCs w:val="22"/>
        </w:rPr>
        <w:t>.</w:t>
      </w:r>
    </w:p>
    <w:p w14:paraId="4832DEAA" w14:textId="77777777" w:rsidR="00D50397" w:rsidRPr="00981D9E" w:rsidRDefault="00D50397" w:rsidP="00911709">
      <w:pPr>
        <w:pStyle w:val="BodyText"/>
        <w:tabs>
          <w:tab w:val="num" w:pos="360"/>
        </w:tabs>
        <w:spacing w:before="0" w:after="0" w:line="240" w:lineRule="auto"/>
        <w:ind w:left="360" w:hanging="360"/>
        <w:rPr>
          <w:rFonts w:cs="Arial"/>
          <w:b w:val="0"/>
        </w:rPr>
      </w:pPr>
    </w:p>
    <w:p w14:paraId="6294F087" w14:textId="77777777" w:rsidR="000B679D" w:rsidRDefault="006340EF" w:rsidP="007265D8">
      <w:pPr>
        <w:pStyle w:val="BodyText"/>
        <w:numPr>
          <w:ilvl w:val="0"/>
          <w:numId w:val="5"/>
        </w:numPr>
        <w:tabs>
          <w:tab w:val="clear" w:pos="720"/>
          <w:tab w:val="num" w:pos="360"/>
        </w:tabs>
        <w:spacing w:before="0" w:after="0" w:line="240" w:lineRule="auto"/>
        <w:ind w:left="360"/>
        <w:rPr>
          <w:rFonts w:cs="Arial"/>
          <w:b w:val="0"/>
        </w:rPr>
      </w:pPr>
      <w:r w:rsidRPr="00981D9E">
        <w:rPr>
          <w:rFonts w:cs="Arial"/>
          <w:b w:val="0"/>
        </w:rPr>
        <w:t>EPE g</w:t>
      </w:r>
      <w:r w:rsidR="00B02B64" w:rsidRPr="00981D9E">
        <w:rPr>
          <w:rFonts w:cs="Arial"/>
          <w:b w:val="0"/>
        </w:rPr>
        <w:t>auge</w:t>
      </w:r>
      <w:r w:rsidR="00646008" w:rsidRPr="00981D9E">
        <w:rPr>
          <w:rFonts w:cs="Arial"/>
          <w:b w:val="0"/>
        </w:rPr>
        <w:t>s</w:t>
      </w:r>
      <w:r w:rsidR="00B02B64" w:rsidRPr="00981D9E">
        <w:rPr>
          <w:rFonts w:cs="Arial"/>
          <w:b w:val="0"/>
        </w:rPr>
        <w:t xml:space="preserve"> EESP interest in its workshops</w:t>
      </w:r>
      <w:r w:rsidR="00944763" w:rsidRPr="00981D9E">
        <w:rPr>
          <w:rFonts w:cs="Arial"/>
          <w:b w:val="0"/>
        </w:rPr>
        <w:t xml:space="preserve"> by participation</w:t>
      </w:r>
      <w:r w:rsidR="00F05A9F">
        <w:rPr>
          <w:rFonts w:cs="Arial"/>
          <w:b w:val="0"/>
        </w:rPr>
        <w:t xml:space="preserve"> levels</w:t>
      </w:r>
      <w:r w:rsidR="00B02B64" w:rsidRPr="00981D9E">
        <w:rPr>
          <w:rFonts w:cs="Arial"/>
          <w:b w:val="0"/>
        </w:rPr>
        <w:t>. If warranted, EPE will offer work</w:t>
      </w:r>
      <w:r w:rsidR="000E445E" w:rsidRPr="00981D9E">
        <w:rPr>
          <w:rFonts w:cs="Arial"/>
          <w:b w:val="0"/>
        </w:rPr>
        <w:t xml:space="preserve">shops </w:t>
      </w:r>
      <w:r w:rsidR="00F5658D" w:rsidRPr="00981D9E">
        <w:rPr>
          <w:rFonts w:cs="Arial"/>
          <w:b w:val="0"/>
        </w:rPr>
        <w:t>dedicated to specific</w:t>
      </w:r>
      <w:r w:rsidR="000E445E" w:rsidRPr="00981D9E">
        <w:rPr>
          <w:rFonts w:cs="Arial"/>
          <w:b w:val="0"/>
        </w:rPr>
        <w:t xml:space="preserve"> </w:t>
      </w:r>
      <w:r w:rsidR="00D10AFC">
        <w:rPr>
          <w:rFonts w:cs="Arial"/>
          <w:b w:val="0"/>
        </w:rPr>
        <w:t>measures</w:t>
      </w:r>
      <w:r w:rsidR="0000186F" w:rsidRPr="00981D9E">
        <w:rPr>
          <w:rFonts w:cs="Arial"/>
          <w:b w:val="0"/>
        </w:rPr>
        <w:t>.</w:t>
      </w:r>
    </w:p>
    <w:p w14:paraId="06DC63E8" w14:textId="77777777" w:rsidR="00D50397" w:rsidRPr="00981D9E" w:rsidRDefault="00D50397" w:rsidP="00911709">
      <w:pPr>
        <w:pStyle w:val="BodyText"/>
        <w:tabs>
          <w:tab w:val="num" w:pos="360"/>
        </w:tabs>
        <w:spacing w:before="0" w:after="0" w:line="240" w:lineRule="auto"/>
        <w:ind w:left="360" w:hanging="360"/>
        <w:rPr>
          <w:rFonts w:cs="Arial"/>
          <w:b w:val="0"/>
        </w:rPr>
      </w:pPr>
    </w:p>
    <w:p w14:paraId="4FF16E3B" w14:textId="77777777" w:rsidR="00005934" w:rsidRDefault="00005934" w:rsidP="007265D8">
      <w:pPr>
        <w:pStyle w:val="BodyText"/>
        <w:numPr>
          <w:ilvl w:val="0"/>
          <w:numId w:val="5"/>
        </w:numPr>
        <w:tabs>
          <w:tab w:val="clear" w:pos="720"/>
          <w:tab w:val="num" w:pos="360"/>
        </w:tabs>
        <w:spacing w:before="0" w:after="0" w:line="240" w:lineRule="auto"/>
        <w:ind w:left="360"/>
        <w:rPr>
          <w:rFonts w:cs="Arial"/>
          <w:b w:val="0"/>
        </w:rPr>
      </w:pPr>
      <w:r w:rsidRPr="00005934">
        <w:rPr>
          <w:rFonts w:cs="Arial"/>
          <w:b w:val="0"/>
        </w:rPr>
        <w:t xml:space="preserve">EPE includes </w:t>
      </w:r>
      <w:r w:rsidR="000F4BC0">
        <w:rPr>
          <w:rFonts w:cs="Arial"/>
          <w:b w:val="0"/>
        </w:rPr>
        <w:t>information on the availability of energy efficiency programs several times a year through the monthly newsletter that is included in customer</w:t>
      </w:r>
      <w:r w:rsidR="00B37691">
        <w:rPr>
          <w:rFonts w:cs="Arial"/>
          <w:b w:val="0"/>
        </w:rPr>
        <w:t>s’</w:t>
      </w:r>
      <w:r w:rsidR="000F4BC0">
        <w:rPr>
          <w:rFonts w:cs="Arial"/>
          <w:b w:val="0"/>
        </w:rPr>
        <w:t xml:space="preserve"> </w:t>
      </w:r>
      <w:r w:rsidRPr="00005934">
        <w:rPr>
          <w:rFonts w:cs="Arial"/>
          <w:b w:val="0"/>
        </w:rPr>
        <w:t>bill</w:t>
      </w:r>
      <w:r w:rsidR="000F4BC0">
        <w:rPr>
          <w:rFonts w:cs="Arial"/>
          <w:b w:val="0"/>
        </w:rPr>
        <w:t>s.</w:t>
      </w:r>
    </w:p>
    <w:p w14:paraId="7C1EBB0D" w14:textId="77777777" w:rsidR="00005934" w:rsidRDefault="00005934" w:rsidP="00911709">
      <w:pPr>
        <w:pStyle w:val="BodyText"/>
        <w:spacing w:before="0" w:after="0" w:line="240" w:lineRule="auto"/>
        <w:rPr>
          <w:rFonts w:cs="Arial"/>
          <w:b w:val="0"/>
        </w:rPr>
      </w:pPr>
    </w:p>
    <w:p w14:paraId="41FAD7F6" w14:textId="77777777" w:rsidR="00B37691" w:rsidRPr="00B37691" w:rsidRDefault="00005934" w:rsidP="007265D8">
      <w:pPr>
        <w:pStyle w:val="BodyText"/>
        <w:numPr>
          <w:ilvl w:val="0"/>
          <w:numId w:val="5"/>
        </w:numPr>
        <w:tabs>
          <w:tab w:val="clear" w:pos="720"/>
          <w:tab w:val="num" w:pos="360"/>
        </w:tabs>
        <w:spacing w:before="0" w:after="0" w:line="240" w:lineRule="auto"/>
        <w:ind w:left="360"/>
        <w:rPr>
          <w:rFonts w:cs="Arial"/>
          <w:b w:val="0"/>
        </w:rPr>
      </w:pPr>
      <w:r>
        <w:rPr>
          <w:rFonts w:cs="Arial"/>
          <w:b w:val="0"/>
        </w:rPr>
        <w:t xml:space="preserve">EPE maintains a dedicated </w:t>
      </w:r>
      <w:r w:rsidR="000F4BC0">
        <w:rPr>
          <w:rFonts w:cs="Arial"/>
          <w:b w:val="0"/>
        </w:rPr>
        <w:t>e</w:t>
      </w:r>
      <w:r w:rsidR="0019361E">
        <w:rPr>
          <w:rFonts w:cs="Arial"/>
          <w:b w:val="0"/>
        </w:rPr>
        <w:t xml:space="preserve">nergy </w:t>
      </w:r>
      <w:r w:rsidR="000F4BC0">
        <w:rPr>
          <w:rFonts w:cs="Arial"/>
          <w:b w:val="0"/>
        </w:rPr>
        <w:t>e</w:t>
      </w:r>
      <w:r w:rsidR="0019361E">
        <w:rPr>
          <w:rFonts w:cs="Arial"/>
          <w:b w:val="0"/>
        </w:rPr>
        <w:t xml:space="preserve">fficiency </w:t>
      </w:r>
      <w:r>
        <w:rPr>
          <w:rFonts w:cs="Arial"/>
          <w:b w:val="0"/>
        </w:rPr>
        <w:t xml:space="preserve">phone line to provide customers with direct access to </w:t>
      </w:r>
      <w:r w:rsidR="00025BE7">
        <w:rPr>
          <w:rFonts w:cs="Arial"/>
          <w:b w:val="0"/>
        </w:rPr>
        <w:t>energy efficiency</w:t>
      </w:r>
      <w:r>
        <w:rPr>
          <w:rFonts w:cs="Arial"/>
          <w:b w:val="0"/>
        </w:rPr>
        <w:t xml:space="preserve"> personnel on</w:t>
      </w:r>
      <w:r>
        <w:rPr>
          <w:rFonts w:cs="Arial"/>
          <w:b w:val="0"/>
          <w:szCs w:val="22"/>
        </w:rPr>
        <w:t xml:space="preserve"> program availability, participation requirements,</w:t>
      </w:r>
      <w:r w:rsidRPr="00F9270C">
        <w:rPr>
          <w:rFonts w:cs="Arial"/>
          <w:b w:val="0"/>
          <w:szCs w:val="22"/>
        </w:rPr>
        <w:t xml:space="preserve"> incentive levels, application procedures, and available funding</w:t>
      </w:r>
      <w:r>
        <w:rPr>
          <w:rFonts w:cs="Arial"/>
          <w:b w:val="0"/>
          <w:szCs w:val="22"/>
        </w:rPr>
        <w:t>.</w:t>
      </w:r>
    </w:p>
    <w:p w14:paraId="4F3BC41E" w14:textId="77777777" w:rsidR="00B37691" w:rsidRDefault="00B37691" w:rsidP="00B37691">
      <w:pPr>
        <w:pStyle w:val="BodyText"/>
        <w:spacing w:before="0" w:after="0" w:line="240" w:lineRule="auto"/>
        <w:rPr>
          <w:rFonts w:cs="Arial"/>
          <w:b w:val="0"/>
        </w:rPr>
      </w:pPr>
    </w:p>
    <w:p w14:paraId="42DFA53D" w14:textId="77777777" w:rsidR="00B37691" w:rsidRPr="00B37691" w:rsidRDefault="00B37691" w:rsidP="007265D8">
      <w:pPr>
        <w:pStyle w:val="BodyText"/>
        <w:numPr>
          <w:ilvl w:val="0"/>
          <w:numId w:val="5"/>
        </w:numPr>
        <w:tabs>
          <w:tab w:val="clear" w:pos="720"/>
          <w:tab w:val="num" w:pos="360"/>
        </w:tabs>
        <w:spacing w:before="0" w:after="0" w:line="240" w:lineRule="auto"/>
        <w:ind w:left="360"/>
        <w:rPr>
          <w:rFonts w:cs="Arial"/>
          <w:b w:val="0"/>
        </w:rPr>
      </w:pPr>
      <w:r>
        <w:rPr>
          <w:rFonts w:cs="Arial"/>
          <w:b w:val="0"/>
        </w:rPr>
        <w:t>EPE maintains a dedicated energy efficiency e-mail address to allow customers to contact energy efficiency personnel directly.</w:t>
      </w:r>
    </w:p>
    <w:p w14:paraId="18D2F60C" w14:textId="77777777" w:rsidR="00005934" w:rsidRPr="00005934" w:rsidRDefault="00005934" w:rsidP="00911709">
      <w:pPr>
        <w:pStyle w:val="BodyText"/>
        <w:spacing w:before="0" w:after="0" w:line="240" w:lineRule="auto"/>
        <w:rPr>
          <w:rFonts w:cs="Arial"/>
          <w:b w:val="0"/>
        </w:rPr>
      </w:pPr>
    </w:p>
    <w:p w14:paraId="7035D883" w14:textId="77777777" w:rsidR="000B679D" w:rsidRPr="00B47CB5" w:rsidRDefault="006340EF" w:rsidP="007265D8">
      <w:pPr>
        <w:pStyle w:val="BodyText"/>
        <w:numPr>
          <w:ilvl w:val="0"/>
          <w:numId w:val="5"/>
        </w:numPr>
        <w:tabs>
          <w:tab w:val="clear" w:pos="720"/>
          <w:tab w:val="num" w:pos="360"/>
        </w:tabs>
        <w:spacing w:before="0" w:after="0" w:line="240" w:lineRule="auto"/>
        <w:ind w:left="360"/>
        <w:rPr>
          <w:rFonts w:cs="Arial"/>
          <w:b w:val="0"/>
        </w:rPr>
      </w:pPr>
      <w:r w:rsidRPr="00981D9E">
        <w:rPr>
          <w:rFonts w:cs="Arial"/>
          <w:b w:val="0"/>
        </w:rPr>
        <w:t>EPE u</w:t>
      </w:r>
      <w:r w:rsidR="00A317D6" w:rsidRPr="00981D9E">
        <w:rPr>
          <w:rFonts w:cs="Arial"/>
          <w:b w:val="0"/>
        </w:rPr>
        <w:t>tilizes mass electronic mail (e-mail</w:t>
      </w:r>
      <w:r w:rsidR="00033E86" w:rsidRPr="00981D9E">
        <w:rPr>
          <w:rFonts w:cs="Arial"/>
          <w:b w:val="0"/>
        </w:rPr>
        <w:t xml:space="preserve"> and webinar</w:t>
      </w:r>
      <w:r w:rsidR="00A317D6" w:rsidRPr="00981D9E">
        <w:rPr>
          <w:rFonts w:cs="Arial"/>
          <w:b w:val="0"/>
        </w:rPr>
        <w:t>) notifications to keep potential project sponsors interested and informed</w:t>
      </w:r>
      <w:r w:rsidR="0000186F" w:rsidRPr="00981D9E">
        <w:rPr>
          <w:rFonts w:cs="Arial"/>
          <w:b w:val="0"/>
        </w:rPr>
        <w:t>.</w:t>
      </w:r>
      <w:r w:rsidR="00A317D6" w:rsidRPr="00981D9E">
        <w:rPr>
          <w:rFonts w:cs="Arial"/>
          <w:b w:val="0"/>
          <w:szCs w:val="13"/>
        </w:rPr>
        <w:t xml:space="preserve"> </w:t>
      </w:r>
    </w:p>
    <w:p w14:paraId="5CC01598" w14:textId="77777777" w:rsidR="00B47CB5" w:rsidRPr="00981D9E" w:rsidRDefault="00B47CB5" w:rsidP="00911709">
      <w:pPr>
        <w:pStyle w:val="BodyText"/>
        <w:spacing w:before="0" w:after="0" w:line="240" w:lineRule="auto"/>
        <w:rPr>
          <w:rFonts w:cs="Arial"/>
          <w:b w:val="0"/>
        </w:rPr>
      </w:pPr>
    </w:p>
    <w:p w14:paraId="500959BC" w14:textId="77777777" w:rsidR="00C30FC1" w:rsidRPr="00981D9E" w:rsidRDefault="001904AE" w:rsidP="00911709">
      <w:pPr>
        <w:pStyle w:val="Heading2"/>
        <w:keepNext w:val="0"/>
        <w:tabs>
          <w:tab w:val="num" w:pos="0"/>
        </w:tabs>
        <w:spacing w:before="0" w:after="0"/>
        <w:rPr>
          <w:rFonts w:cs="Arial"/>
          <w:spacing w:val="0"/>
        </w:rPr>
      </w:pPr>
      <w:bookmarkStart w:id="17" w:name="_Toc190729543"/>
      <w:bookmarkStart w:id="18" w:name="_Toc509500757"/>
      <w:r w:rsidRPr="00981D9E">
        <w:rPr>
          <w:rFonts w:cs="Arial"/>
          <w:spacing w:val="0"/>
        </w:rPr>
        <w:t xml:space="preserve">Existing </w:t>
      </w:r>
      <w:r w:rsidR="00393D46">
        <w:rPr>
          <w:rFonts w:cs="Arial"/>
          <w:spacing w:val="0"/>
        </w:rPr>
        <w:t>Demand Side Management (</w:t>
      </w:r>
      <w:r w:rsidRPr="00981D9E">
        <w:rPr>
          <w:rFonts w:cs="Arial"/>
          <w:spacing w:val="0"/>
        </w:rPr>
        <w:t>DSM</w:t>
      </w:r>
      <w:r w:rsidR="00393D46">
        <w:rPr>
          <w:rFonts w:cs="Arial"/>
          <w:spacing w:val="0"/>
        </w:rPr>
        <w:t>)</w:t>
      </w:r>
      <w:r w:rsidRPr="00981D9E">
        <w:rPr>
          <w:rFonts w:cs="Arial"/>
          <w:spacing w:val="0"/>
        </w:rPr>
        <w:t xml:space="preserve"> Contracts or Obligations</w:t>
      </w:r>
      <w:bookmarkEnd w:id="17"/>
      <w:bookmarkEnd w:id="18"/>
    </w:p>
    <w:p w14:paraId="5A873DF7" w14:textId="77777777" w:rsidR="004F4395" w:rsidRPr="003A781B" w:rsidRDefault="004F4395" w:rsidP="00911709">
      <w:pPr>
        <w:pStyle w:val="ListBullet"/>
        <w:spacing w:before="0" w:after="0" w:line="240" w:lineRule="auto"/>
        <w:jc w:val="both"/>
        <w:rPr>
          <w:rFonts w:ascii="Arial" w:hAnsi="Arial" w:cs="Arial"/>
          <w:b w:val="0"/>
          <w:sz w:val="22"/>
          <w:szCs w:val="22"/>
        </w:rPr>
      </w:pPr>
    </w:p>
    <w:p w14:paraId="11611E8D" w14:textId="77777777" w:rsidR="004F4395" w:rsidRPr="003A781B" w:rsidRDefault="004F4395" w:rsidP="00911709">
      <w:pPr>
        <w:pStyle w:val="ListBullet"/>
        <w:spacing w:before="0" w:after="0" w:line="240" w:lineRule="auto"/>
        <w:jc w:val="both"/>
        <w:rPr>
          <w:rFonts w:ascii="Arial" w:hAnsi="Arial" w:cs="Arial"/>
          <w:b w:val="0"/>
          <w:sz w:val="22"/>
          <w:szCs w:val="22"/>
        </w:rPr>
      </w:pPr>
      <w:r w:rsidRPr="003A781B">
        <w:rPr>
          <w:rFonts w:ascii="Arial" w:hAnsi="Arial" w:cs="Arial"/>
          <w:b w:val="0"/>
          <w:sz w:val="22"/>
          <w:szCs w:val="22"/>
        </w:rPr>
        <w:t xml:space="preserve">EPE </w:t>
      </w:r>
      <w:r w:rsidR="00B20733">
        <w:rPr>
          <w:rFonts w:ascii="Arial" w:hAnsi="Arial" w:cs="Arial"/>
          <w:b w:val="0"/>
          <w:sz w:val="22"/>
          <w:szCs w:val="22"/>
        </w:rPr>
        <w:t>will continue its</w:t>
      </w:r>
      <w:r w:rsidRPr="003A781B">
        <w:rPr>
          <w:rFonts w:ascii="Arial" w:hAnsi="Arial" w:cs="Arial"/>
          <w:b w:val="0"/>
          <w:sz w:val="22"/>
          <w:szCs w:val="22"/>
        </w:rPr>
        <w:t xml:space="preserve"> agreement with CLEAResult to </w:t>
      </w:r>
      <w:r>
        <w:rPr>
          <w:rFonts w:ascii="Arial" w:hAnsi="Arial" w:cs="Arial"/>
          <w:b w:val="0"/>
          <w:sz w:val="22"/>
          <w:szCs w:val="22"/>
        </w:rPr>
        <w:t>implement</w:t>
      </w:r>
      <w:r w:rsidRPr="003A781B">
        <w:rPr>
          <w:rFonts w:ascii="Arial" w:hAnsi="Arial" w:cs="Arial"/>
          <w:b w:val="0"/>
          <w:sz w:val="22"/>
          <w:szCs w:val="22"/>
        </w:rPr>
        <w:t xml:space="preserve"> EPE's Texas SCORE MTP and the four "Solutions" MTPs.</w:t>
      </w:r>
    </w:p>
    <w:p w14:paraId="55DDB753" w14:textId="77777777" w:rsidR="004F4395" w:rsidRPr="003A781B" w:rsidRDefault="004F4395" w:rsidP="00911709">
      <w:pPr>
        <w:pStyle w:val="ListBullet"/>
        <w:spacing w:before="0" w:after="0" w:line="240" w:lineRule="auto"/>
        <w:jc w:val="both"/>
        <w:rPr>
          <w:rFonts w:ascii="Arial" w:hAnsi="Arial" w:cs="Arial"/>
          <w:b w:val="0"/>
          <w:sz w:val="22"/>
          <w:szCs w:val="22"/>
        </w:rPr>
      </w:pPr>
    </w:p>
    <w:p w14:paraId="35CEDC85" w14:textId="77777777" w:rsidR="00D31B1B" w:rsidRDefault="00D31B1B" w:rsidP="00911709">
      <w:pPr>
        <w:pStyle w:val="BodyText"/>
        <w:spacing w:before="0" w:after="0" w:line="240" w:lineRule="auto"/>
        <w:rPr>
          <w:rFonts w:cs="Arial"/>
          <w:b w:val="0"/>
          <w:szCs w:val="22"/>
        </w:rPr>
      </w:pPr>
      <w:r w:rsidRPr="003A781B">
        <w:rPr>
          <w:rFonts w:cs="Arial"/>
          <w:b w:val="0"/>
          <w:szCs w:val="22"/>
        </w:rPr>
        <w:t xml:space="preserve">EPE </w:t>
      </w:r>
      <w:r w:rsidR="00B20733">
        <w:rPr>
          <w:rFonts w:cs="Arial"/>
          <w:b w:val="0"/>
          <w:szCs w:val="22"/>
        </w:rPr>
        <w:t xml:space="preserve">will continue its </w:t>
      </w:r>
      <w:r w:rsidRPr="003A781B">
        <w:rPr>
          <w:rFonts w:cs="Arial"/>
          <w:b w:val="0"/>
          <w:szCs w:val="22"/>
        </w:rPr>
        <w:t>agreement with Resource Action Programs to offer EPE's LivingWise</w:t>
      </w:r>
      <w:r w:rsidRPr="001F061D">
        <w:rPr>
          <w:b w:val="0"/>
          <w:vertAlign w:val="superscript"/>
        </w:rPr>
        <w:t>®</w:t>
      </w:r>
      <w:r w:rsidRPr="003A781B">
        <w:rPr>
          <w:rFonts w:cs="Arial"/>
          <w:b w:val="0"/>
          <w:szCs w:val="22"/>
        </w:rPr>
        <w:t xml:space="preserve"> MTP</w:t>
      </w:r>
      <w:r>
        <w:rPr>
          <w:rFonts w:cs="Arial"/>
          <w:b w:val="0"/>
          <w:szCs w:val="22"/>
        </w:rPr>
        <w:t>.</w:t>
      </w:r>
    </w:p>
    <w:p w14:paraId="5BEEAD56" w14:textId="77777777" w:rsidR="00D31B1B" w:rsidRDefault="00D31B1B" w:rsidP="00911709">
      <w:pPr>
        <w:pStyle w:val="BodyText"/>
        <w:spacing w:before="0" w:after="0" w:line="240" w:lineRule="auto"/>
        <w:rPr>
          <w:rFonts w:cs="Arial"/>
          <w:b w:val="0"/>
          <w:szCs w:val="22"/>
        </w:rPr>
      </w:pPr>
    </w:p>
    <w:p w14:paraId="4F612022" w14:textId="77777777" w:rsidR="0000333E" w:rsidRPr="00E14BE9" w:rsidRDefault="0000333E" w:rsidP="0000333E">
      <w:pPr>
        <w:pStyle w:val="ListBullet"/>
        <w:spacing w:before="0" w:after="0" w:line="240" w:lineRule="auto"/>
        <w:jc w:val="both"/>
        <w:rPr>
          <w:rFonts w:ascii="Arial" w:hAnsi="Arial" w:cs="Arial"/>
          <w:b w:val="0"/>
          <w:sz w:val="22"/>
          <w:szCs w:val="22"/>
        </w:rPr>
      </w:pPr>
      <w:r>
        <w:rPr>
          <w:rFonts w:ascii="Arial" w:hAnsi="Arial" w:cs="Arial"/>
          <w:b w:val="0"/>
          <w:sz w:val="22"/>
          <w:szCs w:val="22"/>
        </w:rPr>
        <w:t>EPE will continue its agreement with EnergyHub, Inc. (EnergyHub) to implement the DRPP MTP.</w:t>
      </w:r>
    </w:p>
    <w:p w14:paraId="5C1A872D" w14:textId="77777777" w:rsidR="0000333E" w:rsidRDefault="0000333E" w:rsidP="0000333E">
      <w:pPr>
        <w:pStyle w:val="ListBullet"/>
        <w:spacing w:before="0" w:after="0" w:line="240" w:lineRule="auto"/>
        <w:rPr>
          <w:rFonts w:cs="Arial"/>
          <w:b w:val="0"/>
          <w:szCs w:val="22"/>
        </w:rPr>
      </w:pPr>
    </w:p>
    <w:p w14:paraId="3E11E43B" w14:textId="65CAED5F" w:rsidR="00732F8D" w:rsidRDefault="0000333E" w:rsidP="003C6CC9">
      <w:pPr>
        <w:pStyle w:val="ListBullet"/>
        <w:spacing w:before="0" w:after="0" w:line="240" w:lineRule="auto"/>
        <w:jc w:val="both"/>
        <w:rPr>
          <w:rFonts w:ascii="Arial" w:hAnsi="Arial" w:cs="Arial"/>
          <w:b w:val="0"/>
          <w:sz w:val="22"/>
          <w:szCs w:val="22"/>
        </w:rPr>
      </w:pPr>
      <w:r>
        <w:rPr>
          <w:rFonts w:ascii="Arial" w:hAnsi="Arial" w:cs="Arial"/>
          <w:b w:val="0"/>
          <w:sz w:val="22"/>
          <w:szCs w:val="22"/>
        </w:rPr>
        <w:t>EPE executed an agreement with ARCA Recycling, Inc. (ARCA) to implement the Texas Appliance Recycling MTP.</w:t>
      </w:r>
    </w:p>
    <w:p w14:paraId="35015544" w14:textId="77777777" w:rsidR="003C6CC9" w:rsidRPr="009F4849" w:rsidRDefault="003C6CC9" w:rsidP="003C6CC9">
      <w:pPr>
        <w:pStyle w:val="ListBullet"/>
        <w:spacing w:before="0" w:after="0" w:line="240" w:lineRule="auto"/>
        <w:jc w:val="both"/>
        <w:rPr>
          <w:rFonts w:cs="Arial"/>
          <w:b w:val="0"/>
          <w:szCs w:val="22"/>
        </w:rPr>
      </w:pPr>
    </w:p>
    <w:p w14:paraId="4F6D7E14" w14:textId="77777777" w:rsidR="005F434F" w:rsidRPr="000E3E92" w:rsidRDefault="005F434F" w:rsidP="00911709">
      <w:pPr>
        <w:pStyle w:val="Heading1"/>
        <w:tabs>
          <w:tab w:val="clear" w:pos="360"/>
          <w:tab w:val="num" w:pos="720"/>
        </w:tabs>
        <w:spacing w:before="0" w:after="0"/>
        <w:rPr>
          <w:spacing w:val="0"/>
        </w:rPr>
      </w:pPr>
      <w:bookmarkStart w:id="19" w:name="_Toc349642578"/>
      <w:bookmarkStart w:id="20" w:name="_Toc509500758"/>
      <w:bookmarkStart w:id="21" w:name="_Toc190729538"/>
      <w:r w:rsidRPr="000E3E92">
        <w:rPr>
          <w:spacing w:val="0"/>
        </w:rPr>
        <w:t>Customer Classes</w:t>
      </w:r>
      <w:bookmarkEnd w:id="19"/>
      <w:bookmarkEnd w:id="20"/>
    </w:p>
    <w:p w14:paraId="368AAC85" w14:textId="77777777" w:rsidR="00732F8D" w:rsidRDefault="00732F8D" w:rsidP="00911709">
      <w:pPr>
        <w:pStyle w:val="BodyText"/>
        <w:spacing w:before="0" w:after="0" w:line="240" w:lineRule="auto"/>
        <w:rPr>
          <w:rFonts w:cs="Arial"/>
          <w:b w:val="0"/>
        </w:rPr>
      </w:pPr>
    </w:p>
    <w:p w14:paraId="01092956" w14:textId="3CFCA7E6" w:rsidR="005F434F" w:rsidRPr="00DA233F" w:rsidRDefault="005F434F" w:rsidP="00911709">
      <w:pPr>
        <w:pStyle w:val="BodyText"/>
        <w:spacing w:before="0" w:after="0" w:line="240" w:lineRule="auto"/>
        <w:rPr>
          <w:rFonts w:cs="Arial"/>
          <w:b w:val="0"/>
        </w:rPr>
      </w:pPr>
      <w:r>
        <w:rPr>
          <w:rFonts w:cs="Arial"/>
          <w:b w:val="0"/>
        </w:rPr>
        <w:t xml:space="preserve">For the twelve months </w:t>
      </w:r>
      <w:r w:rsidR="00E26FCD">
        <w:rPr>
          <w:rFonts w:cs="Arial"/>
          <w:b w:val="0"/>
        </w:rPr>
        <w:t xml:space="preserve">ending </w:t>
      </w:r>
      <w:r>
        <w:rPr>
          <w:rFonts w:cs="Arial"/>
          <w:b w:val="0"/>
        </w:rPr>
        <w:t xml:space="preserve">December </w:t>
      </w:r>
      <w:r w:rsidR="00E66CE5">
        <w:rPr>
          <w:rFonts w:cs="Arial"/>
          <w:b w:val="0"/>
        </w:rPr>
        <w:t>201</w:t>
      </w:r>
      <w:r w:rsidR="007248BE">
        <w:rPr>
          <w:rFonts w:cs="Arial"/>
          <w:b w:val="0"/>
        </w:rPr>
        <w:t>7</w:t>
      </w:r>
      <w:r>
        <w:rPr>
          <w:rFonts w:cs="Arial"/>
          <w:b w:val="0"/>
        </w:rPr>
        <w:t>, t</w:t>
      </w:r>
      <w:r w:rsidRPr="00D50397">
        <w:rPr>
          <w:rFonts w:cs="Arial"/>
          <w:b w:val="0"/>
        </w:rPr>
        <w:t xml:space="preserve">here </w:t>
      </w:r>
      <w:r>
        <w:rPr>
          <w:rFonts w:cs="Arial"/>
          <w:b w:val="0"/>
        </w:rPr>
        <w:t xml:space="preserve">was an average of </w:t>
      </w:r>
      <w:r w:rsidR="000D36FF">
        <w:rPr>
          <w:rFonts w:cs="Arial"/>
          <w:b w:val="0"/>
        </w:rPr>
        <w:t>282,153</w:t>
      </w:r>
      <w:r w:rsidRPr="00D50397">
        <w:rPr>
          <w:rFonts w:cs="Arial"/>
          <w:b w:val="0"/>
        </w:rPr>
        <w:t xml:space="preserve"> residential </w:t>
      </w:r>
      <w:r w:rsidRPr="00132CE4">
        <w:rPr>
          <w:rFonts w:cs="Arial"/>
          <w:b w:val="0"/>
        </w:rPr>
        <w:t xml:space="preserve">accounts in the EPE Texas service </w:t>
      </w:r>
      <w:r w:rsidR="00E26FCD" w:rsidRPr="00132CE4">
        <w:rPr>
          <w:rFonts w:cs="Arial"/>
          <w:b w:val="0"/>
        </w:rPr>
        <w:t>territory</w:t>
      </w:r>
      <w:r w:rsidRPr="00132CE4">
        <w:rPr>
          <w:rFonts w:cs="Arial"/>
          <w:b w:val="0"/>
        </w:rPr>
        <w:t xml:space="preserve">.  </w:t>
      </w:r>
      <w:r w:rsidR="00BA71C8" w:rsidRPr="00132CE4">
        <w:rPr>
          <w:rFonts w:cs="Arial"/>
          <w:b w:val="0"/>
        </w:rPr>
        <w:t>Based on the</w:t>
      </w:r>
      <w:r w:rsidR="00E26FCD" w:rsidRPr="00132CE4">
        <w:rPr>
          <w:rFonts w:cs="Arial"/>
          <w:b w:val="0"/>
        </w:rPr>
        <w:t xml:space="preserve"> </w:t>
      </w:r>
      <w:r w:rsidR="00E66CE5">
        <w:rPr>
          <w:rFonts w:cs="Arial"/>
          <w:b w:val="0"/>
        </w:rPr>
        <w:t>201</w:t>
      </w:r>
      <w:r w:rsidR="007248BE">
        <w:rPr>
          <w:rFonts w:cs="Arial"/>
          <w:b w:val="0"/>
        </w:rPr>
        <w:t>7</w:t>
      </w:r>
      <w:r w:rsidR="00E66CE5">
        <w:rPr>
          <w:rFonts w:cs="Arial"/>
          <w:b w:val="0"/>
        </w:rPr>
        <w:t xml:space="preserve"> </w:t>
      </w:r>
      <w:r w:rsidR="00626C49">
        <w:rPr>
          <w:rFonts w:cs="Arial"/>
          <w:b w:val="0"/>
        </w:rPr>
        <w:t xml:space="preserve">Annual Social and Economic Supplement of the </w:t>
      </w:r>
      <w:r w:rsidR="00E26FCD" w:rsidRPr="00132CE4">
        <w:rPr>
          <w:rFonts w:cs="Arial"/>
          <w:b w:val="0"/>
        </w:rPr>
        <w:t xml:space="preserve">U.S. Census Bureau’s </w:t>
      </w:r>
      <w:r w:rsidR="00842DA3" w:rsidRPr="00132CE4">
        <w:rPr>
          <w:rFonts w:cs="Arial"/>
          <w:b w:val="0"/>
        </w:rPr>
        <w:t xml:space="preserve">Current Population </w:t>
      </w:r>
      <w:r w:rsidR="00E26FCD" w:rsidRPr="00132CE4">
        <w:rPr>
          <w:rFonts w:cs="Arial"/>
          <w:b w:val="0"/>
        </w:rPr>
        <w:t xml:space="preserve">Survey, </w:t>
      </w:r>
      <w:r w:rsidR="005E7E83">
        <w:rPr>
          <w:rFonts w:cs="Arial"/>
          <w:b w:val="0"/>
        </w:rPr>
        <w:t>31.7</w:t>
      </w:r>
      <w:r w:rsidR="00E26FCD" w:rsidRPr="000D36FF">
        <w:rPr>
          <w:rFonts w:cs="Arial"/>
          <w:b w:val="0"/>
        </w:rPr>
        <w:t>%</w:t>
      </w:r>
      <w:r w:rsidR="00E26FCD" w:rsidRPr="00132CE4">
        <w:rPr>
          <w:rFonts w:cs="Arial"/>
          <w:b w:val="0"/>
        </w:rPr>
        <w:t xml:space="preserve"> of </w:t>
      </w:r>
      <w:r w:rsidR="00842DA3" w:rsidRPr="00132CE4">
        <w:rPr>
          <w:rFonts w:cs="Arial"/>
          <w:b w:val="0"/>
        </w:rPr>
        <w:t>Texas familie</w:t>
      </w:r>
      <w:r w:rsidR="00E26FCD" w:rsidRPr="00132CE4">
        <w:rPr>
          <w:rFonts w:cs="Arial"/>
          <w:b w:val="0"/>
        </w:rPr>
        <w:t xml:space="preserve">s are </w:t>
      </w:r>
      <w:r w:rsidR="00B50EA3" w:rsidRPr="00132CE4">
        <w:rPr>
          <w:rFonts w:cs="Arial"/>
          <w:b w:val="0"/>
        </w:rPr>
        <w:t xml:space="preserve">at or </w:t>
      </w:r>
      <w:r w:rsidR="00E26FCD" w:rsidRPr="00132CE4">
        <w:rPr>
          <w:rFonts w:cs="Arial"/>
          <w:b w:val="0"/>
        </w:rPr>
        <w:t xml:space="preserve">below 200% of the </w:t>
      </w:r>
      <w:r w:rsidR="00842DA3" w:rsidRPr="00132CE4">
        <w:rPr>
          <w:rFonts w:cs="Arial"/>
          <w:b w:val="0"/>
        </w:rPr>
        <w:t>poverty threshold</w:t>
      </w:r>
      <w:r w:rsidR="00E26FCD" w:rsidRPr="00132CE4">
        <w:rPr>
          <w:rFonts w:cs="Arial"/>
          <w:b w:val="0"/>
        </w:rPr>
        <w:t xml:space="preserve">. </w:t>
      </w:r>
      <w:r w:rsidR="006F0201">
        <w:rPr>
          <w:rFonts w:cs="Arial"/>
          <w:b w:val="0"/>
        </w:rPr>
        <w:t xml:space="preserve">Applying this standard pursuant to 16 TAC §25.181(c)(27), </w:t>
      </w:r>
      <w:r w:rsidR="00E26FCD" w:rsidRPr="00132CE4">
        <w:rPr>
          <w:rFonts w:cs="Arial"/>
          <w:b w:val="0"/>
        </w:rPr>
        <w:t xml:space="preserve">approximately </w:t>
      </w:r>
      <w:r w:rsidR="000D36FF">
        <w:rPr>
          <w:rFonts w:cs="Arial"/>
          <w:b w:val="0"/>
        </w:rPr>
        <w:t>89,442</w:t>
      </w:r>
      <w:r w:rsidR="00E26FCD" w:rsidRPr="00132CE4">
        <w:rPr>
          <w:rFonts w:cs="Arial"/>
          <w:b w:val="0"/>
        </w:rPr>
        <w:t xml:space="preserve"> of EPE’s residential accounts fall into the Hard-to-Reach Customer Class.</w:t>
      </w:r>
      <w:r w:rsidRPr="00132CE4">
        <w:rPr>
          <w:rFonts w:cs="Arial"/>
          <w:b w:val="0"/>
        </w:rPr>
        <w:t xml:space="preserve"> </w:t>
      </w:r>
      <w:r w:rsidR="00897B0B" w:rsidRPr="00132CE4">
        <w:rPr>
          <w:rFonts w:cs="Arial"/>
          <w:b w:val="0"/>
        </w:rPr>
        <w:t>T</w:t>
      </w:r>
      <w:r w:rsidRPr="00132CE4">
        <w:rPr>
          <w:rFonts w:cs="Arial"/>
          <w:b w:val="0"/>
        </w:rPr>
        <w:t xml:space="preserve">he </w:t>
      </w:r>
      <w:r w:rsidR="003872E4" w:rsidRPr="00132CE4">
        <w:rPr>
          <w:rFonts w:cs="Arial"/>
          <w:b w:val="0"/>
        </w:rPr>
        <w:t>average</w:t>
      </w:r>
      <w:r w:rsidR="00E26FCD" w:rsidRPr="00132CE4">
        <w:rPr>
          <w:rFonts w:cs="Arial"/>
          <w:b w:val="0"/>
        </w:rPr>
        <w:t xml:space="preserve"> number of commercial accounts for this same time period was</w:t>
      </w:r>
      <w:r w:rsidR="00233130">
        <w:rPr>
          <w:rFonts w:cs="Arial"/>
          <w:b w:val="0"/>
        </w:rPr>
        <w:t xml:space="preserve"> </w:t>
      </w:r>
      <w:r w:rsidR="000D36FF" w:rsidRPr="00E80179">
        <w:rPr>
          <w:rFonts w:cs="Arial"/>
          <w:b w:val="0"/>
        </w:rPr>
        <w:t>31,</w:t>
      </w:r>
      <w:r w:rsidR="00A067FE" w:rsidRPr="00E80179">
        <w:rPr>
          <w:rFonts w:cs="Arial"/>
          <w:b w:val="0"/>
        </w:rPr>
        <w:t>867</w:t>
      </w:r>
      <w:r w:rsidR="00393D46" w:rsidRPr="00E80179">
        <w:rPr>
          <w:rFonts w:cs="Arial"/>
          <w:b w:val="0"/>
        </w:rPr>
        <w:t>.</w:t>
      </w:r>
    </w:p>
    <w:p w14:paraId="57837280" w14:textId="77777777" w:rsidR="005F434F" w:rsidRPr="00D50397" w:rsidRDefault="005F434F" w:rsidP="00911709">
      <w:pPr>
        <w:pStyle w:val="BodyText"/>
        <w:spacing w:before="0" w:after="0" w:line="240" w:lineRule="auto"/>
        <w:rPr>
          <w:rFonts w:cs="Arial"/>
          <w:b w:val="0"/>
        </w:rPr>
      </w:pPr>
    </w:p>
    <w:p w14:paraId="68CC836C" w14:textId="7C006796" w:rsidR="005F434F" w:rsidRPr="00D50397" w:rsidRDefault="005F434F" w:rsidP="00911709">
      <w:pPr>
        <w:pStyle w:val="BodyText"/>
        <w:spacing w:before="0" w:after="240" w:line="240" w:lineRule="auto"/>
        <w:rPr>
          <w:rFonts w:cs="Arial"/>
          <w:b w:val="0"/>
        </w:rPr>
      </w:pPr>
      <w:r w:rsidRPr="00D50397">
        <w:rPr>
          <w:rFonts w:cs="Arial"/>
          <w:b w:val="0"/>
        </w:rPr>
        <w:t>Customer classes targeted by EPE</w:t>
      </w:r>
      <w:r>
        <w:rPr>
          <w:rFonts w:cs="Arial"/>
          <w:b w:val="0"/>
        </w:rPr>
        <w:t>'</w:t>
      </w:r>
      <w:r w:rsidRPr="00D50397">
        <w:rPr>
          <w:rFonts w:cs="Arial"/>
          <w:b w:val="0"/>
        </w:rPr>
        <w:t xml:space="preserve">s energy efficiency programs are </w:t>
      </w:r>
      <w:r w:rsidR="006B0042">
        <w:rPr>
          <w:rFonts w:cs="Arial"/>
          <w:b w:val="0"/>
        </w:rPr>
        <w:t>r</w:t>
      </w:r>
      <w:r>
        <w:rPr>
          <w:rFonts w:cs="Arial"/>
          <w:b w:val="0"/>
        </w:rPr>
        <w:t xml:space="preserve">esidential and </w:t>
      </w:r>
      <w:r w:rsidR="006B0042">
        <w:rPr>
          <w:rFonts w:cs="Arial"/>
          <w:b w:val="0"/>
        </w:rPr>
        <w:t>c</w:t>
      </w:r>
      <w:r w:rsidRPr="00D50397">
        <w:rPr>
          <w:rFonts w:cs="Arial"/>
          <w:b w:val="0"/>
        </w:rPr>
        <w:t>ommercial</w:t>
      </w:r>
      <w:r>
        <w:rPr>
          <w:rFonts w:cs="Arial"/>
          <w:b w:val="0"/>
        </w:rPr>
        <w:t xml:space="preserve"> </w:t>
      </w:r>
      <w:r w:rsidRPr="00D50397">
        <w:rPr>
          <w:rFonts w:cs="Arial"/>
          <w:b w:val="0"/>
        </w:rPr>
        <w:t>customer classes</w:t>
      </w:r>
      <w:r w:rsidR="003872E4">
        <w:rPr>
          <w:rFonts w:cs="Arial"/>
          <w:b w:val="0"/>
        </w:rPr>
        <w:t xml:space="preserve"> that take service at</w:t>
      </w:r>
      <w:r w:rsidR="00AC28D4">
        <w:rPr>
          <w:rFonts w:cs="Arial"/>
          <w:b w:val="0"/>
        </w:rPr>
        <w:t xml:space="preserve"> the distribution level</w:t>
      </w:r>
      <w:r w:rsidRPr="00D50397">
        <w:rPr>
          <w:rFonts w:cs="Arial"/>
          <w:b w:val="0"/>
        </w:rPr>
        <w:t>.</w:t>
      </w:r>
      <w:r>
        <w:rPr>
          <w:rFonts w:cs="Arial"/>
          <w:b w:val="0"/>
        </w:rPr>
        <w:t xml:space="preserve"> </w:t>
      </w:r>
      <w:r w:rsidR="00AC28D4">
        <w:rPr>
          <w:rFonts w:cs="Arial"/>
          <w:b w:val="0"/>
        </w:rPr>
        <w:t xml:space="preserve">Transmission level customers are not eligible to participate. </w:t>
      </w:r>
      <w:r>
        <w:rPr>
          <w:rFonts w:cs="Arial"/>
          <w:b w:val="0"/>
        </w:rPr>
        <w:t xml:space="preserve">The </w:t>
      </w:r>
      <w:r w:rsidR="006B0042">
        <w:rPr>
          <w:rFonts w:cs="Arial"/>
          <w:b w:val="0"/>
        </w:rPr>
        <w:t>total r</w:t>
      </w:r>
      <w:r>
        <w:rPr>
          <w:rFonts w:cs="Arial"/>
          <w:b w:val="0"/>
        </w:rPr>
        <w:t>esidential class includes the Hard-to-Reach accounts.</w:t>
      </w:r>
      <w:r w:rsidRPr="00D50397">
        <w:rPr>
          <w:rFonts w:cs="Arial"/>
          <w:b w:val="0"/>
        </w:rPr>
        <w:t xml:space="preserve"> </w:t>
      </w:r>
      <w:r w:rsidR="00BC1FCD">
        <w:rPr>
          <w:rFonts w:cs="Arial"/>
          <w:b w:val="0"/>
        </w:rPr>
        <w:t xml:space="preserve">Table </w:t>
      </w:r>
      <w:r w:rsidR="00BC1FCD" w:rsidRPr="00D77C35">
        <w:rPr>
          <w:b w:val="0"/>
        </w:rPr>
        <w:t>3</w:t>
      </w:r>
      <w:r w:rsidRPr="00D77C35">
        <w:rPr>
          <w:rFonts w:cs="Arial"/>
          <w:b w:val="0"/>
        </w:rPr>
        <w:t xml:space="preserve"> </w:t>
      </w:r>
      <w:r w:rsidRPr="00D50397">
        <w:rPr>
          <w:rFonts w:cs="Arial"/>
          <w:b w:val="0"/>
        </w:rPr>
        <w:t xml:space="preserve">summarizes the number of customers in each of the customer classes </w:t>
      </w:r>
      <w:r w:rsidR="00B539C1">
        <w:rPr>
          <w:rFonts w:cs="Arial"/>
          <w:b w:val="0"/>
        </w:rPr>
        <w:t xml:space="preserve">for </w:t>
      </w:r>
      <w:r w:rsidR="00FE3834">
        <w:rPr>
          <w:rFonts w:cs="Arial"/>
          <w:b w:val="0"/>
        </w:rPr>
        <w:t>201</w:t>
      </w:r>
      <w:r w:rsidR="007248BE">
        <w:rPr>
          <w:rFonts w:cs="Arial"/>
          <w:b w:val="0"/>
        </w:rPr>
        <w:t>7</w:t>
      </w:r>
      <w:r w:rsidRPr="00D50397">
        <w:rPr>
          <w:rFonts w:cs="Arial"/>
          <w:b w:val="0"/>
        </w:rPr>
        <w:t>.</w:t>
      </w:r>
      <w:r w:rsidRPr="00D50397" w:rsidDel="00206B83">
        <w:rPr>
          <w:rFonts w:cs="Arial"/>
          <w:b w:val="0"/>
        </w:rPr>
        <w:t xml:space="preserve"> </w:t>
      </w:r>
    </w:p>
    <w:p w14:paraId="08DAB342" w14:textId="3D535F89" w:rsidR="005F434F" w:rsidRPr="00B539C1" w:rsidRDefault="005F434F" w:rsidP="00911709">
      <w:pPr>
        <w:pStyle w:val="Caption"/>
        <w:keepNext/>
        <w:keepLines/>
        <w:spacing w:before="0" w:after="0"/>
        <w:rPr>
          <w:rFonts w:cs="Arial"/>
        </w:rPr>
      </w:pPr>
      <w:r w:rsidRPr="00B539C1">
        <w:rPr>
          <w:rFonts w:cs="Arial"/>
        </w:rPr>
        <w:lastRenderedPageBreak/>
        <w:t xml:space="preserve">Table </w:t>
      </w:r>
      <w:r w:rsidR="00BC1FCD" w:rsidRPr="00B539C1">
        <w:rPr>
          <w:rFonts w:cs="Arial"/>
        </w:rPr>
        <w:t>3</w:t>
      </w:r>
      <w:r w:rsidRPr="00B539C1">
        <w:rPr>
          <w:rFonts w:cs="Arial"/>
        </w:rPr>
        <w:t>: Summary of Texas Residential and Commercial Customer Classes (</w:t>
      </w:r>
      <w:r w:rsidR="0061278D">
        <w:rPr>
          <w:rFonts w:cs="Arial"/>
        </w:rPr>
        <w:t>2017</w:t>
      </w:r>
      <w:r w:rsidRPr="00B539C1">
        <w:rPr>
          <w:rFonts w:cs="Arial"/>
        </w:rPr>
        <w:t>)</w:t>
      </w:r>
    </w:p>
    <w:p w14:paraId="491BA977" w14:textId="77777777" w:rsidR="00732F8D" w:rsidRPr="00732F8D" w:rsidRDefault="00732F8D" w:rsidP="00911709">
      <w:pPr>
        <w:keepNext/>
        <w:keepLines/>
      </w:pPr>
    </w:p>
    <w:tbl>
      <w:tblPr>
        <w:tblW w:w="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510"/>
      </w:tblGrid>
      <w:tr w:rsidR="00B539C1" w:rsidRPr="00D50397" w14:paraId="45F001AC" w14:textId="77777777" w:rsidTr="001D3432">
        <w:trPr>
          <w:trHeight w:val="330"/>
          <w:jc w:val="center"/>
        </w:trPr>
        <w:tc>
          <w:tcPr>
            <w:tcW w:w="2265" w:type="dxa"/>
            <w:shd w:val="clear" w:color="auto" w:fill="F2F2F2" w:themeFill="background1" w:themeFillShade="F2"/>
            <w:vAlign w:val="bottom"/>
          </w:tcPr>
          <w:p w14:paraId="454126CD" w14:textId="77777777" w:rsidR="00B539C1" w:rsidRPr="00D50397" w:rsidRDefault="00B539C1" w:rsidP="00911709">
            <w:pPr>
              <w:keepNext/>
              <w:jc w:val="center"/>
              <w:rPr>
                <w:rFonts w:ascii="Arial" w:hAnsi="Arial" w:cs="Arial"/>
              </w:rPr>
            </w:pPr>
            <w:r w:rsidRPr="00D50397">
              <w:rPr>
                <w:rFonts w:ascii="Arial" w:hAnsi="Arial" w:cs="Arial"/>
              </w:rPr>
              <w:t>Customer Class</w:t>
            </w:r>
          </w:p>
        </w:tc>
        <w:tc>
          <w:tcPr>
            <w:tcW w:w="2510" w:type="dxa"/>
            <w:shd w:val="clear" w:color="auto" w:fill="F2F2F2" w:themeFill="background1" w:themeFillShade="F2"/>
            <w:vAlign w:val="bottom"/>
          </w:tcPr>
          <w:p w14:paraId="6F7A67E0" w14:textId="77777777" w:rsidR="00B539C1" w:rsidRPr="00D50397" w:rsidRDefault="00B539C1" w:rsidP="00911709">
            <w:pPr>
              <w:keepNext/>
              <w:jc w:val="center"/>
              <w:rPr>
                <w:rFonts w:ascii="Arial" w:hAnsi="Arial" w:cs="Arial"/>
              </w:rPr>
            </w:pPr>
            <w:r w:rsidRPr="00D50397">
              <w:rPr>
                <w:rFonts w:ascii="Arial" w:hAnsi="Arial" w:cs="Arial"/>
              </w:rPr>
              <w:t>Number of Texas Customers</w:t>
            </w:r>
          </w:p>
        </w:tc>
      </w:tr>
      <w:tr w:rsidR="00B539C1" w:rsidRPr="006335CD" w14:paraId="1DB8822C" w14:textId="77777777" w:rsidTr="001D3432">
        <w:trPr>
          <w:trHeight w:val="330"/>
          <w:jc w:val="center"/>
        </w:trPr>
        <w:tc>
          <w:tcPr>
            <w:tcW w:w="2265" w:type="dxa"/>
            <w:shd w:val="clear" w:color="auto" w:fill="auto"/>
            <w:vAlign w:val="center"/>
          </w:tcPr>
          <w:p w14:paraId="237D02B8" w14:textId="77777777" w:rsidR="00B539C1" w:rsidRPr="006335CD" w:rsidRDefault="00B539C1" w:rsidP="00911709">
            <w:pPr>
              <w:keepNext/>
              <w:rPr>
                <w:rFonts w:ascii="Arial" w:hAnsi="Arial" w:cs="Arial"/>
                <w:b w:val="0"/>
              </w:rPr>
            </w:pPr>
            <w:r w:rsidRPr="006335CD">
              <w:rPr>
                <w:rFonts w:ascii="Arial" w:hAnsi="Arial" w:cs="Arial"/>
              </w:rPr>
              <w:t>Total Residential</w:t>
            </w:r>
          </w:p>
        </w:tc>
        <w:tc>
          <w:tcPr>
            <w:tcW w:w="2510" w:type="dxa"/>
            <w:shd w:val="clear" w:color="auto" w:fill="auto"/>
            <w:vAlign w:val="center"/>
          </w:tcPr>
          <w:p w14:paraId="0DDE2184" w14:textId="3971F2CB" w:rsidR="00B539C1" w:rsidRPr="00BF602E" w:rsidRDefault="001D3432" w:rsidP="0088088F">
            <w:pPr>
              <w:keepNext/>
              <w:ind w:right="558"/>
              <w:jc w:val="center"/>
              <w:rPr>
                <w:rFonts w:ascii="Arial" w:hAnsi="Arial" w:cs="Arial"/>
                <w:b w:val="0"/>
              </w:rPr>
            </w:pPr>
            <w:r w:rsidRPr="00BF602E">
              <w:rPr>
                <w:rFonts w:ascii="Arial" w:hAnsi="Arial" w:cs="Arial"/>
              </w:rPr>
              <w:t xml:space="preserve">   </w:t>
            </w:r>
            <w:r w:rsidR="000D36FF">
              <w:rPr>
                <w:rFonts w:ascii="Arial" w:hAnsi="Arial" w:cs="Arial"/>
              </w:rPr>
              <w:t>282,153</w:t>
            </w:r>
          </w:p>
        </w:tc>
      </w:tr>
      <w:tr w:rsidR="00B539C1" w:rsidRPr="006335CD" w14:paraId="2048401C" w14:textId="77777777" w:rsidTr="001D3432">
        <w:trPr>
          <w:trHeight w:val="330"/>
          <w:jc w:val="center"/>
        </w:trPr>
        <w:tc>
          <w:tcPr>
            <w:tcW w:w="2265" w:type="dxa"/>
            <w:shd w:val="clear" w:color="auto" w:fill="auto"/>
            <w:vAlign w:val="center"/>
          </w:tcPr>
          <w:p w14:paraId="4A6694D2" w14:textId="662A2D87" w:rsidR="00B539C1" w:rsidRPr="006335CD" w:rsidRDefault="001D3432" w:rsidP="004D5727">
            <w:pPr>
              <w:keepNext/>
              <w:rPr>
                <w:rFonts w:ascii="Arial" w:hAnsi="Arial" w:cs="Arial"/>
                <w:b w:val="0"/>
              </w:rPr>
            </w:pPr>
            <w:r>
              <w:rPr>
                <w:rFonts w:ascii="Arial" w:hAnsi="Arial" w:cs="Arial"/>
              </w:rPr>
              <w:t xml:space="preserve">    </w:t>
            </w:r>
            <w:r w:rsidR="00B539C1" w:rsidRPr="006335CD">
              <w:rPr>
                <w:rFonts w:ascii="Arial" w:hAnsi="Arial" w:cs="Arial"/>
              </w:rPr>
              <w:t>Hard-to-Reach</w:t>
            </w:r>
          </w:p>
        </w:tc>
        <w:tc>
          <w:tcPr>
            <w:tcW w:w="2510" w:type="dxa"/>
            <w:shd w:val="clear" w:color="auto" w:fill="auto"/>
            <w:vAlign w:val="center"/>
          </w:tcPr>
          <w:p w14:paraId="5C681707" w14:textId="637C2338" w:rsidR="00B539C1" w:rsidRPr="00BF602E" w:rsidRDefault="001D3432" w:rsidP="00911709">
            <w:pPr>
              <w:keepNext/>
              <w:ind w:right="144"/>
              <w:rPr>
                <w:rFonts w:ascii="Arial" w:hAnsi="Arial" w:cs="Arial"/>
                <w:b w:val="0"/>
              </w:rPr>
            </w:pPr>
            <w:r w:rsidRPr="00BF602E">
              <w:rPr>
                <w:rFonts w:ascii="Arial" w:hAnsi="Arial" w:cs="Arial"/>
              </w:rPr>
              <w:t xml:space="preserve">        </w:t>
            </w:r>
            <w:r w:rsidR="002626A1">
              <w:rPr>
                <w:rFonts w:ascii="Arial" w:hAnsi="Arial" w:cs="Arial"/>
              </w:rPr>
              <w:t xml:space="preserve">  </w:t>
            </w:r>
            <w:r w:rsidR="000D36FF">
              <w:rPr>
                <w:rFonts w:ascii="Arial" w:hAnsi="Arial" w:cs="Arial"/>
              </w:rPr>
              <w:t>89,442</w:t>
            </w:r>
          </w:p>
        </w:tc>
      </w:tr>
      <w:tr w:rsidR="00B539C1" w:rsidRPr="006335CD" w14:paraId="2E5FBF12" w14:textId="77777777" w:rsidTr="001D3432">
        <w:trPr>
          <w:trHeight w:val="330"/>
          <w:jc w:val="center"/>
        </w:trPr>
        <w:tc>
          <w:tcPr>
            <w:tcW w:w="2265" w:type="dxa"/>
            <w:shd w:val="clear" w:color="auto" w:fill="auto"/>
            <w:vAlign w:val="center"/>
          </w:tcPr>
          <w:p w14:paraId="0ED0407A" w14:textId="77777777" w:rsidR="00B539C1" w:rsidRPr="006335CD" w:rsidRDefault="00B539C1" w:rsidP="00911709">
            <w:pPr>
              <w:keepNext/>
              <w:rPr>
                <w:rFonts w:ascii="Arial" w:hAnsi="Arial" w:cs="Arial"/>
                <w:b w:val="0"/>
              </w:rPr>
            </w:pPr>
            <w:r w:rsidRPr="006335CD">
              <w:rPr>
                <w:rFonts w:ascii="Arial" w:hAnsi="Arial" w:cs="Arial"/>
              </w:rPr>
              <w:t>Total Commercial</w:t>
            </w:r>
          </w:p>
        </w:tc>
        <w:tc>
          <w:tcPr>
            <w:tcW w:w="2510" w:type="dxa"/>
            <w:shd w:val="clear" w:color="auto" w:fill="auto"/>
            <w:vAlign w:val="center"/>
          </w:tcPr>
          <w:p w14:paraId="664634AD" w14:textId="0255A228" w:rsidR="00B539C1" w:rsidRPr="00BF602E" w:rsidRDefault="001D3432" w:rsidP="0061278D">
            <w:pPr>
              <w:keepNext/>
              <w:ind w:right="558"/>
              <w:rPr>
                <w:rFonts w:ascii="Arial" w:hAnsi="Arial" w:cs="Arial"/>
                <w:b w:val="0"/>
              </w:rPr>
            </w:pPr>
            <w:r w:rsidRPr="00BF602E">
              <w:rPr>
                <w:rFonts w:ascii="Arial" w:hAnsi="Arial" w:cs="Arial"/>
              </w:rPr>
              <w:t xml:space="preserve">         </w:t>
            </w:r>
            <w:r w:rsidR="002626A1">
              <w:rPr>
                <w:rFonts w:ascii="Arial" w:hAnsi="Arial" w:cs="Arial"/>
              </w:rPr>
              <w:t xml:space="preserve"> </w:t>
            </w:r>
            <w:r w:rsidR="000D36FF" w:rsidRPr="00E80179">
              <w:rPr>
                <w:rFonts w:ascii="Arial" w:hAnsi="Arial" w:cs="Arial"/>
              </w:rPr>
              <w:t>31,867</w:t>
            </w:r>
          </w:p>
        </w:tc>
      </w:tr>
    </w:tbl>
    <w:p w14:paraId="2A31D06F" w14:textId="77777777" w:rsidR="005F434F" w:rsidRPr="006335CD" w:rsidRDefault="005F434F" w:rsidP="00911709"/>
    <w:p w14:paraId="54160352" w14:textId="77777777" w:rsidR="00C30FC1" w:rsidRPr="00D50397" w:rsidRDefault="00D819E3" w:rsidP="00911709">
      <w:pPr>
        <w:pStyle w:val="Heading1"/>
        <w:tabs>
          <w:tab w:val="clear" w:pos="360"/>
          <w:tab w:val="num" w:pos="720"/>
        </w:tabs>
        <w:spacing w:before="0" w:after="0"/>
        <w:rPr>
          <w:rFonts w:cs="Arial"/>
          <w:spacing w:val="0"/>
        </w:rPr>
      </w:pPr>
      <w:bookmarkStart w:id="22" w:name="_Toc190729544"/>
      <w:bookmarkStart w:id="23" w:name="_Toc509500759"/>
      <w:bookmarkEnd w:id="21"/>
      <w:r w:rsidRPr="00D50397">
        <w:rPr>
          <w:rFonts w:cs="Arial"/>
          <w:spacing w:val="0"/>
        </w:rPr>
        <w:t>Pr</w:t>
      </w:r>
      <w:r w:rsidR="00D90D91" w:rsidRPr="00D50397">
        <w:rPr>
          <w:rFonts w:cs="Arial"/>
          <w:spacing w:val="0"/>
        </w:rPr>
        <w:t xml:space="preserve">ojected </w:t>
      </w:r>
      <w:r w:rsidR="001904AE" w:rsidRPr="00D50397">
        <w:rPr>
          <w:rFonts w:cs="Arial"/>
          <w:spacing w:val="0"/>
        </w:rPr>
        <w:t xml:space="preserve">Energy Efficiency </w:t>
      </w:r>
      <w:r w:rsidR="00E84909" w:rsidRPr="00D50397">
        <w:rPr>
          <w:rFonts w:cs="Arial"/>
          <w:spacing w:val="0"/>
        </w:rPr>
        <w:t xml:space="preserve">Savings </w:t>
      </w:r>
      <w:r w:rsidR="00D90D91" w:rsidRPr="00D50397">
        <w:rPr>
          <w:rFonts w:cs="Arial"/>
          <w:spacing w:val="0"/>
        </w:rPr>
        <w:t>and G</w:t>
      </w:r>
      <w:r w:rsidR="00E84909" w:rsidRPr="00D50397">
        <w:rPr>
          <w:rFonts w:cs="Arial"/>
          <w:spacing w:val="0"/>
        </w:rPr>
        <w:t>oal</w:t>
      </w:r>
      <w:r w:rsidR="001904AE" w:rsidRPr="00D50397">
        <w:rPr>
          <w:rFonts w:cs="Arial"/>
          <w:spacing w:val="0"/>
        </w:rPr>
        <w:t>s</w:t>
      </w:r>
      <w:bookmarkEnd w:id="22"/>
      <w:bookmarkEnd w:id="23"/>
    </w:p>
    <w:p w14:paraId="6B8A4830" w14:textId="77777777" w:rsidR="00D50397" w:rsidRDefault="00D50397" w:rsidP="00911709">
      <w:pPr>
        <w:pStyle w:val="BodyText"/>
        <w:spacing w:before="0" w:after="0" w:line="240" w:lineRule="auto"/>
        <w:rPr>
          <w:rFonts w:cs="Arial"/>
          <w:b w:val="0"/>
        </w:rPr>
      </w:pPr>
    </w:p>
    <w:p w14:paraId="33004CC1" w14:textId="0F30DFEE" w:rsidR="00D03169" w:rsidRDefault="003178D7" w:rsidP="00911709">
      <w:pPr>
        <w:jc w:val="both"/>
        <w:rPr>
          <w:rFonts w:ascii="Arial" w:hAnsi="Arial" w:cs="Arial"/>
          <w:b w:val="0"/>
          <w:sz w:val="22"/>
        </w:rPr>
      </w:pPr>
      <w:r>
        <w:rPr>
          <w:rFonts w:ascii="Arial" w:hAnsi="Arial" w:cs="Arial"/>
          <w:b w:val="0"/>
          <w:sz w:val="22"/>
        </w:rPr>
        <w:t xml:space="preserve">As reflected in </w:t>
      </w:r>
      <w:r w:rsidR="00610ED9">
        <w:rPr>
          <w:rFonts w:ascii="Arial" w:hAnsi="Arial" w:cs="Arial"/>
          <w:b w:val="0"/>
          <w:sz w:val="22"/>
        </w:rPr>
        <w:t xml:space="preserve">PUCT </w:t>
      </w:r>
      <w:r w:rsidR="00977ABA">
        <w:rPr>
          <w:rFonts w:ascii="Arial" w:hAnsi="Arial" w:cs="Arial"/>
          <w:b w:val="0"/>
          <w:sz w:val="22"/>
        </w:rPr>
        <w:t xml:space="preserve">Docket No. </w:t>
      </w:r>
      <w:r w:rsidR="0061278D">
        <w:rPr>
          <w:rFonts w:ascii="Arial" w:hAnsi="Arial" w:cs="Arial"/>
          <w:b w:val="0"/>
          <w:sz w:val="22"/>
        </w:rPr>
        <w:t>47125</w:t>
      </w:r>
      <w:r w:rsidR="00977ABA">
        <w:rPr>
          <w:rFonts w:ascii="Arial" w:hAnsi="Arial" w:cs="Arial"/>
          <w:b w:val="0"/>
          <w:sz w:val="22"/>
        </w:rPr>
        <w:t xml:space="preserve">, </w:t>
      </w:r>
      <w:r w:rsidR="001D3432">
        <w:rPr>
          <w:rFonts w:ascii="Arial" w:hAnsi="Arial" w:cs="Arial"/>
          <w:b w:val="0"/>
          <w:sz w:val="22"/>
        </w:rPr>
        <w:t xml:space="preserve">EPE’s </w:t>
      </w:r>
      <w:r w:rsidR="00930BEB">
        <w:rPr>
          <w:rFonts w:ascii="Arial" w:hAnsi="Arial" w:cs="Arial"/>
          <w:b w:val="0"/>
          <w:sz w:val="22"/>
        </w:rPr>
        <w:t>e</w:t>
      </w:r>
      <w:r w:rsidR="001D3432">
        <w:rPr>
          <w:rFonts w:ascii="Arial" w:hAnsi="Arial" w:cs="Arial"/>
          <w:b w:val="0"/>
          <w:sz w:val="22"/>
        </w:rPr>
        <w:t xml:space="preserve">nergy </w:t>
      </w:r>
      <w:r w:rsidR="00930BEB">
        <w:rPr>
          <w:rFonts w:ascii="Arial" w:hAnsi="Arial" w:cs="Arial"/>
          <w:b w:val="0"/>
          <w:sz w:val="22"/>
        </w:rPr>
        <w:t>e</w:t>
      </w:r>
      <w:r w:rsidR="001D3432">
        <w:rPr>
          <w:rFonts w:ascii="Arial" w:hAnsi="Arial" w:cs="Arial"/>
          <w:b w:val="0"/>
          <w:sz w:val="22"/>
        </w:rPr>
        <w:t>fficiency demand</w:t>
      </w:r>
      <w:r w:rsidR="001D3432" w:rsidRPr="00C8697B">
        <w:rPr>
          <w:rFonts w:ascii="Arial" w:hAnsi="Arial" w:cs="Arial"/>
          <w:b w:val="0"/>
          <w:sz w:val="22"/>
        </w:rPr>
        <w:t xml:space="preserve"> </w:t>
      </w:r>
      <w:r w:rsidR="00737F1F">
        <w:rPr>
          <w:rFonts w:ascii="Arial" w:hAnsi="Arial" w:cs="Arial"/>
          <w:b w:val="0"/>
          <w:sz w:val="22"/>
        </w:rPr>
        <w:t xml:space="preserve">reduction </w:t>
      </w:r>
      <w:r w:rsidR="0050391F" w:rsidRPr="00C8697B">
        <w:rPr>
          <w:rFonts w:ascii="Arial" w:hAnsi="Arial" w:cs="Arial"/>
          <w:b w:val="0"/>
          <w:sz w:val="22"/>
        </w:rPr>
        <w:t xml:space="preserve">goal for </w:t>
      </w:r>
      <w:r w:rsidR="00D31AAF">
        <w:rPr>
          <w:rFonts w:ascii="Arial" w:hAnsi="Arial" w:cs="Arial"/>
          <w:b w:val="0"/>
          <w:sz w:val="22"/>
        </w:rPr>
        <w:t>201</w:t>
      </w:r>
      <w:r w:rsidR="007248BE">
        <w:rPr>
          <w:rFonts w:ascii="Arial" w:hAnsi="Arial" w:cs="Arial"/>
          <w:b w:val="0"/>
          <w:sz w:val="22"/>
        </w:rPr>
        <w:t>8</w:t>
      </w:r>
      <w:r w:rsidR="009B5DC4">
        <w:rPr>
          <w:rFonts w:ascii="Arial" w:hAnsi="Arial" w:cs="Arial"/>
          <w:b w:val="0"/>
          <w:sz w:val="22"/>
        </w:rPr>
        <w:t xml:space="preserve"> </w:t>
      </w:r>
      <w:r>
        <w:rPr>
          <w:rFonts w:ascii="Arial" w:hAnsi="Arial" w:cs="Arial"/>
          <w:b w:val="0"/>
          <w:sz w:val="22"/>
        </w:rPr>
        <w:t>is</w:t>
      </w:r>
      <w:r w:rsidR="00977ABA" w:rsidRPr="00C8697B">
        <w:rPr>
          <w:rFonts w:ascii="Arial" w:hAnsi="Arial" w:cs="Arial"/>
          <w:b w:val="0"/>
          <w:sz w:val="22"/>
        </w:rPr>
        <w:t xml:space="preserve"> </w:t>
      </w:r>
      <w:r w:rsidR="0050391F" w:rsidRPr="00C8697B">
        <w:rPr>
          <w:rFonts w:ascii="Arial" w:hAnsi="Arial" w:cs="Arial"/>
          <w:b w:val="0"/>
          <w:sz w:val="22"/>
        </w:rPr>
        <w:t>11.16 MW</w:t>
      </w:r>
      <w:r w:rsidR="006F0201">
        <w:rPr>
          <w:rFonts w:ascii="Arial" w:hAnsi="Arial" w:cs="Arial"/>
          <w:b w:val="0"/>
          <w:sz w:val="22"/>
        </w:rPr>
        <w:t>,</w:t>
      </w:r>
      <w:r w:rsidR="0050391F" w:rsidRPr="00C8697B">
        <w:rPr>
          <w:rFonts w:ascii="Arial" w:hAnsi="Arial" w:cs="Arial"/>
          <w:b w:val="0"/>
          <w:sz w:val="22"/>
        </w:rPr>
        <w:t xml:space="preserve"> which mirror</w:t>
      </w:r>
      <w:r w:rsidR="00162AA9">
        <w:rPr>
          <w:rFonts w:ascii="Arial" w:hAnsi="Arial" w:cs="Arial"/>
          <w:b w:val="0"/>
          <w:sz w:val="22"/>
        </w:rPr>
        <w:t>s</w:t>
      </w:r>
      <w:r w:rsidR="0050391F" w:rsidRPr="00C8697B">
        <w:rPr>
          <w:rFonts w:ascii="Arial" w:hAnsi="Arial" w:cs="Arial"/>
          <w:b w:val="0"/>
          <w:sz w:val="22"/>
        </w:rPr>
        <w:t xml:space="preserve"> the </w:t>
      </w:r>
      <w:r w:rsidR="00233130">
        <w:rPr>
          <w:rFonts w:ascii="Arial" w:hAnsi="Arial" w:cs="Arial"/>
          <w:b w:val="0"/>
          <w:sz w:val="22"/>
        </w:rPr>
        <w:t>201</w:t>
      </w:r>
      <w:r w:rsidR="007248BE">
        <w:rPr>
          <w:rFonts w:ascii="Arial" w:hAnsi="Arial" w:cs="Arial"/>
          <w:b w:val="0"/>
          <w:sz w:val="22"/>
        </w:rPr>
        <w:t>7</w:t>
      </w:r>
      <w:r w:rsidR="00233130" w:rsidRPr="00C8697B">
        <w:rPr>
          <w:rFonts w:ascii="Arial" w:hAnsi="Arial" w:cs="Arial"/>
          <w:b w:val="0"/>
          <w:sz w:val="22"/>
        </w:rPr>
        <w:t xml:space="preserve"> </w:t>
      </w:r>
      <w:r w:rsidR="0050391F" w:rsidRPr="00C8697B">
        <w:rPr>
          <w:rFonts w:ascii="Arial" w:hAnsi="Arial" w:cs="Arial"/>
          <w:b w:val="0"/>
          <w:sz w:val="22"/>
        </w:rPr>
        <w:t>goal</w:t>
      </w:r>
      <w:r w:rsidR="00977ABA">
        <w:rPr>
          <w:rFonts w:ascii="Arial" w:hAnsi="Arial" w:cs="Arial"/>
          <w:b w:val="0"/>
          <w:sz w:val="22"/>
        </w:rPr>
        <w:t>.</w:t>
      </w:r>
      <w:r w:rsidR="00C8697B" w:rsidRPr="00C8697B">
        <w:rPr>
          <w:rFonts w:ascii="Arial" w:hAnsi="Arial" w:cs="Arial"/>
          <w:b w:val="0"/>
          <w:sz w:val="22"/>
        </w:rPr>
        <w:t xml:space="preserve"> </w:t>
      </w:r>
      <w:r w:rsidR="00162AA9">
        <w:rPr>
          <w:rFonts w:ascii="Arial" w:hAnsi="Arial" w:cs="Arial"/>
          <w:b w:val="0"/>
          <w:sz w:val="22"/>
        </w:rPr>
        <w:t>The f</w:t>
      </w:r>
      <w:r w:rsidR="001D3432">
        <w:rPr>
          <w:rFonts w:ascii="Arial" w:hAnsi="Arial" w:cs="Arial"/>
          <w:b w:val="0"/>
          <w:sz w:val="22"/>
        </w:rPr>
        <w:t xml:space="preserve">ollowing is </w:t>
      </w:r>
      <w:r w:rsidR="001E0CCA">
        <w:rPr>
          <w:rFonts w:ascii="Arial" w:hAnsi="Arial" w:cs="Arial"/>
          <w:b w:val="0"/>
          <w:sz w:val="22"/>
        </w:rPr>
        <w:t xml:space="preserve">the </w:t>
      </w:r>
      <w:r w:rsidR="001D3432">
        <w:rPr>
          <w:rFonts w:ascii="Arial" w:hAnsi="Arial" w:cs="Arial"/>
          <w:b w:val="0"/>
          <w:sz w:val="22"/>
        </w:rPr>
        <w:t xml:space="preserve">Section of </w:t>
      </w:r>
      <w:r w:rsidR="001E0CCA">
        <w:rPr>
          <w:rFonts w:ascii="Arial" w:hAnsi="Arial" w:cs="Arial"/>
          <w:b w:val="0"/>
          <w:sz w:val="22"/>
        </w:rPr>
        <w:t xml:space="preserve">the </w:t>
      </w:r>
      <w:r w:rsidR="00D03169">
        <w:rPr>
          <w:rFonts w:ascii="Arial" w:hAnsi="Arial" w:cs="Arial"/>
          <w:b w:val="0"/>
          <w:sz w:val="22"/>
        </w:rPr>
        <w:t>EE Rule</w:t>
      </w:r>
      <w:r w:rsidR="00265F09">
        <w:rPr>
          <w:rFonts w:ascii="Arial" w:hAnsi="Arial" w:cs="Arial"/>
          <w:b w:val="0"/>
          <w:sz w:val="22"/>
        </w:rPr>
        <w:t xml:space="preserve"> </w:t>
      </w:r>
      <w:r w:rsidR="001D3432">
        <w:rPr>
          <w:rFonts w:ascii="Arial" w:hAnsi="Arial" w:cs="Arial"/>
          <w:b w:val="0"/>
          <w:sz w:val="22"/>
        </w:rPr>
        <w:t>that describes</w:t>
      </w:r>
      <w:r w:rsidR="00265F09">
        <w:rPr>
          <w:rFonts w:ascii="Arial" w:hAnsi="Arial" w:cs="Arial"/>
          <w:b w:val="0"/>
          <w:sz w:val="22"/>
        </w:rPr>
        <w:t xml:space="preserve"> how utilities </w:t>
      </w:r>
      <w:r w:rsidR="001D3432">
        <w:rPr>
          <w:rFonts w:ascii="Arial" w:hAnsi="Arial" w:cs="Arial"/>
          <w:b w:val="0"/>
          <w:sz w:val="22"/>
        </w:rPr>
        <w:t xml:space="preserve">are </w:t>
      </w:r>
      <w:r w:rsidR="00265F09">
        <w:rPr>
          <w:rFonts w:ascii="Arial" w:hAnsi="Arial" w:cs="Arial"/>
          <w:b w:val="0"/>
          <w:sz w:val="22"/>
        </w:rPr>
        <w:t>to calculate their minimum demand reduction goals:</w:t>
      </w:r>
    </w:p>
    <w:p w14:paraId="2D8D5092" w14:textId="77777777" w:rsidR="000E3E92" w:rsidRDefault="000E3E92" w:rsidP="00911709">
      <w:pPr>
        <w:jc w:val="both"/>
        <w:rPr>
          <w:rFonts w:ascii="Arial" w:hAnsi="Arial" w:cs="Arial"/>
          <w:b w:val="0"/>
          <w:sz w:val="22"/>
        </w:rPr>
      </w:pPr>
    </w:p>
    <w:p w14:paraId="2158BD51" w14:textId="77777777" w:rsidR="00C824EA" w:rsidRDefault="00C824EA" w:rsidP="00911709">
      <w:pPr>
        <w:ind w:left="2160" w:hanging="1440"/>
        <w:jc w:val="both"/>
        <w:rPr>
          <w:rFonts w:ascii="Arial" w:hAnsi="Arial" w:cs="Arial"/>
          <w:b w:val="0"/>
          <w:sz w:val="22"/>
          <w:szCs w:val="22"/>
        </w:rPr>
      </w:pPr>
      <w:r>
        <w:rPr>
          <w:rFonts w:ascii="Arial" w:hAnsi="Arial" w:cs="Arial"/>
          <w:b w:val="0"/>
          <w:sz w:val="22"/>
          <w:szCs w:val="22"/>
        </w:rPr>
        <w:t>§25.181</w:t>
      </w:r>
      <w:r w:rsidRPr="00B345A7">
        <w:rPr>
          <w:rFonts w:ascii="Arial" w:hAnsi="Arial" w:cs="Arial"/>
          <w:b w:val="0"/>
          <w:sz w:val="22"/>
          <w:szCs w:val="22"/>
        </w:rPr>
        <w:t>(e)(1)</w:t>
      </w:r>
      <w:r w:rsidRPr="00B345A7">
        <w:rPr>
          <w:rFonts w:ascii="Arial" w:hAnsi="Arial" w:cs="Arial"/>
          <w:b w:val="0"/>
          <w:sz w:val="22"/>
          <w:szCs w:val="22"/>
        </w:rPr>
        <w:tab/>
        <w:t>An electric utility shall administer a portfolio of energy efficiency programs to acquire, at a minimum, the following:</w:t>
      </w:r>
    </w:p>
    <w:p w14:paraId="6463A2D1" w14:textId="77777777" w:rsidR="000E3E92" w:rsidRPr="00B345A7" w:rsidRDefault="000E3E92" w:rsidP="00911709">
      <w:pPr>
        <w:ind w:left="1440" w:hanging="720"/>
        <w:jc w:val="both"/>
        <w:rPr>
          <w:rFonts w:ascii="Arial" w:hAnsi="Arial" w:cs="Arial"/>
          <w:b w:val="0"/>
          <w:sz w:val="22"/>
          <w:szCs w:val="22"/>
        </w:rPr>
      </w:pPr>
    </w:p>
    <w:p w14:paraId="5D6A1653" w14:textId="77777777" w:rsidR="00D03169" w:rsidRDefault="00D03169" w:rsidP="00911709">
      <w:pPr>
        <w:ind w:left="2160" w:hanging="720"/>
        <w:jc w:val="both"/>
        <w:rPr>
          <w:rFonts w:ascii="Arial" w:hAnsi="Arial" w:cs="Arial"/>
          <w:b w:val="0"/>
          <w:sz w:val="22"/>
          <w:szCs w:val="22"/>
        </w:rPr>
      </w:pPr>
      <w:r w:rsidRPr="00B345A7">
        <w:rPr>
          <w:rFonts w:ascii="Arial" w:hAnsi="Arial" w:cs="Arial"/>
          <w:b w:val="0"/>
          <w:sz w:val="22"/>
          <w:szCs w:val="22"/>
        </w:rPr>
        <w:t>(A)</w:t>
      </w:r>
      <w:r w:rsidRPr="00B345A7">
        <w:rPr>
          <w:rFonts w:ascii="Arial" w:hAnsi="Arial" w:cs="Arial"/>
          <w:b w:val="0"/>
          <w:sz w:val="22"/>
          <w:szCs w:val="22"/>
        </w:rPr>
        <w:tab/>
        <w:t>The utility shall acquire no less than a 25% reduction of the electric utility’s annual growth in demand of residential and commercial customers for the 2012 program year.</w:t>
      </w:r>
    </w:p>
    <w:p w14:paraId="49E7454B" w14:textId="77777777" w:rsidR="000E3E92" w:rsidRPr="00B345A7" w:rsidRDefault="000E3E92" w:rsidP="00911709">
      <w:pPr>
        <w:ind w:left="2160" w:hanging="720"/>
        <w:jc w:val="both"/>
        <w:rPr>
          <w:rFonts w:ascii="Arial" w:hAnsi="Arial" w:cs="Arial"/>
          <w:b w:val="0"/>
          <w:sz w:val="22"/>
          <w:szCs w:val="22"/>
        </w:rPr>
      </w:pPr>
    </w:p>
    <w:p w14:paraId="485A319A" w14:textId="77777777" w:rsidR="00D03169" w:rsidRDefault="00D03169" w:rsidP="00911709">
      <w:pPr>
        <w:ind w:left="2160" w:hanging="720"/>
        <w:jc w:val="both"/>
        <w:rPr>
          <w:rFonts w:ascii="Arial" w:hAnsi="Arial" w:cs="Arial"/>
          <w:b w:val="0"/>
          <w:sz w:val="22"/>
          <w:szCs w:val="22"/>
        </w:rPr>
      </w:pPr>
      <w:r w:rsidRPr="00B345A7">
        <w:rPr>
          <w:rFonts w:ascii="Arial" w:hAnsi="Arial" w:cs="Arial"/>
          <w:b w:val="0"/>
          <w:sz w:val="22"/>
          <w:szCs w:val="22"/>
        </w:rPr>
        <w:t>(B)</w:t>
      </w:r>
      <w:r w:rsidRPr="00B345A7">
        <w:rPr>
          <w:rFonts w:ascii="Arial" w:hAnsi="Arial" w:cs="Arial"/>
          <w:b w:val="0"/>
          <w:sz w:val="22"/>
          <w:szCs w:val="22"/>
        </w:rPr>
        <w:tab/>
        <w:t>Beginning with the 2013 program year, until the trigger described in subparagraph (C) of this paragraph is reached, the utility shall acquire a 30% reduction of its annual growth in demand of residential and commercial customers.</w:t>
      </w:r>
    </w:p>
    <w:p w14:paraId="472DB53D" w14:textId="77777777" w:rsidR="000E3E92" w:rsidRPr="00B345A7" w:rsidRDefault="000E3E92" w:rsidP="00911709">
      <w:pPr>
        <w:ind w:left="2160" w:hanging="720"/>
        <w:jc w:val="both"/>
        <w:rPr>
          <w:rFonts w:ascii="Arial" w:hAnsi="Arial" w:cs="Arial"/>
          <w:b w:val="0"/>
          <w:sz w:val="22"/>
          <w:szCs w:val="22"/>
        </w:rPr>
      </w:pPr>
    </w:p>
    <w:p w14:paraId="3F8ECC43" w14:textId="77777777" w:rsidR="00D03169" w:rsidRDefault="00D03169" w:rsidP="00911709">
      <w:pPr>
        <w:ind w:left="2160" w:hanging="720"/>
        <w:jc w:val="both"/>
        <w:rPr>
          <w:rFonts w:ascii="Arial" w:hAnsi="Arial" w:cs="Arial"/>
          <w:b w:val="0"/>
          <w:sz w:val="22"/>
          <w:szCs w:val="22"/>
        </w:rPr>
      </w:pPr>
      <w:r w:rsidRPr="00B345A7">
        <w:rPr>
          <w:rFonts w:ascii="Arial" w:hAnsi="Arial" w:cs="Arial"/>
          <w:b w:val="0"/>
          <w:sz w:val="22"/>
          <w:szCs w:val="22"/>
        </w:rPr>
        <w:t>(C)</w:t>
      </w:r>
      <w:r w:rsidRPr="00B345A7">
        <w:rPr>
          <w:rFonts w:ascii="Arial" w:hAnsi="Arial" w:cs="Arial"/>
          <w:b w:val="0"/>
          <w:sz w:val="22"/>
          <w:szCs w:val="22"/>
        </w:rPr>
        <w:tab/>
        <w:t>If the demand reduction goal to be acquired by a utility under subparagraph (B) of this paragraph is equivalent to at least four-tenths of 1%</w:t>
      </w:r>
      <w:r w:rsidR="00C824EA">
        <w:rPr>
          <w:rFonts w:ascii="Arial" w:hAnsi="Arial" w:cs="Arial"/>
          <w:b w:val="0"/>
          <w:sz w:val="22"/>
          <w:szCs w:val="22"/>
        </w:rPr>
        <w:t xml:space="preserve"> of</w:t>
      </w:r>
      <w:r w:rsidRPr="00B345A7">
        <w:rPr>
          <w:rFonts w:ascii="Arial" w:hAnsi="Arial" w:cs="Arial"/>
          <w:b w:val="0"/>
          <w:sz w:val="22"/>
          <w:szCs w:val="22"/>
        </w:rPr>
        <w:t xml:space="preserve"> its summer weather-adjusted peak demand for the combined residential and commercial customers for the previous program year, the utility shall meet the energy efficiency goal described in subparagraph (D) of this paragraph for each subsequent program year.</w:t>
      </w:r>
    </w:p>
    <w:p w14:paraId="643EFDC7" w14:textId="77777777" w:rsidR="000E3E92" w:rsidRPr="00B345A7" w:rsidRDefault="000E3E92" w:rsidP="00911709">
      <w:pPr>
        <w:ind w:left="2160" w:hanging="720"/>
        <w:jc w:val="both"/>
        <w:rPr>
          <w:rFonts w:ascii="Arial" w:hAnsi="Arial" w:cs="Arial"/>
          <w:b w:val="0"/>
          <w:sz w:val="22"/>
          <w:szCs w:val="22"/>
        </w:rPr>
      </w:pPr>
    </w:p>
    <w:p w14:paraId="5F9ABA85" w14:textId="77777777" w:rsidR="00D03169" w:rsidRDefault="00D03169" w:rsidP="00911709">
      <w:pPr>
        <w:ind w:left="2160" w:hanging="720"/>
        <w:jc w:val="both"/>
        <w:rPr>
          <w:rFonts w:ascii="Arial" w:hAnsi="Arial" w:cs="Arial"/>
          <w:b w:val="0"/>
          <w:sz w:val="22"/>
          <w:szCs w:val="22"/>
        </w:rPr>
      </w:pPr>
      <w:r w:rsidRPr="00B345A7">
        <w:rPr>
          <w:rFonts w:ascii="Arial" w:hAnsi="Arial" w:cs="Arial"/>
          <w:b w:val="0"/>
          <w:sz w:val="22"/>
          <w:szCs w:val="22"/>
        </w:rPr>
        <w:t>(D)</w:t>
      </w:r>
      <w:r w:rsidRPr="00B345A7">
        <w:rPr>
          <w:rFonts w:ascii="Arial" w:hAnsi="Arial" w:cs="Arial"/>
          <w:b w:val="0"/>
          <w:sz w:val="22"/>
          <w:szCs w:val="22"/>
        </w:rPr>
        <w:tab/>
        <w:t xml:space="preserve">Once the trigger described in subparagraph (C) of this paragraph is reached, the utility shall acquire four-tenths of 1% of its summer weather-adjusted peak demand for the combined residential and commercial customers for the previous program year. </w:t>
      </w:r>
    </w:p>
    <w:p w14:paraId="4DF26A7D" w14:textId="77777777" w:rsidR="000E3E92" w:rsidRPr="00B345A7" w:rsidRDefault="000E3E92" w:rsidP="00911709">
      <w:pPr>
        <w:ind w:left="2160" w:hanging="720"/>
        <w:jc w:val="both"/>
        <w:rPr>
          <w:rFonts w:ascii="Arial" w:hAnsi="Arial" w:cs="Arial"/>
          <w:b w:val="0"/>
          <w:sz w:val="22"/>
          <w:szCs w:val="22"/>
        </w:rPr>
      </w:pPr>
    </w:p>
    <w:p w14:paraId="67EC2602" w14:textId="77777777" w:rsidR="00D03169" w:rsidRDefault="00D03169" w:rsidP="00911709">
      <w:pPr>
        <w:keepNext/>
        <w:keepLines/>
        <w:ind w:left="2160" w:hanging="720"/>
        <w:jc w:val="both"/>
        <w:rPr>
          <w:rFonts w:ascii="Arial" w:hAnsi="Arial" w:cs="Arial"/>
          <w:b w:val="0"/>
          <w:sz w:val="22"/>
          <w:szCs w:val="22"/>
        </w:rPr>
      </w:pPr>
      <w:r w:rsidRPr="00B345A7">
        <w:rPr>
          <w:rFonts w:ascii="Arial" w:hAnsi="Arial" w:cs="Arial"/>
          <w:b w:val="0"/>
          <w:sz w:val="22"/>
          <w:szCs w:val="22"/>
        </w:rPr>
        <w:t>(E)</w:t>
      </w:r>
      <w:r w:rsidRPr="00B345A7">
        <w:rPr>
          <w:rFonts w:ascii="Arial" w:hAnsi="Arial" w:cs="Arial"/>
          <w:b w:val="0"/>
          <w:sz w:val="22"/>
          <w:szCs w:val="22"/>
        </w:rPr>
        <w:tab/>
        <w:t>Except as adjusted in accordance with subsection (w) of this section, a utility’s demand reduction goal in any year shall not be lower than its goal for the prior year, unless the commission establishes a goal for a utility pursuant to paragraph (2) of this subsection.</w:t>
      </w:r>
    </w:p>
    <w:p w14:paraId="697B0A71" w14:textId="77777777" w:rsidR="000E3E92" w:rsidRPr="00B345A7" w:rsidRDefault="000E3E92" w:rsidP="00911709">
      <w:pPr>
        <w:ind w:left="2160" w:hanging="720"/>
        <w:jc w:val="both"/>
        <w:rPr>
          <w:rFonts w:ascii="Arial" w:hAnsi="Arial" w:cs="Arial"/>
          <w:b w:val="0"/>
          <w:sz w:val="22"/>
          <w:szCs w:val="22"/>
        </w:rPr>
      </w:pPr>
    </w:p>
    <w:p w14:paraId="304C8A96" w14:textId="3BDBD548" w:rsidR="008F1D9E" w:rsidRPr="00E33596" w:rsidRDefault="008F1D9E" w:rsidP="00911709">
      <w:pPr>
        <w:pStyle w:val="BodyText"/>
        <w:spacing w:before="0" w:after="0" w:line="240" w:lineRule="auto"/>
        <w:rPr>
          <w:rFonts w:cs="Arial"/>
          <w:b w:val="0"/>
          <w:szCs w:val="22"/>
        </w:rPr>
      </w:pPr>
      <w:r w:rsidRPr="00E33596">
        <w:rPr>
          <w:rFonts w:cs="Arial"/>
          <w:b w:val="0"/>
        </w:rPr>
        <w:t>The demand reduction goal to be acquired in 201</w:t>
      </w:r>
      <w:r w:rsidR="00EB594B">
        <w:rPr>
          <w:rFonts w:cs="Arial"/>
          <w:b w:val="0"/>
        </w:rPr>
        <w:t>8</w:t>
      </w:r>
      <w:r w:rsidRPr="00E33596">
        <w:rPr>
          <w:rFonts w:cs="Arial"/>
          <w:b w:val="0"/>
        </w:rPr>
        <w:t xml:space="preserve"> (11.16 MW) is greater than four-tenths of one percent of EPE’s </w:t>
      </w:r>
      <w:r w:rsidR="00060309">
        <w:rPr>
          <w:rFonts w:cs="Arial"/>
          <w:b w:val="0"/>
        </w:rPr>
        <w:t xml:space="preserve">5-year </w:t>
      </w:r>
      <w:r w:rsidRPr="00E33596">
        <w:rPr>
          <w:rFonts w:cs="Arial"/>
          <w:b w:val="0"/>
        </w:rPr>
        <w:t xml:space="preserve">average </w:t>
      </w:r>
      <w:r w:rsidR="000B77A4">
        <w:rPr>
          <w:rFonts w:cs="Arial"/>
          <w:b w:val="0"/>
        </w:rPr>
        <w:t xml:space="preserve">summer </w:t>
      </w:r>
      <w:r w:rsidRPr="00E33596">
        <w:rPr>
          <w:rFonts w:cs="Arial"/>
          <w:b w:val="0"/>
        </w:rPr>
        <w:t>weather-adjusted peak demand for 20</w:t>
      </w:r>
      <w:r>
        <w:rPr>
          <w:rFonts w:cs="Arial"/>
          <w:b w:val="0"/>
        </w:rPr>
        <w:t>1</w:t>
      </w:r>
      <w:r w:rsidR="00C63D06">
        <w:rPr>
          <w:rFonts w:cs="Arial"/>
          <w:b w:val="0"/>
        </w:rPr>
        <w:t>2</w:t>
      </w:r>
      <w:r w:rsidRPr="00E33596">
        <w:rPr>
          <w:rFonts w:cs="Arial"/>
          <w:b w:val="0"/>
        </w:rPr>
        <w:t xml:space="preserve"> through 201</w:t>
      </w:r>
      <w:r w:rsidR="00C63D06">
        <w:rPr>
          <w:rFonts w:cs="Arial"/>
          <w:b w:val="0"/>
        </w:rPr>
        <w:t>6</w:t>
      </w:r>
      <w:r w:rsidRPr="00E33596">
        <w:rPr>
          <w:rFonts w:cs="Arial"/>
          <w:b w:val="0"/>
        </w:rPr>
        <w:t xml:space="preserve">, which </w:t>
      </w:r>
      <w:r w:rsidR="007A2582">
        <w:rPr>
          <w:rFonts w:cs="Arial"/>
          <w:b w:val="0"/>
        </w:rPr>
        <w:t>is</w:t>
      </w:r>
      <w:r w:rsidRPr="00E33596">
        <w:rPr>
          <w:rFonts w:cs="Arial"/>
          <w:b w:val="0"/>
        </w:rPr>
        <w:t xml:space="preserve"> </w:t>
      </w:r>
      <w:r w:rsidRPr="00195480">
        <w:rPr>
          <w:rFonts w:cs="Arial"/>
          <w:b w:val="0"/>
        </w:rPr>
        <w:t>4.</w:t>
      </w:r>
      <w:r w:rsidR="006A70C8" w:rsidRPr="00195480">
        <w:rPr>
          <w:rFonts w:cs="Arial"/>
          <w:b w:val="0"/>
        </w:rPr>
        <w:t>68</w:t>
      </w:r>
      <w:r w:rsidRPr="00195480">
        <w:rPr>
          <w:rFonts w:cs="Arial"/>
          <w:b w:val="0"/>
        </w:rPr>
        <w:t xml:space="preserve"> MW</w:t>
      </w:r>
      <w:r w:rsidRPr="00E33596">
        <w:rPr>
          <w:rFonts w:cs="Arial"/>
          <w:b w:val="0"/>
        </w:rPr>
        <w:t xml:space="preserve"> as shown in Table 1. In accordance with Section (e)(1)(E) of the EE Rule, EPE’s demand reduction goal in any year shall not be lower than its goal for the prior year</w:t>
      </w:r>
      <w:r w:rsidR="00392099">
        <w:rPr>
          <w:rFonts w:cs="Arial"/>
          <w:b w:val="0"/>
        </w:rPr>
        <w:t>. In light of the parameters established by the EE Rule, EPE’s 201</w:t>
      </w:r>
      <w:r w:rsidR="00C63D06">
        <w:rPr>
          <w:rFonts w:cs="Arial"/>
          <w:b w:val="0"/>
        </w:rPr>
        <w:t>9</w:t>
      </w:r>
      <w:r w:rsidR="00392099">
        <w:rPr>
          <w:rFonts w:cs="Arial"/>
          <w:b w:val="0"/>
        </w:rPr>
        <w:t xml:space="preserve"> goal should remain at 11.16 MW </w:t>
      </w:r>
      <w:r w:rsidR="00392099" w:rsidRPr="00195480">
        <w:rPr>
          <w:rFonts w:cs="Arial"/>
          <w:b w:val="0"/>
        </w:rPr>
        <w:t>(</w:t>
      </w:r>
      <w:r w:rsidR="00FC15CF" w:rsidRPr="00195480">
        <w:rPr>
          <w:rFonts w:cs="Arial"/>
          <w:b w:val="0"/>
        </w:rPr>
        <w:t>0.91</w:t>
      </w:r>
      <w:r w:rsidR="008D1CD8" w:rsidRPr="00195480">
        <w:rPr>
          <w:rFonts w:cs="Arial"/>
          <w:b w:val="0"/>
        </w:rPr>
        <w:t>%</w:t>
      </w:r>
      <w:r w:rsidR="00392099">
        <w:rPr>
          <w:rFonts w:cs="Arial"/>
          <w:b w:val="0"/>
        </w:rPr>
        <w:t xml:space="preserve"> of the average summer weather-adjusted peak demand for 201</w:t>
      </w:r>
      <w:r w:rsidR="00C63D06">
        <w:rPr>
          <w:rFonts w:cs="Arial"/>
          <w:b w:val="0"/>
        </w:rPr>
        <w:t>3</w:t>
      </w:r>
      <w:r w:rsidR="00392099">
        <w:rPr>
          <w:rFonts w:cs="Arial"/>
          <w:b w:val="0"/>
        </w:rPr>
        <w:t xml:space="preserve"> through 201</w:t>
      </w:r>
      <w:r w:rsidR="00C63D06">
        <w:rPr>
          <w:rFonts w:cs="Arial"/>
          <w:b w:val="0"/>
        </w:rPr>
        <w:t>7</w:t>
      </w:r>
      <w:r w:rsidR="00994CC2">
        <w:rPr>
          <w:rFonts w:cs="Arial"/>
          <w:b w:val="0"/>
        </w:rPr>
        <w:t>)</w:t>
      </w:r>
      <w:r w:rsidR="00392099">
        <w:rPr>
          <w:rFonts w:cs="Arial"/>
          <w:b w:val="0"/>
        </w:rPr>
        <w:t xml:space="preserve"> as shown in Table 1. </w:t>
      </w:r>
      <w:r w:rsidRPr="00E33596">
        <w:rPr>
          <w:rFonts w:cs="Arial"/>
          <w:b w:val="0"/>
          <w:szCs w:val="22"/>
        </w:rPr>
        <w:t xml:space="preserve">The corresponding energy savings goals for all years are determined by applying a 20% </w:t>
      </w:r>
      <w:r w:rsidR="00EC6310">
        <w:rPr>
          <w:rFonts w:cs="Arial"/>
          <w:b w:val="0"/>
          <w:szCs w:val="22"/>
        </w:rPr>
        <w:t>conservation</w:t>
      </w:r>
      <w:r w:rsidR="00EC6310" w:rsidRPr="00E33596">
        <w:rPr>
          <w:rFonts w:cs="Arial"/>
          <w:b w:val="0"/>
          <w:szCs w:val="22"/>
        </w:rPr>
        <w:t xml:space="preserve"> </w:t>
      </w:r>
      <w:r w:rsidR="0004027B">
        <w:rPr>
          <w:rFonts w:cs="Arial"/>
          <w:b w:val="0"/>
          <w:szCs w:val="22"/>
        </w:rPr>
        <w:t xml:space="preserve">load </w:t>
      </w:r>
      <w:r w:rsidRPr="00E33596">
        <w:rPr>
          <w:rFonts w:cs="Arial"/>
          <w:b w:val="0"/>
          <w:szCs w:val="22"/>
        </w:rPr>
        <w:t xml:space="preserve">factor to the demand reduction goals. </w:t>
      </w:r>
    </w:p>
    <w:p w14:paraId="036D67CD" w14:textId="77777777" w:rsidR="00D50397" w:rsidRPr="00D50397" w:rsidRDefault="00D50397" w:rsidP="00911709">
      <w:pPr>
        <w:pStyle w:val="BodyText"/>
        <w:spacing w:before="0" w:after="0" w:line="240" w:lineRule="auto"/>
        <w:rPr>
          <w:rFonts w:cs="Arial"/>
          <w:b w:val="0"/>
        </w:rPr>
      </w:pPr>
    </w:p>
    <w:p w14:paraId="1733C5A5" w14:textId="7C9C13E0" w:rsidR="00D50397" w:rsidRDefault="00596676" w:rsidP="00911709">
      <w:pPr>
        <w:pStyle w:val="BodyText"/>
        <w:spacing w:before="0" w:after="0" w:line="240" w:lineRule="auto"/>
        <w:rPr>
          <w:rFonts w:cs="Arial"/>
          <w:b w:val="0"/>
        </w:rPr>
      </w:pPr>
      <w:r w:rsidRPr="00BF602E">
        <w:rPr>
          <w:rFonts w:cs="Arial"/>
          <w:b w:val="0"/>
        </w:rPr>
        <w:t>Table 4</w:t>
      </w:r>
      <w:r>
        <w:rPr>
          <w:rFonts w:cs="Arial"/>
          <w:b w:val="0"/>
        </w:rPr>
        <w:t xml:space="preserve"> </w:t>
      </w:r>
      <w:r w:rsidR="001904AE" w:rsidRPr="00596676">
        <w:rPr>
          <w:b w:val="0"/>
        </w:rPr>
        <w:t>presents</w:t>
      </w:r>
      <w:r w:rsidR="001904AE" w:rsidRPr="00D50397">
        <w:rPr>
          <w:rFonts w:cs="Arial"/>
          <w:b w:val="0"/>
        </w:rPr>
        <w:t xml:space="preserve"> historical annual growth in demand</w:t>
      </w:r>
      <w:r w:rsidR="009C3C03" w:rsidRPr="00D50397">
        <w:rPr>
          <w:rFonts w:cs="Arial"/>
          <w:b w:val="0"/>
        </w:rPr>
        <w:t xml:space="preserve"> for the previous </w:t>
      </w:r>
      <w:r w:rsidR="00FA1B4C">
        <w:rPr>
          <w:rFonts w:cs="Arial"/>
          <w:b w:val="0"/>
        </w:rPr>
        <w:t>six</w:t>
      </w:r>
      <w:r w:rsidR="009C3C03" w:rsidRPr="00D50397">
        <w:rPr>
          <w:rFonts w:cs="Arial"/>
          <w:b w:val="0"/>
        </w:rPr>
        <w:t xml:space="preserve"> years</w:t>
      </w:r>
      <w:r w:rsidR="00B10F54">
        <w:rPr>
          <w:rFonts w:cs="Arial"/>
          <w:b w:val="0"/>
        </w:rPr>
        <w:t>.</w:t>
      </w:r>
      <w:r w:rsidR="00D819E3" w:rsidRPr="00D50397">
        <w:rPr>
          <w:rFonts w:cs="Arial"/>
          <w:b w:val="0"/>
        </w:rPr>
        <w:t xml:space="preserve"> </w:t>
      </w:r>
      <w:r w:rsidR="00365FED">
        <w:rPr>
          <w:rFonts w:cs="Arial"/>
          <w:b w:val="0"/>
        </w:rPr>
        <w:t>P</w:t>
      </w:r>
      <w:r w:rsidR="00471815" w:rsidRPr="00D50397">
        <w:rPr>
          <w:rFonts w:cs="Arial"/>
          <w:b w:val="0"/>
        </w:rPr>
        <w:t xml:space="preserve">rojected </w:t>
      </w:r>
      <w:r w:rsidR="009C3C03" w:rsidRPr="00D50397">
        <w:rPr>
          <w:rFonts w:cs="Arial"/>
          <w:b w:val="0"/>
        </w:rPr>
        <w:t>demand</w:t>
      </w:r>
      <w:r w:rsidR="001904AE" w:rsidRPr="00D50397">
        <w:rPr>
          <w:rFonts w:cs="Arial"/>
          <w:b w:val="0"/>
        </w:rPr>
        <w:t xml:space="preserve"> </w:t>
      </w:r>
      <w:r w:rsidR="00365FED">
        <w:rPr>
          <w:rFonts w:cs="Arial"/>
          <w:b w:val="0"/>
        </w:rPr>
        <w:t xml:space="preserve">reduction </w:t>
      </w:r>
      <w:r w:rsidR="001904AE" w:rsidRPr="00D50397">
        <w:rPr>
          <w:rFonts w:cs="Arial"/>
          <w:b w:val="0"/>
        </w:rPr>
        <w:t xml:space="preserve">and energy </w:t>
      </w:r>
      <w:r w:rsidR="00471815" w:rsidRPr="00D50397">
        <w:rPr>
          <w:rFonts w:cs="Arial"/>
          <w:b w:val="0"/>
        </w:rPr>
        <w:t>saving</w:t>
      </w:r>
      <w:r w:rsidR="009C3C03" w:rsidRPr="00D50397">
        <w:rPr>
          <w:rFonts w:cs="Arial"/>
          <w:b w:val="0"/>
        </w:rPr>
        <w:t xml:space="preserve">s </w:t>
      </w:r>
      <w:r w:rsidR="001904AE" w:rsidRPr="00D50397">
        <w:rPr>
          <w:rFonts w:cs="Arial"/>
          <w:b w:val="0"/>
        </w:rPr>
        <w:t>by customer class</w:t>
      </w:r>
      <w:r w:rsidR="00060309">
        <w:rPr>
          <w:rFonts w:cs="Arial"/>
          <w:b w:val="0"/>
        </w:rPr>
        <w:t xml:space="preserve"> and program</w:t>
      </w:r>
      <w:r w:rsidR="009C3C03" w:rsidRPr="00D50397">
        <w:rPr>
          <w:rFonts w:cs="Arial"/>
          <w:b w:val="0"/>
        </w:rPr>
        <w:t xml:space="preserve"> for </w:t>
      </w:r>
      <w:r w:rsidR="009B5DC4">
        <w:rPr>
          <w:rFonts w:cs="Arial"/>
          <w:b w:val="0"/>
        </w:rPr>
        <w:t>201</w:t>
      </w:r>
      <w:r w:rsidR="00C63D06">
        <w:rPr>
          <w:rFonts w:cs="Arial"/>
          <w:b w:val="0"/>
        </w:rPr>
        <w:t>8</w:t>
      </w:r>
      <w:r w:rsidR="009B5DC4" w:rsidRPr="00D50397">
        <w:rPr>
          <w:rFonts w:cs="Arial"/>
          <w:b w:val="0"/>
        </w:rPr>
        <w:t xml:space="preserve"> </w:t>
      </w:r>
      <w:r w:rsidR="009C3C03" w:rsidRPr="00D50397">
        <w:rPr>
          <w:rFonts w:cs="Arial"/>
          <w:b w:val="0"/>
        </w:rPr>
        <w:t xml:space="preserve">and </w:t>
      </w:r>
      <w:r w:rsidR="009B5DC4">
        <w:rPr>
          <w:rFonts w:cs="Arial"/>
          <w:b w:val="0"/>
        </w:rPr>
        <w:t>201</w:t>
      </w:r>
      <w:r w:rsidR="00C63D06">
        <w:rPr>
          <w:rFonts w:cs="Arial"/>
          <w:b w:val="0"/>
        </w:rPr>
        <w:t>9</w:t>
      </w:r>
      <w:r w:rsidR="009B5DC4" w:rsidRPr="00D50397">
        <w:rPr>
          <w:rFonts w:cs="Arial"/>
          <w:b w:val="0"/>
        </w:rPr>
        <w:t xml:space="preserve"> </w:t>
      </w:r>
      <w:r w:rsidR="00A84A8F" w:rsidRPr="00D50397">
        <w:rPr>
          <w:rFonts w:cs="Arial"/>
          <w:b w:val="0"/>
        </w:rPr>
        <w:t xml:space="preserve">are presented in </w:t>
      </w:r>
      <w:r w:rsidR="00A84A8F" w:rsidRPr="00BF602E">
        <w:rPr>
          <w:rFonts w:cs="Arial"/>
          <w:b w:val="0"/>
        </w:rPr>
        <w:t>Table</w:t>
      </w:r>
      <w:r w:rsidR="000E3E92" w:rsidRPr="00BF602E">
        <w:rPr>
          <w:rFonts w:cs="Arial"/>
          <w:b w:val="0"/>
        </w:rPr>
        <w:t> </w:t>
      </w:r>
      <w:r w:rsidR="00D77C35" w:rsidRPr="00BF602E">
        <w:rPr>
          <w:rFonts w:cs="Arial"/>
          <w:b w:val="0"/>
        </w:rPr>
        <w:t>5</w:t>
      </w:r>
      <w:r w:rsidR="001904AE" w:rsidRPr="00D50397">
        <w:rPr>
          <w:rFonts w:cs="Arial"/>
          <w:b w:val="0"/>
        </w:rPr>
        <w:t xml:space="preserve">. </w:t>
      </w:r>
      <w:r w:rsidR="00902AC2">
        <w:rPr>
          <w:rFonts w:cs="Arial"/>
          <w:b w:val="0"/>
        </w:rPr>
        <w:t>The projected energy and demand savings for 201</w:t>
      </w:r>
      <w:r w:rsidR="002B0C8D">
        <w:rPr>
          <w:rFonts w:cs="Arial"/>
          <w:b w:val="0"/>
        </w:rPr>
        <w:t>8</w:t>
      </w:r>
      <w:r w:rsidR="002E6651">
        <w:rPr>
          <w:rFonts w:cs="Arial"/>
          <w:b w:val="0"/>
        </w:rPr>
        <w:t>, as shown in Table 5,</w:t>
      </w:r>
      <w:r w:rsidR="00902AC2">
        <w:rPr>
          <w:rFonts w:cs="Arial"/>
          <w:b w:val="0"/>
        </w:rPr>
        <w:t xml:space="preserve"> have </w:t>
      </w:r>
      <w:r w:rsidR="002B0C8D">
        <w:rPr>
          <w:rFonts w:cs="Arial"/>
          <w:b w:val="0"/>
        </w:rPr>
        <w:t xml:space="preserve">not </w:t>
      </w:r>
      <w:r w:rsidR="00902AC2">
        <w:rPr>
          <w:rFonts w:cs="Arial"/>
          <w:b w:val="0"/>
        </w:rPr>
        <w:t>changed since the filing of the 201</w:t>
      </w:r>
      <w:r w:rsidR="00C63D06">
        <w:rPr>
          <w:rFonts w:cs="Arial"/>
          <w:b w:val="0"/>
        </w:rPr>
        <w:t>7</w:t>
      </w:r>
      <w:r w:rsidR="00902AC2">
        <w:rPr>
          <w:rFonts w:cs="Arial"/>
          <w:b w:val="0"/>
        </w:rPr>
        <w:t xml:space="preserve"> EEPR, </w:t>
      </w:r>
      <w:r w:rsidR="00902AC2" w:rsidRPr="003C6CC9">
        <w:rPr>
          <w:rFonts w:cs="Arial"/>
          <w:b w:val="0"/>
        </w:rPr>
        <w:t xml:space="preserve">Project No. </w:t>
      </w:r>
      <w:r w:rsidR="003917EC" w:rsidRPr="003C6CC9">
        <w:rPr>
          <w:rFonts w:cs="Arial"/>
          <w:b w:val="0"/>
        </w:rPr>
        <w:t>46907</w:t>
      </w:r>
      <w:r w:rsidR="00AA0C87">
        <w:rPr>
          <w:rFonts w:cs="Arial"/>
          <w:b w:val="0"/>
        </w:rPr>
        <w:t xml:space="preserve"> (Revised February 28, 2018</w:t>
      </w:r>
      <w:r w:rsidR="003C6CC9">
        <w:rPr>
          <w:rFonts w:cs="Arial"/>
          <w:b w:val="0"/>
        </w:rPr>
        <w:t>)</w:t>
      </w:r>
      <w:r w:rsidR="003917EC" w:rsidRPr="003C6CC9">
        <w:rPr>
          <w:rFonts w:cs="Arial"/>
          <w:b w:val="0"/>
        </w:rPr>
        <w:t>.</w:t>
      </w:r>
      <w:r w:rsidR="00902AC2">
        <w:rPr>
          <w:rFonts w:cs="Arial"/>
          <w:b w:val="0"/>
        </w:rPr>
        <w:t xml:space="preserve"> </w:t>
      </w:r>
    </w:p>
    <w:p w14:paraId="3831F7D3" w14:textId="77777777" w:rsidR="000E3E92" w:rsidRDefault="000E3E92" w:rsidP="00911709">
      <w:pPr>
        <w:pStyle w:val="BodyText"/>
        <w:spacing w:before="0" w:after="0" w:line="240" w:lineRule="auto"/>
        <w:rPr>
          <w:rFonts w:cs="Arial"/>
          <w:b w:val="0"/>
        </w:rPr>
      </w:pPr>
    </w:p>
    <w:p w14:paraId="6FFD2BEC" w14:textId="77777777" w:rsidR="000E3E92" w:rsidRDefault="000E3E92" w:rsidP="00911709">
      <w:pPr>
        <w:pStyle w:val="BodyText"/>
        <w:spacing w:before="0" w:after="0" w:line="240" w:lineRule="auto"/>
        <w:rPr>
          <w:rFonts w:cs="Arial"/>
          <w:b w:val="0"/>
        </w:rPr>
      </w:pPr>
    </w:p>
    <w:p w14:paraId="0F2BC46B" w14:textId="77777777" w:rsidR="00665C1A" w:rsidRPr="00D50397" w:rsidRDefault="00665C1A" w:rsidP="00911709">
      <w:pPr>
        <w:pStyle w:val="BodyText"/>
        <w:spacing w:before="0" w:after="0" w:line="240" w:lineRule="auto"/>
        <w:rPr>
          <w:rFonts w:cs="Arial"/>
        </w:rPr>
        <w:sectPr w:rsidR="00665C1A" w:rsidRPr="00D50397" w:rsidSect="00CA6D5A">
          <w:headerReference w:type="default" r:id="rId15"/>
          <w:footerReference w:type="default" r:id="rId16"/>
          <w:headerReference w:type="first" r:id="rId17"/>
          <w:footerReference w:type="first" r:id="rId18"/>
          <w:pgSz w:w="12240" w:h="15840"/>
          <w:pgMar w:top="1296" w:right="1152" w:bottom="1152" w:left="1440" w:header="720" w:footer="720" w:gutter="0"/>
          <w:pgNumType w:start="1"/>
          <w:cols w:space="720"/>
          <w:titlePg/>
        </w:sectPr>
      </w:pPr>
    </w:p>
    <w:p w14:paraId="11E039ED" w14:textId="1253B253" w:rsidR="00C30FC1" w:rsidRDefault="001904AE" w:rsidP="00F64759">
      <w:pPr>
        <w:pStyle w:val="Caption"/>
        <w:keepNext/>
        <w:keepLines/>
        <w:spacing w:before="0" w:after="0"/>
      </w:pPr>
      <w:bookmarkStart w:id="24" w:name="_Ref192400867"/>
      <w:r w:rsidRPr="000B5C76">
        <w:lastRenderedPageBreak/>
        <w:t xml:space="preserve">Table </w:t>
      </w:r>
      <w:bookmarkEnd w:id="24"/>
      <w:r w:rsidR="00CB2C7F">
        <w:t>4</w:t>
      </w:r>
      <w:r w:rsidRPr="000B5C76">
        <w:t xml:space="preserve">: Annual Growth in Demand and Energy Consumption </w:t>
      </w:r>
      <w:r w:rsidR="00F01DD5">
        <w:tab/>
      </w:r>
    </w:p>
    <w:p w14:paraId="621AE873" w14:textId="77777777" w:rsidR="00D50397" w:rsidRDefault="00D50397" w:rsidP="00911709">
      <w:pPr>
        <w:keepNext/>
        <w:rPr>
          <w:rFonts w:ascii="Arial" w:hAnsi="Arial" w:cs="Arial"/>
          <w:b w:val="0"/>
        </w:rPr>
      </w:pPr>
    </w:p>
    <w:p w14:paraId="0D7C3E55" w14:textId="77777777" w:rsidR="001A4FA5" w:rsidRPr="00D50397" w:rsidRDefault="00FD5640" w:rsidP="00911709">
      <w:pPr>
        <w:keepNext/>
        <w:rPr>
          <w:rFonts w:ascii="Arial" w:hAnsi="Arial" w:cs="Arial"/>
          <w:b w:val="0"/>
        </w:rPr>
      </w:pPr>
      <w:r w:rsidRPr="00FD5640">
        <w:rPr>
          <w:noProof/>
        </w:rPr>
        <w:t xml:space="preserve"> </w:t>
      </w:r>
    </w:p>
    <w:tbl>
      <w:tblPr>
        <w:tblW w:w="14187" w:type="dxa"/>
        <w:jc w:val="center"/>
        <w:tblLook w:val="04A0" w:firstRow="1" w:lastRow="0" w:firstColumn="1" w:lastColumn="0" w:noHBand="0" w:noVBand="1"/>
      </w:tblPr>
      <w:tblGrid>
        <w:gridCol w:w="1096"/>
        <w:gridCol w:w="840"/>
        <w:gridCol w:w="1072"/>
        <w:gridCol w:w="840"/>
        <w:gridCol w:w="1072"/>
        <w:gridCol w:w="656"/>
        <w:gridCol w:w="1011"/>
        <w:gridCol w:w="1176"/>
        <w:gridCol w:w="1176"/>
        <w:gridCol w:w="1176"/>
        <w:gridCol w:w="1176"/>
        <w:gridCol w:w="1072"/>
        <w:gridCol w:w="1072"/>
        <w:gridCol w:w="1072"/>
      </w:tblGrid>
      <w:tr w:rsidR="00F64759" w:rsidRPr="00E76846" w14:paraId="62B1CC4A" w14:textId="77777777" w:rsidTr="00B71BF0">
        <w:trPr>
          <w:trHeight w:val="306"/>
          <w:jc w:val="center"/>
        </w:trPr>
        <w:tc>
          <w:tcPr>
            <w:tcW w:w="1096"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14:paraId="1F0ADC18" w14:textId="77777777" w:rsidR="00AD4EE3" w:rsidRPr="00E76846" w:rsidRDefault="00AD4EE3" w:rsidP="00AD4EE3">
            <w:pPr>
              <w:jc w:val="center"/>
              <w:rPr>
                <w:bCs/>
                <w:sz w:val="22"/>
                <w:szCs w:val="22"/>
              </w:rPr>
            </w:pPr>
            <w:r w:rsidRPr="00E76846">
              <w:rPr>
                <w:bCs/>
                <w:sz w:val="22"/>
                <w:szCs w:val="22"/>
              </w:rPr>
              <w:t>Calendar Year</w:t>
            </w:r>
          </w:p>
        </w:tc>
        <w:tc>
          <w:tcPr>
            <w:tcW w:w="5491" w:type="dxa"/>
            <w:gridSpan w:val="6"/>
            <w:tcBorders>
              <w:top w:val="single" w:sz="8" w:space="0" w:color="auto"/>
              <w:left w:val="nil"/>
              <w:bottom w:val="single" w:sz="8" w:space="0" w:color="auto"/>
              <w:right w:val="single" w:sz="8" w:space="0" w:color="000000"/>
            </w:tcBorders>
            <w:shd w:val="clear" w:color="000000" w:fill="F2F2F2"/>
            <w:vAlign w:val="center"/>
            <w:hideMark/>
          </w:tcPr>
          <w:p w14:paraId="7EAA386A" w14:textId="77777777" w:rsidR="00AD4EE3" w:rsidRPr="00E76846" w:rsidRDefault="00AD4EE3" w:rsidP="00AD4EE3">
            <w:pPr>
              <w:jc w:val="center"/>
              <w:rPr>
                <w:bCs/>
                <w:sz w:val="22"/>
                <w:szCs w:val="22"/>
              </w:rPr>
            </w:pPr>
            <w:r w:rsidRPr="00E76846">
              <w:rPr>
                <w:bCs/>
                <w:sz w:val="22"/>
                <w:szCs w:val="22"/>
              </w:rPr>
              <w:t>Peak Demand (MW at Source)</w:t>
            </w:r>
          </w:p>
        </w:tc>
        <w:tc>
          <w:tcPr>
            <w:tcW w:w="4384" w:type="dxa"/>
            <w:gridSpan w:val="4"/>
            <w:tcBorders>
              <w:top w:val="single" w:sz="8" w:space="0" w:color="auto"/>
              <w:left w:val="nil"/>
              <w:bottom w:val="single" w:sz="8" w:space="0" w:color="auto"/>
              <w:right w:val="single" w:sz="8" w:space="0" w:color="000000"/>
            </w:tcBorders>
            <w:shd w:val="clear" w:color="000000" w:fill="F2F2F2"/>
            <w:vAlign w:val="center"/>
            <w:hideMark/>
          </w:tcPr>
          <w:p w14:paraId="63434772" w14:textId="77777777" w:rsidR="00AD4EE3" w:rsidRPr="00E76846" w:rsidRDefault="00AD4EE3" w:rsidP="00AD4EE3">
            <w:pPr>
              <w:jc w:val="center"/>
              <w:rPr>
                <w:bCs/>
                <w:sz w:val="22"/>
                <w:szCs w:val="22"/>
              </w:rPr>
            </w:pPr>
            <w:r w:rsidRPr="00E76846">
              <w:rPr>
                <w:bCs/>
                <w:sz w:val="22"/>
                <w:szCs w:val="22"/>
              </w:rPr>
              <w:t>Energy Consumption (MWh at Meter)</w:t>
            </w:r>
          </w:p>
        </w:tc>
        <w:tc>
          <w:tcPr>
            <w:tcW w:w="1072"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2718D3E1" w14:textId="77777777" w:rsidR="00AD4EE3" w:rsidRPr="00E76846" w:rsidRDefault="00AD4EE3" w:rsidP="00AD4EE3">
            <w:pPr>
              <w:jc w:val="center"/>
              <w:rPr>
                <w:bCs/>
                <w:sz w:val="22"/>
                <w:szCs w:val="22"/>
              </w:rPr>
            </w:pPr>
            <w:r w:rsidRPr="00E76846">
              <w:rPr>
                <w:bCs/>
                <w:sz w:val="22"/>
                <w:szCs w:val="22"/>
              </w:rPr>
              <w:t>Growth (MW at Source)</w:t>
            </w:r>
          </w:p>
        </w:tc>
        <w:tc>
          <w:tcPr>
            <w:tcW w:w="1072"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7E85350D" w14:textId="41BC85CA" w:rsidR="00AD4EE3" w:rsidRPr="00E76846" w:rsidRDefault="00AD4EE3" w:rsidP="00AD4EE3">
            <w:pPr>
              <w:jc w:val="center"/>
              <w:rPr>
                <w:bCs/>
                <w:sz w:val="22"/>
                <w:szCs w:val="22"/>
              </w:rPr>
            </w:pPr>
            <w:r w:rsidRPr="00E76846">
              <w:rPr>
                <w:bCs/>
                <w:sz w:val="22"/>
                <w:szCs w:val="22"/>
              </w:rPr>
              <w:t>Growth (MW at Meter)</w:t>
            </w:r>
            <w:r w:rsidR="00F500A3" w:rsidRPr="00E76846">
              <w:rPr>
                <w:rStyle w:val="FootnoteReference"/>
                <w:bCs/>
                <w:sz w:val="22"/>
                <w:szCs w:val="22"/>
              </w:rPr>
              <w:footnoteReference w:id="4"/>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7513D84" w14:textId="3439CE3B" w:rsidR="00AD4EE3" w:rsidRPr="00E76846" w:rsidRDefault="00AD4EE3" w:rsidP="00AD4EE3">
            <w:pPr>
              <w:jc w:val="center"/>
              <w:rPr>
                <w:bCs/>
                <w:sz w:val="22"/>
                <w:szCs w:val="22"/>
              </w:rPr>
            </w:pPr>
            <w:r w:rsidRPr="00E76846">
              <w:rPr>
                <w:bCs/>
                <w:sz w:val="22"/>
                <w:szCs w:val="22"/>
              </w:rPr>
              <w:t>Average Growth (MW at Meter)</w:t>
            </w:r>
            <w:r w:rsidR="00F500A3" w:rsidRPr="00E76846">
              <w:rPr>
                <w:rStyle w:val="FootnoteReference"/>
                <w:bCs/>
                <w:sz w:val="22"/>
                <w:szCs w:val="22"/>
              </w:rPr>
              <w:footnoteReference w:id="5"/>
            </w:r>
          </w:p>
        </w:tc>
      </w:tr>
      <w:tr w:rsidR="00F64759" w:rsidRPr="00E76846" w14:paraId="3E7BE6CF" w14:textId="77777777" w:rsidTr="00B71BF0">
        <w:trPr>
          <w:trHeight w:val="369"/>
          <w:jc w:val="center"/>
        </w:trPr>
        <w:tc>
          <w:tcPr>
            <w:tcW w:w="1096" w:type="dxa"/>
            <w:vMerge/>
            <w:tcBorders>
              <w:top w:val="single" w:sz="8" w:space="0" w:color="auto"/>
              <w:left w:val="single" w:sz="8" w:space="0" w:color="auto"/>
              <w:bottom w:val="single" w:sz="8" w:space="0" w:color="000000"/>
              <w:right w:val="single" w:sz="8" w:space="0" w:color="auto"/>
            </w:tcBorders>
            <w:vAlign w:val="center"/>
            <w:hideMark/>
          </w:tcPr>
          <w:p w14:paraId="59F71CD5" w14:textId="77777777" w:rsidR="00AD4EE3" w:rsidRPr="00E76846" w:rsidRDefault="00AD4EE3" w:rsidP="00AD4EE3">
            <w:pPr>
              <w:rPr>
                <w:bCs/>
                <w:sz w:val="22"/>
                <w:szCs w:val="22"/>
              </w:rPr>
            </w:pPr>
          </w:p>
        </w:tc>
        <w:tc>
          <w:tcPr>
            <w:tcW w:w="1912" w:type="dxa"/>
            <w:gridSpan w:val="2"/>
            <w:tcBorders>
              <w:top w:val="single" w:sz="8" w:space="0" w:color="auto"/>
              <w:left w:val="nil"/>
              <w:bottom w:val="single" w:sz="8" w:space="0" w:color="auto"/>
              <w:right w:val="nil"/>
            </w:tcBorders>
            <w:shd w:val="clear" w:color="000000" w:fill="F2F2F2"/>
            <w:vAlign w:val="center"/>
            <w:hideMark/>
          </w:tcPr>
          <w:p w14:paraId="7819EB12" w14:textId="77777777" w:rsidR="00AD4EE3" w:rsidRPr="00E76846" w:rsidRDefault="00AD4EE3" w:rsidP="00AD4EE3">
            <w:pPr>
              <w:jc w:val="center"/>
              <w:rPr>
                <w:bCs/>
                <w:sz w:val="22"/>
                <w:szCs w:val="22"/>
              </w:rPr>
            </w:pPr>
            <w:r w:rsidRPr="00E76846">
              <w:rPr>
                <w:bCs/>
                <w:sz w:val="22"/>
                <w:szCs w:val="22"/>
              </w:rPr>
              <w:t>Total System</w:t>
            </w:r>
          </w:p>
        </w:tc>
        <w:tc>
          <w:tcPr>
            <w:tcW w:w="3579"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5C0DA0" w14:textId="77777777" w:rsidR="00AD4EE3" w:rsidRPr="00E76846" w:rsidRDefault="00AD4EE3" w:rsidP="00AD4EE3">
            <w:pPr>
              <w:jc w:val="center"/>
              <w:rPr>
                <w:bCs/>
                <w:sz w:val="22"/>
                <w:szCs w:val="22"/>
              </w:rPr>
            </w:pPr>
            <w:r w:rsidRPr="00E76846">
              <w:rPr>
                <w:bCs/>
                <w:sz w:val="22"/>
                <w:szCs w:val="22"/>
              </w:rPr>
              <w:t>Residential &amp; Commercial</w:t>
            </w:r>
          </w:p>
        </w:tc>
        <w:tc>
          <w:tcPr>
            <w:tcW w:w="2192" w:type="dxa"/>
            <w:gridSpan w:val="2"/>
            <w:tcBorders>
              <w:top w:val="single" w:sz="8" w:space="0" w:color="auto"/>
              <w:left w:val="nil"/>
              <w:bottom w:val="single" w:sz="8" w:space="0" w:color="auto"/>
              <w:right w:val="single" w:sz="8" w:space="0" w:color="000000"/>
            </w:tcBorders>
            <w:shd w:val="clear" w:color="000000" w:fill="F2F2F2"/>
            <w:vAlign w:val="center"/>
            <w:hideMark/>
          </w:tcPr>
          <w:p w14:paraId="07835ED0" w14:textId="77777777" w:rsidR="00AD4EE3" w:rsidRPr="00E76846" w:rsidRDefault="00AD4EE3" w:rsidP="00AD4EE3">
            <w:pPr>
              <w:jc w:val="center"/>
              <w:rPr>
                <w:bCs/>
                <w:sz w:val="22"/>
                <w:szCs w:val="22"/>
              </w:rPr>
            </w:pPr>
            <w:r w:rsidRPr="00E76846">
              <w:rPr>
                <w:bCs/>
                <w:sz w:val="22"/>
                <w:szCs w:val="22"/>
              </w:rPr>
              <w:t>Total System</w:t>
            </w:r>
          </w:p>
        </w:tc>
        <w:tc>
          <w:tcPr>
            <w:tcW w:w="2192" w:type="dxa"/>
            <w:gridSpan w:val="2"/>
            <w:tcBorders>
              <w:top w:val="single" w:sz="8" w:space="0" w:color="auto"/>
              <w:left w:val="nil"/>
              <w:bottom w:val="single" w:sz="8" w:space="0" w:color="000000"/>
              <w:right w:val="single" w:sz="8" w:space="0" w:color="000000"/>
            </w:tcBorders>
            <w:shd w:val="clear" w:color="000000" w:fill="F2F2F2"/>
            <w:vAlign w:val="center"/>
            <w:hideMark/>
          </w:tcPr>
          <w:p w14:paraId="55D90111" w14:textId="77777777" w:rsidR="00AD4EE3" w:rsidRPr="00E76846" w:rsidRDefault="00AD4EE3" w:rsidP="00AD4EE3">
            <w:pPr>
              <w:jc w:val="center"/>
              <w:rPr>
                <w:bCs/>
                <w:sz w:val="22"/>
                <w:szCs w:val="22"/>
              </w:rPr>
            </w:pPr>
            <w:r w:rsidRPr="00E76846">
              <w:rPr>
                <w:bCs/>
                <w:sz w:val="22"/>
                <w:szCs w:val="22"/>
              </w:rPr>
              <w:t>Residential &amp; Commercial</w:t>
            </w:r>
          </w:p>
        </w:tc>
        <w:tc>
          <w:tcPr>
            <w:tcW w:w="1072" w:type="dxa"/>
            <w:vMerge/>
            <w:tcBorders>
              <w:top w:val="single" w:sz="8" w:space="0" w:color="auto"/>
              <w:left w:val="single" w:sz="8" w:space="0" w:color="000000"/>
              <w:bottom w:val="single" w:sz="8" w:space="0" w:color="000000"/>
              <w:right w:val="single" w:sz="8" w:space="0" w:color="auto"/>
            </w:tcBorders>
            <w:vAlign w:val="center"/>
            <w:hideMark/>
          </w:tcPr>
          <w:p w14:paraId="010AC92A" w14:textId="77777777" w:rsidR="00AD4EE3" w:rsidRPr="00E76846" w:rsidRDefault="00AD4EE3" w:rsidP="00AD4EE3">
            <w:pPr>
              <w:rPr>
                <w:bCs/>
                <w:sz w:val="22"/>
                <w:szCs w:val="22"/>
              </w:rPr>
            </w:pPr>
          </w:p>
        </w:tc>
        <w:tc>
          <w:tcPr>
            <w:tcW w:w="1072" w:type="dxa"/>
            <w:vMerge/>
            <w:tcBorders>
              <w:top w:val="single" w:sz="8" w:space="0" w:color="auto"/>
              <w:left w:val="single" w:sz="8" w:space="0" w:color="000000"/>
              <w:bottom w:val="single" w:sz="8" w:space="0" w:color="000000"/>
              <w:right w:val="single" w:sz="8" w:space="0" w:color="auto"/>
            </w:tcBorders>
            <w:vAlign w:val="center"/>
            <w:hideMark/>
          </w:tcPr>
          <w:p w14:paraId="15D3F786" w14:textId="77777777" w:rsidR="00AD4EE3" w:rsidRPr="00E76846" w:rsidRDefault="00AD4EE3" w:rsidP="00AD4EE3">
            <w:pPr>
              <w:rPr>
                <w:bCs/>
                <w:sz w:val="22"/>
                <w:szCs w:val="22"/>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7FCB8A0C" w14:textId="77777777" w:rsidR="00AD4EE3" w:rsidRPr="00E76846" w:rsidRDefault="00AD4EE3" w:rsidP="00AD4EE3">
            <w:pPr>
              <w:rPr>
                <w:bCs/>
                <w:sz w:val="22"/>
                <w:szCs w:val="22"/>
              </w:rPr>
            </w:pPr>
          </w:p>
        </w:tc>
      </w:tr>
      <w:tr w:rsidR="00F64759" w:rsidRPr="00E76846" w14:paraId="645F4E41" w14:textId="77777777" w:rsidTr="00B71BF0">
        <w:trPr>
          <w:trHeight w:val="884"/>
          <w:jc w:val="center"/>
        </w:trPr>
        <w:tc>
          <w:tcPr>
            <w:tcW w:w="1096" w:type="dxa"/>
            <w:vMerge/>
            <w:tcBorders>
              <w:top w:val="single" w:sz="8" w:space="0" w:color="auto"/>
              <w:left w:val="single" w:sz="8" w:space="0" w:color="auto"/>
              <w:bottom w:val="single" w:sz="8" w:space="0" w:color="000000"/>
              <w:right w:val="single" w:sz="8" w:space="0" w:color="auto"/>
            </w:tcBorders>
            <w:vAlign w:val="center"/>
            <w:hideMark/>
          </w:tcPr>
          <w:p w14:paraId="32525968" w14:textId="77777777" w:rsidR="00AD4EE3" w:rsidRPr="00E76846" w:rsidRDefault="00AD4EE3" w:rsidP="00AD4EE3">
            <w:pPr>
              <w:rPr>
                <w:bCs/>
                <w:sz w:val="22"/>
                <w:szCs w:val="22"/>
              </w:rPr>
            </w:pPr>
          </w:p>
        </w:tc>
        <w:tc>
          <w:tcPr>
            <w:tcW w:w="840" w:type="dxa"/>
            <w:tcBorders>
              <w:top w:val="nil"/>
              <w:left w:val="nil"/>
              <w:bottom w:val="single" w:sz="8" w:space="0" w:color="auto"/>
              <w:right w:val="single" w:sz="8" w:space="0" w:color="auto"/>
            </w:tcBorders>
            <w:shd w:val="clear" w:color="000000" w:fill="F2F2F2"/>
            <w:vAlign w:val="bottom"/>
            <w:hideMark/>
          </w:tcPr>
          <w:p w14:paraId="1C3CCC31" w14:textId="77777777" w:rsidR="00AD4EE3" w:rsidRPr="00E76846" w:rsidRDefault="00AD4EE3" w:rsidP="00AD4EE3">
            <w:pPr>
              <w:jc w:val="center"/>
              <w:rPr>
                <w:bCs/>
                <w:sz w:val="22"/>
                <w:szCs w:val="22"/>
              </w:rPr>
            </w:pPr>
            <w:r w:rsidRPr="00E76846">
              <w:rPr>
                <w:bCs/>
                <w:sz w:val="22"/>
                <w:szCs w:val="22"/>
              </w:rPr>
              <w:t>Actual</w:t>
            </w:r>
          </w:p>
        </w:tc>
        <w:tc>
          <w:tcPr>
            <w:tcW w:w="1072" w:type="dxa"/>
            <w:tcBorders>
              <w:top w:val="nil"/>
              <w:left w:val="nil"/>
              <w:bottom w:val="single" w:sz="8" w:space="0" w:color="auto"/>
              <w:right w:val="single" w:sz="8" w:space="0" w:color="auto"/>
            </w:tcBorders>
            <w:shd w:val="clear" w:color="000000" w:fill="F2F2F2"/>
            <w:vAlign w:val="bottom"/>
            <w:hideMark/>
          </w:tcPr>
          <w:p w14:paraId="63722C5F" w14:textId="77777777" w:rsidR="00AD4EE3" w:rsidRPr="00E76846" w:rsidRDefault="00AD4EE3" w:rsidP="00AD4EE3">
            <w:pPr>
              <w:jc w:val="center"/>
              <w:rPr>
                <w:bCs/>
                <w:sz w:val="22"/>
                <w:szCs w:val="22"/>
              </w:rPr>
            </w:pPr>
            <w:r w:rsidRPr="00E76846">
              <w:rPr>
                <w:bCs/>
                <w:sz w:val="22"/>
                <w:szCs w:val="22"/>
              </w:rPr>
              <w:t>Weather Adjusted</w:t>
            </w:r>
          </w:p>
        </w:tc>
        <w:tc>
          <w:tcPr>
            <w:tcW w:w="840" w:type="dxa"/>
            <w:tcBorders>
              <w:top w:val="nil"/>
              <w:left w:val="nil"/>
              <w:bottom w:val="single" w:sz="8" w:space="0" w:color="auto"/>
              <w:right w:val="single" w:sz="8" w:space="0" w:color="auto"/>
            </w:tcBorders>
            <w:shd w:val="clear" w:color="000000" w:fill="F2F2F2"/>
            <w:vAlign w:val="bottom"/>
            <w:hideMark/>
          </w:tcPr>
          <w:p w14:paraId="2E1D17AC" w14:textId="77777777" w:rsidR="00AD4EE3" w:rsidRPr="00E76846" w:rsidRDefault="00AD4EE3" w:rsidP="00AD4EE3">
            <w:pPr>
              <w:jc w:val="center"/>
              <w:rPr>
                <w:bCs/>
                <w:sz w:val="22"/>
                <w:szCs w:val="22"/>
              </w:rPr>
            </w:pPr>
            <w:r w:rsidRPr="00E76846">
              <w:rPr>
                <w:bCs/>
                <w:sz w:val="22"/>
                <w:szCs w:val="22"/>
              </w:rPr>
              <w:t>Actual</w:t>
            </w:r>
          </w:p>
        </w:tc>
        <w:tc>
          <w:tcPr>
            <w:tcW w:w="1072" w:type="dxa"/>
            <w:tcBorders>
              <w:top w:val="nil"/>
              <w:left w:val="nil"/>
              <w:bottom w:val="single" w:sz="8" w:space="0" w:color="auto"/>
              <w:right w:val="single" w:sz="8" w:space="0" w:color="auto"/>
            </w:tcBorders>
            <w:shd w:val="clear" w:color="000000" w:fill="F2F2F2"/>
            <w:vAlign w:val="bottom"/>
            <w:hideMark/>
          </w:tcPr>
          <w:p w14:paraId="2D21EF30" w14:textId="26526369" w:rsidR="00AD4EE3" w:rsidRPr="00E76846" w:rsidRDefault="00AD4EE3" w:rsidP="00AD4EE3">
            <w:pPr>
              <w:jc w:val="center"/>
              <w:rPr>
                <w:bCs/>
                <w:sz w:val="22"/>
                <w:szCs w:val="22"/>
              </w:rPr>
            </w:pPr>
            <w:r w:rsidRPr="00E76846">
              <w:rPr>
                <w:bCs/>
                <w:sz w:val="22"/>
                <w:szCs w:val="22"/>
              </w:rPr>
              <w:t>Weather Adjusted</w:t>
            </w:r>
          </w:p>
        </w:tc>
        <w:tc>
          <w:tcPr>
            <w:tcW w:w="656" w:type="dxa"/>
            <w:tcBorders>
              <w:top w:val="nil"/>
              <w:left w:val="nil"/>
              <w:bottom w:val="single" w:sz="8" w:space="0" w:color="auto"/>
              <w:right w:val="single" w:sz="8" w:space="0" w:color="auto"/>
            </w:tcBorders>
            <w:shd w:val="clear" w:color="000000" w:fill="F2F2F2"/>
            <w:vAlign w:val="bottom"/>
            <w:hideMark/>
          </w:tcPr>
          <w:p w14:paraId="09E1C5C7" w14:textId="77777777" w:rsidR="00AD4EE3" w:rsidRPr="00E76846" w:rsidRDefault="00AD4EE3" w:rsidP="00AD4EE3">
            <w:pPr>
              <w:jc w:val="center"/>
              <w:rPr>
                <w:bCs/>
                <w:sz w:val="22"/>
                <w:szCs w:val="22"/>
              </w:rPr>
            </w:pPr>
            <w:r w:rsidRPr="00E76846">
              <w:rPr>
                <w:bCs/>
                <w:sz w:val="22"/>
                <w:szCs w:val="22"/>
              </w:rPr>
              <w:t>Opt-Out</w:t>
            </w:r>
          </w:p>
        </w:tc>
        <w:tc>
          <w:tcPr>
            <w:tcW w:w="1011" w:type="dxa"/>
            <w:tcBorders>
              <w:top w:val="nil"/>
              <w:left w:val="nil"/>
              <w:bottom w:val="single" w:sz="8" w:space="0" w:color="auto"/>
              <w:right w:val="single" w:sz="8" w:space="0" w:color="auto"/>
            </w:tcBorders>
            <w:shd w:val="clear" w:color="000000" w:fill="F2F2F2"/>
            <w:vAlign w:val="bottom"/>
            <w:hideMark/>
          </w:tcPr>
          <w:p w14:paraId="356D25C1" w14:textId="77777777" w:rsidR="00AD4EE3" w:rsidRPr="00E76846" w:rsidRDefault="00AD4EE3" w:rsidP="00AD4EE3">
            <w:pPr>
              <w:jc w:val="center"/>
              <w:rPr>
                <w:bCs/>
                <w:sz w:val="22"/>
                <w:szCs w:val="22"/>
              </w:rPr>
            </w:pPr>
            <w:r w:rsidRPr="00E76846">
              <w:rPr>
                <w:bCs/>
                <w:sz w:val="22"/>
                <w:szCs w:val="22"/>
              </w:rPr>
              <w:t>Peak Demand @ Source Net Opt-Outs</w:t>
            </w:r>
          </w:p>
        </w:tc>
        <w:tc>
          <w:tcPr>
            <w:tcW w:w="1096" w:type="dxa"/>
            <w:tcBorders>
              <w:top w:val="nil"/>
              <w:left w:val="nil"/>
              <w:bottom w:val="single" w:sz="8" w:space="0" w:color="auto"/>
              <w:right w:val="single" w:sz="8" w:space="0" w:color="auto"/>
            </w:tcBorders>
            <w:shd w:val="clear" w:color="000000" w:fill="F2F2F2"/>
            <w:vAlign w:val="bottom"/>
            <w:hideMark/>
          </w:tcPr>
          <w:p w14:paraId="374E3B60" w14:textId="77777777" w:rsidR="00AD4EE3" w:rsidRPr="00E76846" w:rsidRDefault="00AD4EE3" w:rsidP="00AD4EE3">
            <w:pPr>
              <w:jc w:val="center"/>
              <w:rPr>
                <w:bCs/>
                <w:sz w:val="22"/>
                <w:szCs w:val="22"/>
              </w:rPr>
            </w:pPr>
            <w:r w:rsidRPr="00E76846">
              <w:rPr>
                <w:bCs/>
                <w:sz w:val="22"/>
                <w:szCs w:val="22"/>
              </w:rPr>
              <w:t>Actual</w:t>
            </w:r>
          </w:p>
        </w:tc>
        <w:tc>
          <w:tcPr>
            <w:tcW w:w="1096" w:type="dxa"/>
            <w:tcBorders>
              <w:top w:val="nil"/>
              <w:left w:val="nil"/>
              <w:bottom w:val="single" w:sz="8" w:space="0" w:color="auto"/>
              <w:right w:val="single" w:sz="8" w:space="0" w:color="auto"/>
            </w:tcBorders>
            <w:shd w:val="clear" w:color="000000" w:fill="F2F2F2"/>
            <w:vAlign w:val="bottom"/>
            <w:hideMark/>
          </w:tcPr>
          <w:p w14:paraId="4F4898AE" w14:textId="77777777" w:rsidR="00AD4EE3" w:rsidRPr="00E76846" w:rsidRDefault="00AD4EE3" w:rsidP="00AD4EE3">
            <w:pPr>
              <w:jc w:val="center"/>
              <w:rPr>
                <w:bCs/>
                <w:sz w:val="22"/>
                <w:szCs w:val="22"/>
              </w:rPr>
            </w:pPr>
            <w:r w:rsidRPr="00E76846">
              <w:rPr>
                <w:bCs/>
                <w:sz w:val="22"/>
                <w:szCs w:val="22"/>
              </w:rPr>
              <w:t>Weather Adjusted</w:t>
            </w:r>
          </w:p>
        </w:tc>
        <w:tc>
          <w:tcPr>
            <w:tcW w:w="1096" w:type="dxa"/>
            <w:tcBorders>
              <w:top w:val="nil"/>
              <w:left w:val="nil"/>
              <w:bottom w:val="single" w:sz="8" w:space="0" w:color="auto"/>
              <w:right w:val="single" w:sz="8" w:space="0" w:color="auto"/>
            </w:tcBorders>
            <w:shd w:val="clear" w:color="000000" w:fill="F2F2F2"/>
            <w:vAlign w:val="bottom"/>
            <w:hideMark/>
          </w:tcPr>
          <w:p w14:paraId="2F163E01" w14:textId="77777777" w:rsidR="00AD4EE3" w:rsidRPr="00E76846" w:rsidRDefault="00AD4EE3" w:rsidP="00AD4EE3">
            <w:pPr>
              <w:jc w:val="center"/>
              <w:rPr>
                <w:bCs/>
                <w:sz w:val="22"/>
                <w:szCs w:val="22"/>
              </w:rPr>
            </w:pPr>
            <w:r w:rsidRPr="00E76846">
              <w:rPr>
                <w:bCs/>
                <w:sz w:val="22"/>
                <w:szCs w:val="22"/>
              </w:rPr>
              <w:t>Actual</w:t>
            </w:r>
          </w:p>
        </w:tc>
        <w:tc>
          <w:tcPr>
            <w:tcW w:w="1096" w:type="dxa"/>
            <w:tcBorders>
              <w:top w:val="nil"/>
              <w:left w:val="nil"/>
              <w:bottom w:val="single" w:sz="8" w:space="0" w:color="auto"/>
              <w:right w:val="single" w:sz="8" w:space="0" w:color="auto"/>
            </w:tcBorders>
            <w:shd w:val="clear" w:color="000000" w:fill="F2F2F2"/>
            <w:vAlign w:val="bottom"/>
            <w:hideMark/>
          </w:tcPr>
          <w:p w14:paraId="03556A55" w14:textId="77777777" w:rsidR="00AD4EE3" w:rsidRPr="00E76846" w:rsidRDefault="00AD4EE3" w:rsidP="00AD4EE3">
            <w:pPr>
              <w:jc w:val="center"/>
              <w:rPr>
                <w:bCs/>
                <w:sz w:val="22"/>
                <w:szCs w:val="22"/>
              </w:rPr>
            </w:pPr>
            <w:r w:rsidRPr="00E76846">
              <w:rPr>
                <w:bCs/>
                <w:sz w:val="22"/>
                <w:szCs w:val="22"/>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7EDCFAAB" w14:textId="77777777" w:rsidR="00AD4EE3" w:rsidRPr="00E76846" w:rsidRDefault="00AD4EE3" w:rsidP="00AD4EE3">
            <w:pPr>
              <w:jc w:val="center"/>
              <w:rPr>
                <w:bCs/>
                <w:sz w:val="22"/>
                <w:szCs w:val="22"/>
              </w:rPr>
            </w:pPr>
            <w:r w:rsidRPr="00E76846">
              <w:rPr>
                <w:bCs/>
                <w:sz w:val="22"/>
                <w:szCs w:val="22"/>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7E897060" w14:textId="77777777" w:rsidR="00AD4EE3" w:rsidRPr="00E76846" w:rsidRDefault="00AD4EE3" w:rsidP="00AD4EE3">
            <w:pPr>
              <w:jc w:val="center"/>
              <w:rPr>
                <w:bCs/>
                <w:sz w:val="22"/>
                <w:szCs w:val="22"/>
              </w:rPr>
            </w:pPr>
            <w:r w:rsidRPr="00E76846">
              <w:rPr>
                <w:bCs/>
                <w:sz w:val="22"/>
                <w:szCs w:val="22"/>
              </w:rPr>
              <w:t>Weather Adjusted</w:t>
            </w:r>
          </w:p>
        </w:tc>
        <w:tc>
          <w:tcPr>
            <w:tcW w:w="1072" w:type="dxa"/>
            <w:tcBorders>
              <w:top w:val="nil"/>
              <w:left w:val="nil"/>
              <w:bottom w:val="single" w:sz="8" w:space="0" w:color="auto"/>
              <w:right w:val="single" w:sz="8" w:space="0" w:color="auto"/>
            </w:tcBorders>
            <w:shd w:val="clear" w:color="000000" w:fill="F2F2F2"/>
            <w:vAlign w:val="bottom"/>
            <w:hideMark/>
          </w:tcPr>
          <w:p w14:paraId="79A90630" w14:textId="77777777" w:rsidR="00AD4EE3" w:rsidRPr="00E76846" w:rsidRDefault="00AD4EE3" w:rsidP="00AD4EE3">
            <w:pPr>
              <w:jc w:val="center"/>
              <w:rPr>
                <w:bCs/>
                <w:sz w:val="22"/>
                <w:szCs w:val="22"/>
              </w:rPr>
            </w:pPr>
            <w:r w:rsidRPr="00E76846">
              <w:rPr>
                <w:bCs/>
                <w:sz w:val="22"/>
                <w:szCs w:val="22"/>
              </w:rPr>
              <w:t>Weather Adjusted</w:t>
            </w:r>
          </w:p>
        </w:tc>
      </w:tr>
      <w:tr w:rsidR="00FC15CF" w:rsidRPr="00E76846" w14:paraId="06D3E74F" w14:textId="77777777" w:rsidTr="00B71BF0">
        <w:trPr>
          <w:trHeight w:val="358"/>
          <w:jc w:val="center"/>
        </w:trPr>
        <w:tc>
          <w:tcPr>
            <w:tcW w:w="1096" w:type="dxa"/>
            <w:tcBorders>
              <w:top w:val="nil"/>
              <w:left w:val="single" w:sz="8" w:space="0" w:color="auto"/>
              <w:bottom w:val="single" w:sz="8" w:space="0" w:color="auto"/>
              <w:right w:val="single" w:sz="8" w:space="0" w:color="auto"/>
            </w:tcBorders>
            <w:shd w:val="clear" w:color="auto" w:fill="auto"/>
            <w:hideMark/>
          </w:tcPr>
          <w:p w14:paraId="374A0654" w14:textId="1504026A" w:rsidR="00FC15CF" w:rsidRPr="00E76846" w:rsidRDefault="00FC15CF" w:rsidP="00FC15CF">
            <w:pPr>
              <w:jc w:val="center"/>
              <w:rPr>
                <w:bCs/>
                <w:sz w:val="22"/>
                <w:szCs w:val="22"/>
              </w:rPr>
            </w:pPr>
            <w:r w:rsidRPr="00F70E53">
              <w:t>2012</w:t>
            </w:r>
          </w:p>
        </w:tc>
        <w:tc>
          <w:tcPr>
            <w:tcW w:w="840" w:type="dxa"/>
            <w:tcBorders>
              <w:top w:val="nil"/>
              <w:left w:val="nil"/>
              <w:bottom w:val="single" w:sz="8" w:space="0" w:color="auto"/>
              <w:right w:val="single" w:sz="8" w:space="0" w:color="auto"/>
            </w:tcBorders>
            <w:shd w:val="clear" w:color="000000" w:fill="FFFFFF"/>
            <w:hideMark/>
          </w:tcPr>
          <w:p w14:paraId="2DE1A1E1" w14:textId="27B6B82F" w:rsidR="00FC15CF" w:rsidRPr="00FC15CF" w:rsidRDefault="00FC15CF" w:rsidP="00FC15CF">
            <w:pPr>
              <w:jc w:val="center"/>
              <w:rPr>
                <w:b w:val="0"/>
                <w:sz w:val="22"/>
                <w:szCs w:val="22"/>
              </w:rPr>
            </w:pPr>
            <w:r w:rsidRPr="00FC15CF">
              <w:rPr>
                <w:b w:val="0"/>
              </w:rPr>
              <w:t>1,294</w:t>
            </w:r>
          </w:p>
        </w:tc>
        <w:tc>
          <w:tcPr>
            <w:tcW w:w="1072" w:type="dxa"/>
            <w:tcBorders>
              <w:top w:val="nil"/>
              <w:left w:val="nil"/>
              <w:bottom w:val="single" w:sz="8" w:space="0" w:color="auto"/>
              <w:right w:val="single" w:sz="8" w:space="0" w:color="auto"/>
            </w:tcBorders>
            <w:shd w:val="clear" w:color="000000" w:fill="FFFFFF"/>
            <w:hideMark/>
          </w:tcPr>
          <w:p w14:paraId="440BF4A7" w14:textId="3FA784AA" w:rsidR="00FC15CF" w:rsidRPr="00FC15CF" w:rsidRDefault="00FC15CF" w:rsidP="00FC15CF">
            <w:pPr>
              <w:jc w:val="center"/>
              <w:rPr>
                <w:b w:val="0"/>
                <w:sz w:val="22"/>
                <w:szCs w:val="22"/>
              </w:rPr>
            </w:pPr>
            <w:r w:rsidRPr="00FC15CF">
              <w:rPr>
                <w:b w:val="0"/>
              </w:rPr>
              <w:t>1,287</w:t>
            </w:r>
          </w:p>
        </w:tc>
        <w:tc>
          <w:tcPr>
            <w:tcW w:w="840" w:type="dxa"/>
            <w:tcBorders>
              <w:top w:val="nil"/>
              <w:left w:val="nil"/>
              <w:bottom w:val="single" w:sz="8" w:space="0" w:color="auto"/>
              <w:right w:val="single" w:sz="8" w:space="0" w:color="auto"/>
            </w:tcBorders>
            <w:shd w:val="clear" w:color="000000" w:fill="FFFFFF"/>
            <w:hideMark/>
          </w:tcPr>
          <w:p w14:paraId="19B58230" w14:textId="4CCC79B3" w:rsidR="00FC15CF" w:rsidRPr="00FC15CF" w:rsidRDefault="00FC15CF" w:rsidP="00FC15CF">
            <w:pPr>
              <w:jc w:val="center"/>
              <w:rPr>
                <w:b w:val="0"/>
                <w:sz w:val="22"/>
                <w:szCs w:val="22"/>
              </w:rPr>
            </w:pPr>
            <w:r w:rsidRPr="00FC15CF">
              <w:rPr>
                <w:b w:val="0"/>
              </w:rPr>
              <w:t>1,191</w:t>
            </w:r>
          </w:p>
        </w:tc>
        <w:tc>
          <w:tcPr>
            <w:tcW w:w="1072" w:type="dxa"/>
            <w:tcBorders>
              <w:top w:val="nil"/>
              <w:left w:val="nil"/>
              <w:bottom w:val="single" w:sz="8" w:space="0" w:color="auto"/>
              <w:right w:val="single" w:sz="8" w:space="0" w:color="auto"/>
            </w:tcBorders>
            <w:shd w:val="clear" w:color="000000" w:fill="FFFFFF"/>
            <w:hideMark/>
          </w:tcPr>
          <w:p w14:paraId="635024E8" w14:textId="665E438A" w:rsidR="00FC15CF" w:rsidRPr="00FC15CF" w:rsidRDefault="00FC15CF" w:rsidP="00FC15CF">
            <w:pPr>
              <w:jc w:val="center"/>
              <w:rPr>
                <w:b w:val="0"/>
                <w:sz w:val="22"/>
                <w:szCs w:val="22"/>
              </w:rPr>
            </w:pPr>
            <w:r w:rsidRPr="00FC15CF">
              <w:rPr>
                <w:b w:val="0"/>
              </w:rPr>
              <w:t>1,184</w:t>
            </w:r>
          </w:p>
        </w:tc>
        <w:tc>
          <w:tcPr>
            <w:tcW w:w="656" w:type="dxa"/>
            <w:tcBorders>
              <w:top w:val="nil"/>
              <w:left w:val="nil"/>
              <w:bottom w:val="single" w:sz="8" w:space="0" w:color="auto"/>
              <w:right w:val="single" w:sz="8" w:space="0" w:color="auto"/>
            </w:tcBorders>
            <w:shd w:val="clear" w:color="000000" w:fill="FFFFFF"/>
            <w:hideMark/>
          </w:tcPr>
          <w:p w14:paraId="14A4BE56" w14:textId="69F70DAC" w:rsidR="00FC15CF" w:rsidRPr="00FC15CF" w:rsidRDefault="00FC15CF" w:rsidP="00FC15CF">
            <w:pPr>
              <w:jc w:val="center"/>
              <w:rPr>
                <w:b w:val="0"/>
                <w:sz w:val="22"/>
                <w:szCs w:val="22"/>
              </w:rPr>
            </w:pPr>
            <w:r w:rsidRPr="00FC15CF">
              <w:rPr>
                <w:b w:val="0"/>
              </w:rPr>
              <w:t>0</w:t>
            </w:r>
          </w:p>
        </w:tc>
        <w:tc>
          <w:tcPr>
            <w:tcW w:w="1011" w:type="dxa"/>
            <w:tcBorders>
              <w:top w:val="nil"/>
              <w:left w:val="nil"/>
              <w:bottom w:val="single" w:sz="8" w:space="0" w:color="auto"/>
              <w:right w:val="single" w:sz="8" w:space="0" w:color="auto"/>
            </w:tcBorders>
            <w:shd w:val="clear" w:color="000000" w:fill="FFFFFF"/>
            <w:hideMark/>
          </w:tcPr>
          <w:p w14:paraId="0F26ABDB" w14:textId="00F1BA1E" w:rsidR="00FC15CF" w:rsidRPr="00FC15CF" w:rsidRDefault="00FC15CF" w:rsidP="00FC15CF">
            <w:pPr>
              <w:jc w:val="center"/>
              <w:rPr>
                <w:b w:val="0"/>
                <w:sz w:val="22"/>
                <w:szCs w:val="22"/>
              </w:rPr>
            </w:pPr>
            <w:r w:rsidRPr="00FC15CF">
              <w:rPr>
                <w:b w:val="0"/>
              </w:rPr>
              <w:t>1,184</w:t>
            </w:r>
          </w:p>
        </w:tc>
        <w:tc>
          <w:tcPr>
            <w:tcW w:w="1096" w:type="dxa"/>
            <w:tcBorders>
              <w:top w:val="nil"/>
              <w:left w:val="nil"/>
              <w:bottom w:val="single" w:sz="8" w:space="0" w:color="auto"/>
              <w:right w:val="single" w:sz="8" w:space="0" w:color="auto"/>
            </w:tcBorders>
            <w:shd w:val="clear" w:color="000000" w:fill="FFFFFF"/>
            <w:hideMark/>
          </w:tcPr>
          <w:p w14:paraId="599BB664" w14:textId="78B25F3C" w:rsidR="00FC15CF" w:rsidRPr="00FC15CF" w:rsidRDefault="00FC15CF" w:rsidP="00FC15CF">
            <w:pPr>
              <w:jc w:val="center"/>
              <w:rPr>
                <w:b w:val="0"/>
                <w:sz w:val="22"/>
                <w:szCs w:val="22"/>
              </w:rPr>
            </w:pPr>
            <w:r w:rsidRPr="00FC15CF">
              <w:rPr>
                <w:b w:val="0"/>
              </w:rPr>
              <w:t>6,035,970</w:t>
            </w:r>
          </w:p>
        </w:tc>
        <w:tc>
          <w:tcPr>
            <w:tcW w:w="1096" w:type="dxa"/>
            <w:tcBorders>
              <w:top w:val="nil"/>
              <w:left w:val="nil"/>
              <w:bottom w:val="single" w:sz="8" w:space="0" w:color="auto"/>
              <w:right w:val="single" w:sz="8" w:space="0" w:color="auto"/>
            </w:tcBorders>
            <w:shd w:val="clear" w:color="000000" w:fill="FFFFFF"/>
            <w:hideMark/>
          </w:tcPr>
          <w:p w14:paraId="45B0FF42" w14:textId="085B6C71" w:rsidR="00FC15CF" w:rsidRPr="00FC15CF" w:rsidRDefault="00FC15CF" w:rsidP="00FC15CF">
            <w:pPr>
              <w:jc w:val="center"/>
              <w:rPr>
                <w:b w:val="0"/>
                <w:sz w:val="22"/>
                <w:szCs w:val="22"/>
              </w:rPr>
            </w:pPr>
            <w:r w:rsidRPr="00FC15CF">
              <w:rPr>
                <w:b w:val="0"/>
              </w:rPr>
              <w:t>6,003,736</w:t>
            </w:r>
          </w:p>
        </w:tc>
        <w:tc>
          <w:tcPr>
            <w:tcW w:w="1096" w:type="dxa"/>
            <w:tcBorders>
              <w:top w:val="nil"/>
              <w:left w:val="nil"/>
              <w:bottom w:val="single" w:sz="8" w:space="0" w:color="auto"/>
              <w:right w:val="single" w:sz="8" w:space="0" w:color="auto"/>
            </w:tcBorders>
            <w:shd w:val="clear" w:color="000000" w:fill="FFFFFF"/>
            <w:hideMark/>
          </w:tcPr>
          <w:p w14:paraId="323D5427" w14:textId="7D2FB5D1" w:rsidR="00FC15CF" w:rsidRPr="00FC15CF" w:rsidRDefault="00FC15CF" w:rsidP="00FC15CF">
            <w:pPr>
              <w:jc w:val="center"/>
              <w:rPr>
                <w:b w:val="0"/>
                <w:sz w:val="22"/>
                <w:szCs w:val="22"/>
              </w:rPr>
            </w:pPr>
            <w:r w:rsidRPr="00FC15CF">
              <w:rPr>
                <w:b w:val="0"/>
              </w:rPr>
              <w:t>5,279,626</w:t>
            </w:r>
          </w:p>
        </w:tc>
        <w:tc>
          <w:tcPr>
            <w:tcW w:w="1096" w:type="dxa"/>
            <w:tcBorders>
              <w:top w:val="nil"/>
              <w:left w:val="nil"/>
              <w:bottom w:val="single" w:sz="8" w:space="0" w:color="auto"/>
              <w:right w:val="single" w:sz="8" w:space="0" w:color="auto"/>
            </w:tcBorders>
            <w:shd w:val="clear" w:color="000000" w:fill="FFFFFF"/>
            <w:hideMark/>
          </w:tcPr>
          <w:p w14:paraId="75D23973" w14:textId="19EF8773" w:rsidR="00FC15CF" w:rsidRPr="00FC15CF" w:rsidRDefault="00FC15CF" w:rsidP="00FC15CF">
            <w:pPr>
              <w:jc w:val="center"/>
              <w:rPr>
                <w:b w:val="0"/>
                <w:sz w:val="22"/>
                <w:szCs w:val="22"/>
              </w:rPr>
            </w:pPr>
            <w:r w:rsidRPr="00FC15CF">
              <w:rPr>
                <w:b w:val="0"/>
              </w:rPr>
              <w:t>5,247,392</w:t>
            </w:r>
          </w:p>
        </w:tc>
        <w:tc>
          <w:tcPr>
            <w:tcW w:w="1072" w:type="dxa"/>
            <w:tcBorders>
              <w:top w:val="nil"/>
              <w:left w:val="nil"/>
              <w:bottom w:val="single" w:sz="8" w:space="0" w:color="auto"/>
              <w:right w:val="single" w:sz="8" w:space="0" w:color="auto"/>
            </w:tcBorders>
            <w:shd w:val="clear" w:color="auto" w:fill="auto"/>
            <w:hideMark/>
          </w:tcPr>
          <w:p w14:paraId="1CF2F674" w14:textId="5346401F" w:rsidR="00FC15CF" w:rsidRPr="00FC15CF" w:rsidRDefault="00FC15CF" w:rsidP="00FC15CF">
            <w:pPr>
              <w:jc w:val="center"/>
              <w:rPr>
                <w:b w:val="0"/>
                <w:sz w:val="22"/>
                <w:szCs w:val="22"/>
              </w:rPr>
            </w:pPr>
            <w:r w:rsidRPr="00FC15CF">
              <w:rPr>
                <w:b w:val="0"/>
              </w:rPr>
              <w:t>-4.0</w:t>
            </w:r>
          </w:p>
        </w:tc>
        <w:tc>
          <w:tcPr>
            <w:tcW w:w="1072" w:type="dxa"/>
            <w:tcBorders>
              <w:top w:val="nil"/>
              <w:left w:val="nil"/>
              <w:bottom w:val="single" w:sz="8" w:space="0" w:color="auto"/>
              <w:right w:val="single" w:sz="8" w:space="0" w:color="auto"/>
            </w:tcBorders>
            <w:shd w:val="clear" w:color="auto" w:fill="auto"/>
            <w:hideMark/>
          </w:tcPr>
          <w:p w14:paraId="2FE5756A" w14:textId="08CDB8B3" w:rsidR="00FC15CF" w:rsidRPr="00FC15CF" w:rsidRDefault="00FC15CF" w:rsidP="00FC15CF">
            <w:pPr>
              <w:jc w:val="center"/>
              <w:rPr>
                <w:b w:val="0"/>
                <w:sz w:val="22"/>
                <w:szCs w:val="22"/>
              </w:rPr>
            </w:pPr>
            <w:r w:rsidRPr="00FC15CF">
              <w:rPr>
                <w:b w:val="0"/>
              </w:rPr>
              <w:t>-3.7</w:t>
            </w:r>
          </w:p>
        </w:tc>
        <w:tc>
          <w:tcPr>
            <w:tcW w:w="1072" w:type="dxa"/>
            <w:tcBorders>
              <w:top w:val="nil"/>
              <w:left w:val="nil"/>
              <w:bottom w:val="single" w:sz="8" w:space="0" w:color="auto"/>
              <w:right w:val="single" w:sz="8" w:space="0" w:color="auto"/>
            </w:tcBorders>
            <w:shd w:val="clear" w:color="auto" w:fill="auto"/>
            <w:hideMark/>
          </w:tcPr>
          <w:p w14:paraId="10D642F8" w14:textId="67A0B956" w:rsidR="00FC15CF" w:rsidRPr="00FC15CF" w:rsidRDefault="00FC15CF" w:rsidP="00FC15CF">
            <w:pPr>
              <w:jc w:val="center"/>
              <w:rPr>
                <w:b w:val="0"/>
                <w:sz w:val="22"/>
                <w:szCs w:val="22"/>
              </w:rPr>
            </w:pPr>
            <w:r w:rsidRPr="00FC15CF">
              <w:rPr>
                <w:b w:val="0"/>
              </w:rPr>
              <w:t>NA</w:t>
            </w:r>
          </w:p>
        </w:tc>
      </w:tr>
      <w:tr w:rsidR="00FC15CF" w:rsidRPr="00E76846" w14:paraId="483FC3B3" w14:textId="77777777" w:rsidTr="00B71BF0">
        <w:trPr>
          <w:trHeight w:val="331"/>
          <w:jc w:val="center"/>
        </w:trPr>
        <w:tc>
          <w:tcPr>
            <w:tcW w:w="1096" w:type="dxa"/>
            <w:tcBorders>
              <w:top w:val="nil"/>
              <w:left w:val="single" w:sz="8" w:space="0" w:color="auto"/>
              <w:bottom w:val="single" w:sz="8" w:space="0" w:color="auto"/>
              <w:right w:val="single" w:sz="8" w:space="0" w:color="auto"/>
            </w:tcBorders>
            <w:shd w:val="clear" w:color="auto" w:fill="auto"/>
            <w:hideMark/>
          </w:tcPr>
          <w:p w14:paraId="0A5D728E" w14:textId="55D2D80B" w:rsidR="00FC15CF" w:rsidRPr="00E76846" w:rsidRDefault="00FC15CF" w:rsidP="00FC15CF">
            <w:pPr>
              <w:jc w:val="center"/>
              <w:rPr>
                <w:bCs/>
                <w:sz w:val="22"/>
                <w:szCs w:val="22"/>
              </w:rPr>
            </w:pPr>
            <w:r w:rsidRPr="00F70E53">
              <w:t>2013</w:t>
            </w:r>
          </w:p>
        </w:tc>
        <w:tc>
          <w:tcPr>
            <w:tcW w:w="840" w:type="dxa"/>
            <w:tcBorders>
              <w:top w:val="nil"/>
              <w:left w:val="nil"/>
              <w:bottom w:val="single" w:sz="8" w:space="0" w:color="auto"/>
              <w:right w:val="single" w:sz="8" w:space="0" w:color="auto"/>
            </w:tcBorders>
            <w:shd w:val="clear" w:color="000000" w:fill="FFFFFF"/>
            <w:hideMark/>
          </w:tcPr>
          <w:p w14:paraId="3E00758C" w14:textId="4E734EB1" w:rsidR="00FC15CF" w:rsidRPr="00FC15CF" w:rsidRDefault="00FC15CF" w:rsidP="00FC15CF">
            <w:pPr>
              <w:jc w:val="center"/>
              <w:rPr>
                <w:b w:val="0"/>
                <w:sz w:val="22"/>
                <w:szCs w:val="22"/>
              </w:rPr>
            </w:pPr>
            <w:r w:rsidRPr="00FC15CF">
              <w:rPr>
                <w:b w:val="0"/>
              </w:rPr>
              <w:t>1,357</w:t>
            </w:r>
          </w:p>
        </w:tc>
        <w:tc>
          <w:tcPr>
            <w:tcW w:w="1072" w:type="dxa"/>
            <w:tcBorders>
              <w:top w:val="nil"/>
              <w:left w:val="nil"/>
              <w:bottom w:val="single" w:sz="8" w:space="0" w:color="auto"/>
              <w:right w:val="single" w:sz="8" w:space="0" w:color="auto"/>
            </w:tcBorders>
            <w:shd w:val="clear" w:color="000000" w:fill="FFFFFF"/>
            <w:hideMark/>
          </w:tcPr>
          <w:p w14:paraId="32AA4C09" w14:textId="3DC0DD9A" w:rsidR="00FC15CF" w:rsidRPr="00FC15CF" w:rsidRDefault="00FC15CF" w:rsidP="00FC15CF">
            <w:pPr>
              <w:jc w:val="center"/>
              <w:rPr>
                <w:b w:val="0"/>
                <w:sz w:val="22"/>
                <w:szCs w:val="22"/>
              </w:rPr>
            </w:pPr>
            <w:r w:rsidRPr="00FC15CF">
              <w:rPr>
                <w:b w:val="0"/>
              </w:rPr>
              <w:t>1,352</w:t>
            </w:r>
          </w:p>
        </w:tc>
        <w:tc>
          <w:tcPr>
            <w:tcW w:w="840" w:type="dxa"/>
            <w:tcBorders>
              <w:top w:val="nil"/>
              <w:left w:val="nil"/>
              <w:bottom w:val="single" w:sz="8" w:space="0" w:color="auto"/>
              <w:right w:val="single" w:sz="8" w:space="0" w:color="auto"/>
            </w:tcBorders>
            <w:shd w:val="clear" w:color="000000" w:fill="FFFFFF"/>
            <w:hideMark/>
          </w:tcPr>
          <w:p w14:paraId="4A33B662" w14:textId="0D9AFE9A" w:rsidR="00FC15CF" w:rsidRPr="00FC15CF" w:rsidRDefault="00FC15CF" w:rsidP="00FC15CF">
            <w:pPr>
              <w:jc w:val="center"/>
              <w:rPr>
                <w:b w:val="0"/>
                <w:sz w:val="22"/>
                <w:szCs w:val="22"/>
              </w:rPr>
            </w:pPr>
            <w:r w:rsidRPr="00FC15CF">
              <w:rPr>
                <w:b w:val="0"/>
              </w:rPr>
              <w:t>1,252</w:t>
            </w:r>
          </w:p>
        </w:tc>
        <w:tc>
          <w:tcPr>
            <w:tcW w:w="1072" w:type="dxa"/>
            <w:tcBorders>
              <w:top w:val="nil"/>
              <w:left w:val="nil"/>
              <w:bottom w:val="single" w:sz="8" w:space="0" w:color="auto"/>
              <w:right w:val="single" w:sz="8" w:space="0" w:color="auto"/>
            </w:tcBorders>
            <w:shd w:val="clear" w:color="000000" w:fill="FFFFFF"/>
            <w:hideMark/>
          </w:tcPr>
          <w:p w14:paraId="3CE8A186" w14:textId="6605CC95" w:rsidR="00FC15CF" w:rsidRPr="00FC15CF" w:rsidRDefault="00FC15CF" w:rsidP="00FC15CF">
            <w:pPr>
              <w:jc w:val="center"/>
              <w:rPr>
                <w:b w:val="0"/>
                <w:sz w:val="22"/>
                <w:szCs w:val="22"/>
              </w:rPr>
            </w:pPr>
            <w:r w:rsidRPr="00FC15CF">
              <w:rPr>
                <w:b w:val="0"/>
              </w:rPr>
              <w:t>1,248</w:t>
            </w:r>
          </w:p>
        </w:tc>
        <w:tc>
          <w:tcPr>
            <w:tcW w:w="656" w:type="dxa"/>
            <w:tcBorders>
              <w:top w:val="nil"/>
              <w:left w:val="nil"/>
              <w:bottom w:val="single" w:sz="8" w:space="0" w:color="auto"/>
              <w:right w:val="single" w:sz="8" w:space="0" w:color="auto"/>
            </w:tcBorders>
            <w:shd w:val="clear" w:color="000000" w:fill="FFFFFF"/>
            <w:hideMark/>
          </w:tcPr>
          <w:p w14:paraId="438955F1" w14:textId="4B202398" w:rsidR="00FC15CF" w:rsidRPr="00FC15CF" w:rsidRDefault="00FC15CF" w:rsidP="00FC15CF">
            <w:pPr>
              <w:jc w:val="center"/>
              <w:rPr>
                <w:b w:val="0"/>
                <w:sz w:val="22"/>
                <w:szCs w:val="22"/>
              </w:rPr>
            </w:pPr>
            <w:r w:rsidRPr="00FC15CF">
              <w:rPr>
                <w:b w:val="0"/>
              </w:rPr>
              <w:t>0</w:t>
            </w:r>
          </w:p>
        </w:tc>
        <w:tc>
          <w:tcPr>
            <w:tcW w:w="1011" w:type="dxa"/>
            <w:tcBorders>
              <w:top w:val="nil"/>
              <w:left w:val="nil"/>
              <w:bottom w:val="single" w:sz="8" w:space="0" w:color="auto"/>
              <w:right w:val="single" w:sz="8" w:space="0" w:color="auto"/>
            </w:tcBorders>
            <w:shd w:val="clear" w:color="000000" w:fill="FFFFFF"/>
            <w:hideMark/>
          </w:tcPr>
          <w:p w14:paraId="06B2C43D" w14:textId="14FE9D5B" w:rsidR="00FC15CF" w:rsidRPr="00FC15CF" w:rsidRDefault="00FC15CF" w:rsidP="00FC15CF">
            <w:pPr>
              <w:jc w:val="center"/>
              <w:rPr>
                <w:b w:val="0"/>
                <w:sz w:val="22"/>
                <w:szCs w:val="22"/>
              </w:rPr>
            </w:pPr>
            <w:r w:rsidRPr="00FC15CF">
              <w:rPr>
                <w:b w:val="0"/>
              </w:rPr>
              <w:t>1,248</w:t>
            </w:r>
          </w:p>
        </w:tc>
        <w:tc>
          <w:tcPr>
            <w:tcW w:w="1096" w:type="dxa"/>
            <w:tcBorders>
              <w:top w:val="nil"/>
              <w:left w:val="nil"/>
              <w:bottom w:val="single" w:sz="8" w:space="0" w:color="auto"/>
              <w:right w:val="single" w:sz="8" w:space="0" w:color="auto"/>
            </w:tcBorders>
            <w:shd w:val="clear" w:color="000000" w:fill="FFFFFF"/>
            <w:hideMark/>
          </w:tcPr>
          <w:p w14:paraId="131F08CB" w14:textId="76822E58" w:rsidR="00FC15CF" w:rsidRPr="00FC15CF" w:rsidRDefault="00FC15CF" w:rsidP="00FC15CF">
            <w:pPr>
              <w:jc w:val="center"/>
              <w:rPr>
                <w:b w:val="0"/>
                <w:sz w:val="22"/>
                <w:szCs w:val="22"/>
              </w:rPr>
            </w:pPr>
            <w:r w:rsidRPr="00FC15CF">
              <w:rPr>
                <w:b w:val="0"/>
              </w:rPr>
              <w:t>6,028,388</w:t>
            </w:r>
          </w:p>
        </w:tc>
        <w:tc>
          <w:tcPr>
            <w:tcW w:w="1096" w:type="dxa"/>
            <w:tcBorders>
              <w:top w:val="nil"/>
              <w:left w:val="nil"/>
              <w:bottom w:val="single" w:sz="8" w:space="0" w:color="auto"/>
              <w:right w:val="single" w:sz="8" w:space="0" w:color="auto"/>
            </w:tcBorders>
            <w:shd w:val="clear" w:color="000000" w:fill="FFFFFF"/>
            <w:hideMark/>
          </w:tcPr>
          <w:p w14:paraId="28A102CE" w14:textId="4CBE4787" w:rsidR="00FC15CF" w:rsidRPr="00FC15CF" w:rsidRDefault="00FC15CF" w:rsidP="00FC15CF">
            <w:pPr>
              <w:jc w:val="center"/>
              <w:rPr>
                <w:b w:val="0"/>
                <w:sz w:val="22"/>
                <w:szCs w:val="22"/>
              </w:rPr>
            </w:pPr>
            <w:r w:rsidRPr="00FC15CF">
              <w:rPr>
                <w:b w:val="0"/>
              </w:rPr>
              <w:t>6,008,772</w:t>
            </w:r>
          </w:p>
        </w:tc>
        <w:tc>
          <w:tcPr>
            <w:tcW w:w="1096" w:type="dxa"/>
            <w:tcBorders>
              <w:top w:val="nil"/>
              <w:left w:val="nil"/>
              <w:bottom w:val="single" w:sz="8" w:space="0" w:color="auto"/>
              <w:right w:val="single" w:sz="8" w:space="0" w:color="auto"/>
            </w:tcBorders>
            <w:shd w:val="clear" w:color="000000" w:fill="FFFFFF"/>
            <w:hideMark/>
          </w:tcPr>
          <w:p w14:paraId="43F54F02" w14:textId="13F0334B" w:rsidR="00FC15CF" w:rsidRPr="00FC15CF" w:rsidRDefault="00FC15CF" w:rsidP="00FC15CF">
            <w:pPr>
              <w:jc w:val="center"/>
              <w:rPr>
                <w:b w:val="0"/>
                <w:sz w:val="22"/>
                <w:szCs w:val="22"/>
              </w:rPr>
            </w:pPr>
            <w:r w:rsidRPr="00FC15CF">
              <w:rPr>
                <w:b w:val="0"/>
              </w:rPr>
              <w:t>5,276,023</w:t>
            </w:r>
          </w:p>
        </w:tc>
        <w:tc>
          <w:tcPr>
            <w:tcW w:w="1096" w:type="dxa"/>
            <w:tcBorders>
              <w:top w:val="nil"/>
              <w:left w:val="nil"/>
              <w:bottom w:val="single" w:sz="8" w:space="0" w:color="auto"/>
              <w:right w:val="single" w:sz="8" w:space="0" w:color="auto"/>
            </w:tcBorders>
            <w:shd w:val="clear" w:color="000000" w:fill="FFFFFF"/>
            <w:hideMark/>
          </w:tcPr>
          <w:p w14:paraId="34E4E614" w14:textId="0D20EA35" w:rsidR="00FC15CF" w:rsidRPr="00FC15CF" w:rsidRDefault="00FC15CF" w:rsidP="00FC15CF">
            <w:pPr>
              <w:jc w:val="center"/>
              <w:rPr>
                <w:b w:val="0"/>
                <w:sz w:val="22"/>
                <w:szCs w:val="22"/>
              </w:rPr>
            </w:pPr>
            <w:r w:rsidRPr="00FC15CF">
              <w:rPr>
                <w:b w:val="0"/>
              </w:rPr>
              <w:t>5,256,408</w:t>
            </w:r>
          </w:p>
        </w:tc>
        <w:tc>
          <w:tcPr>
            <w:tcW w:w="1072" w:type="dxa"/>
            <w:tcBorders>
              <w:top w:val="nil"/>
              <w:left w:val="nil"/>
              <w:bottom w:val="single" w:sz="8" w:space="0" w:color="auto"/>
              <w:right w:val="single" w:sz="8" w:space="0" w:color="auto"/>
            </w:tcBorders>
            <w:shd w:val="clear" w:color="auto" w:fill="auto"/>
            <w:hideMark/>
          </w:tcPr>
          <w:p w14:paraId="4C5B6BC0" w14:textId="339A311C" w:rsidR="00FC15CF" w:rsidRPr="00FC15CF" w:rsidRDefault="00FC15CF" w:rsidP="00FC15CF">
            <w:pPr>
              <w:jc w:val="center"/>
              <w:rPr>
                <w:b w:val="0"/>
                <w:sz w:val="22"/>
                <w:szCs w:val="22"/>
              </w:rPr>
            </w:pPr>
            <w:r w:rsidRPr="00FC15CF">
              <w:rPr>
                <w:b w:val="0"/>
              </w:rPr>
              <w:t>64.0</w:t>
            </w:r>
          </w:p>
        </w:tc>
        <w:tc>
          <w:tcPr>
            <w:tcW w:w="1072" w:type="dxa"/>
            <w:tcBorders>
              <w:top w:val="nil"/>
              <w:left w:val="nil"/>
              <w:bottom w:val="single" w:sz="8" w:space="0" w:color="auto"/>
              <w:right w:val="single" w:sz="8" w:space="0" w:color="auto"/>
            </w:tcBorders>
            <w:shd w:val="clear" w:color="auto" w:fill="auto"/>
            <w:hideMark/>
          </w:tcPr>
          <w:p w14:paraId="6A418076" w14:textId="5DA3A388" w:rsidR="00FC15CF" w:rsidRPr="00FC15CF" w:rsidRDefault="00FC15CF" w:rsidP="00FC15CF">
            <w:pPr>
              <w:jc w:val="center"/>
              <w:rPr>
                <w:b w:val="0"/>
                <w:sz w:val="22"/>
                <w:szCs w:val="22"/>
              </w:rPr>
            </w:pPr>
            <w:r w:rsidRPr="00FC15CF">
              <w:rPr>
                <w:b w:val="0"/>
              </w:rPr>
              <w:t>58.4</w:t>
            </w:r>
          </w:p>
        </w:tc>
        <w:tc>
          <w:tcPr>
            <w:tcW w:w="1072" w:type="dxa"/>
            <w:tcBorders>
              <w:top w:val="nil"/>
              <w:left w:val="nil"/>
              <w:bottom w:val="single" w:sz="8" w:space="0" w:color="auto"/>
              <w:right w:val="single" w:sz="8" w:space="0" w:color="auto"/>
            </w:tcBorders>
            <w:shd w:val="clear" w:color="auto" w:fill="auto"/>
            <w:hideMark/>
          </w:tcPr>
          <w:p w14:paraId="6DEA154B" w14:textId="5AAD9F2A" w:rsidR="00FC15CF" w:rsidRPr="00FC15CF" w:rsidRDefault="00FC15CF" w:rsidP="00FC15CF">
            <w:pPr>
              <w:jc w:val="center"/>
              <w:rPr>
                <w:b w:val="0"/>
                <w:sz w:val="22"/>
                <w:szCs w:val="22"/>
              </w:rPr>
            </w:pPr>
            <w:r w:rsidRPr="00FC15CF">
              <w:rPr>
                <w:b w:val="0"/>
              </w:rPr>
              <w:t>NA</w:t>
            </w:r>
          </w:p>
        </w:tc>
      </w:tr>
      <w:tr w:rsidR="00FC15CF" w:rsidRPr="00E76846" w14:paraId="408875BF" w14:textId="77777777" w:rsidTr="00B71BF0">
        <w:trPr>
          <w:trHeight w:val="349"/>
          <w:jc w:val="center"/>
        </w:trPr>
        <w:tc>
          <w:tcPr>
            <w:tcW w:w="1096" w:type="dxa"/>
            <w:tcBorders>
              <w:top w:val="nil"/>
              <w:left w:val="single" w:sz="8" w:space="0" w:color="auto"/>
              <w:bottom w:val="single" w:sz="8" w:space="0" w:color="auto"/>
              <w:right w:val="single" w:sz="8" w:space="0" w:color="auto"/>
            </w:tcBorders>
            <w:shd w:val="clear" w:color="auto" w:fill="auto"/>
            <w:hideMark/>
          </w:tcPr>
          <w:p w14:paraId="5143819E" w14:textId="4BD8A600" w:rsidR="00FC15CF" w:rsidRPr="00E76846" w:rsidRDefault="00FC15CF" w:rsidP="00FC15CF">
            <w:pPr>
              <w:jc w:val="center"/>
              <w:rPr>
                <w:bCs/>
                <w:sz w:val="22"/>
                <w:szCs w:val="22"/>
              </w:rPr>
            </w:pPr>
            <w:r w:rsidRPr="00F70E53">
              <w:t>2014</w:t>
            </w:r>
          </w:p>
        </w:tc>
        <w:tc>
          <w:tcPr>
            <w:tcW w:w="840" w:type="dxa"/>
            <w:tcBorders>
              <w:top w:val="nil"/>
              <w:left w:val="nil"/>
              <w:bottom w:val="single" w:sz="8" w:space="0" w:color="auto"/>
              <w:right w:val="single" w:sz="8" w:space="0" w:color="auto"/>
            </w:tcBorders>
            <w:shd w:val="clear" w:color="auto" w:fill="auto"/>
            <w:hideMark/>
          </w:tcPr>
          <w:p w14:paraId="25D07134" w14:textId="3314B97E" w:rsidR="00FC15CF" w:rsidRPr="00FC15CF" w:rsidRDefault="00FC15CF" w:rsidP="00FC15CF">
            <w:pPr>
              <w:jc w:val="center"/>
              <w:rPr>
                <w:b w:val="0"/>
                <w:sz w:val="22"/>
                <w:szCs w:val="22"/>
              </w:rPr>
            </w:pPr>
            <w:r w:rsidRPr="00FC15CF">
              <w:rPr>
                <w:b w:val="0"/>
              </w:rPr>
              <w:t>1,385</w:t>
            </w:r>
          </w:p>
        </w:tc>
        <w:tc>
          <w:tcPr>
            <w:tcW w:w="1072" w:type="dxa"/>
            <w:tcBorders>
              <w:top w:val="nil"/>
              <w:left w:val="nil"/>
              <w:bottom w:val="single" w:sz="8" w:space="0" w:color="auto"/>
              <w:right w:val="single" w:sz="8" w:space="0" w:color="auto"/>
            </w:tcBorders>
            <w:shd w:val="clear" w:color="auto" w:fill="auto"/>
            <w:hideMark/>
          </w:tcPr>
          <w:p w14:paraId="48939375" w14:textId="16621596" w:rsidR="00FC15CF" w:rsidRPr="00FC15CF" w:rsidRDefault="00FC15CF" w:rsidP="00FC15CF">
            <w:pPr>
              <w:jc w:val="center"/>
              <w:rPr>
                <w:b w:val="0"/>
                <w:sz w:val="22"/>
                <w:szCs w:val="22"/>
              </w:rPr>
            </w:pPr>
            <w:r w:rsidRPr="00FC15CF">
              <w:rPr>
                <w:b w:val="0"/>
              </w:rPr>
              <w:t>1,387</w:t>
            </w:r>
          </w:p>
        </w:tc>
        <w:tc>
          <w:tcPr>
            <w:tcW w:w="840" w:type="dxa"/>
            <w:tcBorders>
              <w:top w:val="nil"/>
              <w:left w:val="nil"/>
              <w:bottom w:val="single" w:sz="8" w:space="0" w:color="auto"/>
              <w:right w:val="single" w:sz="8" w:space="0" w:color="auto"/>
            </w:tcBorders>
            <w:shd w:val="clear" w:color="auto" w:fill="auto"/>
            <w:hideMark/>
          </w:tcPr>
          <w:p w14:paraId="608CD8DA" w14:textId="58AEE04E" w:rsidR="00FC15CF" w:rsidRPr="00FC15CF" w:rsidRDefault="00FC15CF" w:rsidP="00FC15CF">
            <w:pPr>
              <w:jc w:val="center"/>
              <w:rPr>
                <w:b w:val="0"/>
                <w:sz w:val="22"/>
                <w:szCs w:val="22"/>
              </w:rPr>
            </w:pPr>
            <w:r w:rsidRPr="00FC15CF">
              <w:rPr>
                <w:b w:val="0"/>
              </w:rPr>
              <w:t>1,289</w:t>
            </w:r>
          </w:p>
        </w:tc>
        <w:tc>
          <w:tcPr>
            <w:tcW w:w="1072" w:type="dxa"/>
            <w:tcBorders>
              <w:top w:val="nil"/>
              <w:left w:val="nil"/>
              <w:bottom w:val="single" w:sz="8" w:space="0" w:color="auto"/>
              <w:right w:val="single" w:sz="8" w:space="0" w:color="auto"/>
            </w:tcBorders>
            <w:shd w:val="clear" w:color="auto" w:fill="auto"/>
            <w:hideMark/>
          </w:tcPr>
          <w:p w14:paraId="16680BDF" w14:textId="76F351D0" w:rsidR="00FC15CF" w:rsidRPr="00FC15CF" w:rsidRDefault="00FC15CF" w:rsidP="00FC15CF">
            <w:pPr>
              <w:jc w:val="center"/>
              <w:rPr>
                <w:b w:val="0"/>
                <w:sz w:val="22"/>
                <w:szCs w:val="22"/>
              </w:rPr>
            </w:pPr>
            <w:r w:rsidRPr="00FC15CF">
              <w:rPr>
                <w:b w:val="0"/>
              </w:rPr>
              <w:t>1,291</w:t>
            </w:r>
          </w:p>
        </w:tc>
        <w:tc>
          <w:tcPr>
            <w:tcW w:w="656" w:type="dxa"/>
            <w:tcBorders>
              <w:top w:val="nil"/>
              <w:left w:val="nil"/>
              <w:bottom w:val="single" w:sz="8" w:space="0" w:color="auto"/>
              <w:right w:val="single" w:sz="8" w:space="0" w:color="auto"/>
            </w:tcBorders>
            <w:shd w:val="clear" w:color="auto" w:fill="auto"/>
            <w:hideMark/>
          </w:tcPr>
          <w:p w14:paraId="309C3A56" w14:textId="00D0F91F" w:rsidR="00FC15CF" w:rsidRPr="00FC15CF" w:rsidRDefault="00FC15CF" w:rsidP="00FC15CF">
            <w:pPr>
              <w:jc w:val="center"/>
              <w:rPr>
                <w:b w:val="0"/>
                <w:sz w:val="22"/>
                <w:szCs w:val="22"/>
              </w:rPr>
            </w:pPr>
            <w:r w:rsidRPr="00FC15CF">
              <w:rPr>
                <w:b w:val="0"/>
              </w:rPr>
              <w:t>0</w:t>
            </w:r>
          </w:p>
        </w:tc>
        <w:tc>
          <w:tcPr>
            <w:tcW w:w="1011" w:type="dxa"/>
            <w:tcBorders>
              <w:top w:val="nil"/>
              <w:left w:val="nil"/>
              <w:bottom w:val="single" w:sz="8" w:space="0" w:color="auto"/>
              <w:right w:val="single" w:sz="8" w:space="0" w:color="auto"/>
            </w:tcBorders>
            <w:shd w:val="clear" w:color="000000" w:fill="FFFFFF"/>
            <w:hideMark/>
          </w:tcPr>
          <w:p w14:paraId="7476C44A" w14:textId="373D9406" w:rsidR="00FC15CF" w:rsidRPr="00FC15CF" w:rsidRDefault="00FC15CF" w:rsidP="00FC15CF">
            <w:pPr>
              <w:jc w:val="center"/>
              <w:rPr>
                <w:b w:val="0"/>
                <w:sz w:val="22"/>
                <w:szCs w:val="22"/>
              </w:rPr>
            </w:pPr>
            <w:r w:rsidRPr="00FC15CF">
              <w:rPr>
                <w:b w:val="0"/>
              </w:rPr>
              <w:t>1,291</w:t>
            </w:r>
          </w:p>
        </w:tc>
        <w:tc>
          <w:tcPr>
            <w:tcW w:w="1096" w:type="dxa"/>
            <w:tcBorders>
              <w:top w:val="nil"/>
              <w:left w:val="nil"/>
              <w:bottom w:val="single" w:sz="8" w:space="0" w:color="auto"/>
              <w:right w:val="single" w:sz="8" w:space="0" w:color="auto"/>
            </w:tcBorders>
            <w:shd w:val="clear" w:color="auto" w:fill="auto"/>
            <w:hideMark/>
          </w:tcPr>
          <w:p w14:paraId="0B553CED" w14:textId="389A22FA" w:rsidR="00FC15CF" w:rsidRPr="00FC15CF" w:rsidRDefault="00FC15CF" w:rsidP="00FC15CF">
            <w:pPr>
              <w:jc w:val="center"/>
              <w:rPr>
                <w:b w:val="0"/>
                <w:sz w:val="22"/>
                <w:szCs w:val="22"/>
              </w:rPr>
            </w:pPr>
            <w:r w:rsidRPr="00FC15CF">
              <w:rPr>
                <w:b w:val="0"/>
              </w:rPr>
              <w:t>5,973,273</w:t>
            </w:r>
          </w:p>
        </w:tc>
        <w:tc>
          <w:tcPr>
            <w:tcW w:w="1096" w:type="dxa"/>
            <w:tcBorders>
              <w:top w:val="nil"/>
              <w:left w:val="nil"/>
              <w:bottom w:val="single" w:sz="8" w:space="0" w:color="auto"/>
              <w:right w:val="single" w:sz="8" w:space="0" w:color="auto"/>
            </w:tcBorders>
            <w:shd w:val="clear" w:color="auto" w:fill="auto"/>
            <w:hideMark/>
          </w:tcPr>
          <w:p w14:paraId="600F151B" w14:textId="0B6F4978" w:rsidR="00FC15CF" w:rsidRPr="00FC15CF" w:rsidRDefault="00FC15CF" w:rsidP="00FC15CF">
            <w:pPr>
              <w:jc w:val="center"/>
              <w:rPr>
                <w:b w:val="0"/>
                <w:sz w:val="22"/>
                <w:szCs w:val="22"/>
              </w:rPr>
            </w:pPr>
            <w:r w:rsidRPr="00FC15CF">
              <w:rPr>
                <w:b w:val="0"/>
              </w:rPr>
              <w:t>5,981,108</w:t>
            </w:r>
          </w:p>
        </w:tc>
        <w:tc>
          <w:tcPr>
            <w:tcW w:w="1096" w:type="dxa"/>
            <w:tcBorders>
              <w:top w:val="nil"/>
              <w:left w:val="nil"/>
              <w:bottom w:val="single" w:sz="8" w:space="0" w:color="auto"/>
              <w:right w:val="single" w:sz="8" w:space="0" w:color="auto"/>
            </w:tcBorders>
            <w:shd w:val="clear" w:color="auto" w:fill="auto"/>
            <w:hideMark/>
          </w:tcPr>
          <w:p w14:paraId="3DA991D0" w14:textId="20B042F8" w:rsidR="00FC15CF" w:rsidRPr="00FC15CF" w:rsidRDefault="00FC15CF" w:rsidP="00FC15CF">
            <w:pPr>
              <w:jc w:val="center"/>
              <w:rPr>
                <w:b w:val="0"/>
                <w:sz w:val="22"/>
                <w:szCs w:val="22"/>
              </w:rPr>
            </w:pPr>
            <w:r w:rsidRPr="00FC15CF">
              <w:rPr>
                <w:b w:val="0"/>
              </w:rPr>
              <w:t>5,211,869</w:t>
            </w:r>
          </w:p>
        </w:tc>
        <w:tc>
          <w:tcPr>
            <w:tcW w:w="1096" w:type="dxa"/>
            <w:tcBorders>
              <w:top w:val="nil"/>
              <w:left w:val="nil"/>
              <w:bottom w:val="single" w:sz="8" w:space="0" w:color="auto"/>
              <w:right w:val="single" w:sz="8" w:space="0" w:color="auto"/>
            </w:tcBorders>
            <w:shd w:val="clear" w:color="auto" w:fill="auto"/>
            <w:hideMark/>
          </w:tcPr>
          <w:p w14:paraId="2D4BACB5" w14:textId="6C768A59" w:rsidR="00FC15CF" w:rsidRPr="00FC15CF" w:rsidRDefault="00FC15CF" w:rsidP="00FC15CF">
            <w:pPr>
              <w:jc w:val="center"/>
              <w:rPr>
                <w:b w:val="0"/>
                <w:sz w:val="22"/>
                <w:szCs w:val="22"/>
              </w:rPr>
            </w:pPr>
            <w:r w:rsidRPr="00FC15CF">
              <w:rPr>
                <w:b w:val="0"/>
              </w:rPr>
              <w:t>5,219,704</w:t>
            </w:r>
          </w:p>
        </w:tc>
        <w:tc>
          <w:tcPr>
            <w:tcW w:w="1072" w:type="dxa"/>
            <w:tcBorders>
              <w:top w:val="nil"/>
              <w:left w:val="nil"/>
              <w:bottom w:val="single" w:sz="8" w:space="0" w:color="auto"/>
              <w:right w:val="single" w:sz="8" w:space="0" w:color="auto"/>
            </w:tcBorders>
            <w:shd w:val="clear" w:color="auto" w:fill="auto"/>
            <w:hideMark/>
          </w:tcPr>
          <w:p w14:paraId="4B2D74EB" w14:textId="7ACAA6CC" w:rsidR="00FC15CF" w:rsidRPr="00FC15CF" w:rsidRDefault="00FC15CF" w:rsidP="00FC15CF">
            <w:pPr>
              <w:jc w:val="center"/>
              <w:rPr>
                <w:b w:val="0"/>
                <w:sz w:val="22"/>
                <w:szCs w:val="22"/>
              </w:rPr>
            </w:pPr>
            <w:r w:rsidRPr="00FC15CF">
              <w:rPr>
                <w:b w:val="0"/>
              </w:rPr>
              <w:t>43.0</w:t>
            </w:r>
          </w:p>
        </w:tc>
        <w:tc>
          <w:tcPr>
            <w:tcW w:w="1072" w:type="dxa"/>
            <w:tcBorders>
              <w:top w:val="nil"/>
              <w:left w:val="nil"/>
              <w:bottom w:val="single" w:sz="8" w:space="0" w:color="auto"/>
              <w:right w:val="single" w:sz="8" w:space="0" w:color="auto"/>
            </w:tcBorders>
            <w:shd w:val="clear" w:color="auto" w:fill="auto"/>
            <w:hideMark/>
          </w:tcPr>
          <w:p w14:paraId="29EB3B0E" w14:textId="4DF8F4C7" w:rsidR="00FC15CF" w:rsidRPr="00FC15CF" w:rsidRDefault="00FC15CF" w:rsidP="00FC15CF">
            <w:pPr>
              <w:jc w:val="center"/>
              <w:rPr>
                <w:b w:val="0"/>
                <w:sz w:val="22"/>
                <w:szCs w:val="22"/>
              </w:rPr>
            </w:pPr>
            <w:r w:rsidRPr="00FC15CF">
              <w:rPr>
                <w:b w:val="0"/>
              </w:rPr>
              <w:t>39.3</w:t>
            </w:r>
          </w:p>
        </w:tc>
        <w:tc>
          <w:tcPr>
            <w:tcW w:w="1072" w:type="dxa"/>
            <w:tcBorders>
              <w:top w:val="nil"/>
              <w:left w:val="nil"/>
              <w:bottom w:val="single" w:sz="8" w:space="0" w:color="auto"/>
              <w:right w:val="single" w:sz="8" w:space="0" w:color="auto"/>
            </w:tcBorders>
            <w:shd w:val="clear" w:color="auto" w:fill="auto"/>
            <w:hideMark/>
          </w:tcPr>
          <w:p w14:paraId="40456034" w14:textId="5EB62588" w:rsidR="00FC15CF" w:rsidRPr="00FC15CF" w:rsidRDefault="00FC15CF" w:rsidP="00FC15CF">
            <w:pPr>
              <w:jc w:val="center"/>
              <w:rPr>
                <w:b w:val="0"/>
                <w:sz w:val="22"/>
                <w:szCs w:val="22"/>
              </w:rPr>
            </w:pPr>
            <w:r w:rsidRPr="00FC15CF">
              <w:rPr>
                <w:b w:val="0"/>
              </w:rPr>
              <w:t>NA</w:t>
            </w:r>
          </w:p>
        </w:tc>
      </w:tr>
      <w:tr w:rsidR="00FC15CF" w:rsidRPr="00E76846" w14:paraId="69136EF2" w14:textId="77777777" w:rsidTr="00B71BF0">
        <w:trPr>
          <w:trHeight w:val="331"/>
          <w:jc w:val="center"/>
        </w:trPr>
        <w:tc>
          <w:tcPr>
            <w:tcW w:w="1096" w:type="dxa"/>
            <w:tcBorders>
              <w:top w:val="nil"/>
              <w:left w:val="single" w:sz="8" w:space="0" w:color="auto"/>
              <w:bottom w:val="single" w:sz="8" w:space="0" w:color="auto"/>
              <w:right w:val="single" w:sz="8" w:space="0" w:color="auto"/>
            </w:tcBorders>
            <w:shd w:val="clear" w:color="auto" w:fill="auto"/>
            <w:hideMark/>
          </w:tcPr>
          <w:p w14:paraId="4E19E578" w14:textId="59667A37" w:rsidR="00FC15CF" w:rsidRPr="00E76846" w:rsidRDefault="00FC15CF" w:rsidP="00FC15CF">
            <w:pPr>
              <w:jc w:val="center"/>
              <w:rPr>
                <w:bCs/>
                <w:sz w:val="22"/>
                <w:szCs w:val="22"/>
              </w:rPr>
            </w:pPr>
            <w:r w:rsidRPr="00F70E53">
              <w:t>2015</w:t>
            </w:r>
          </w:p>
        </w:tc>
        <w:tc>
          <w:tcPr>
            <w:tcW w:w="840" w:type="dxa"/>
            <w:tcBorders>
              <w:top w:val="nil"/>
              <w:left w:val="nil"/>
              <w:bottom w:val="single" w:sz="8" w:space="0" w:color="auto"/>
              <w:right w:val="single" w:sz="8" w:space="0" w:color="auto"/>
            </w:tcBorders>
            <w:shd w:val="clear" w:color="auto" w:fill="auto"/>
            <w:hideMark/>
          </w:tcPr>
          <w:p w14:paraId="52851891" w14:textId="7764D9CE" w:rsidR="00FC15CF" w:rsidRPr="00FC15CF" w:rsidRDefault="00FC15CF" w:rsidP="00FC15CF">
            <w:pPr>
              <w:jc w:val="center"/>
              <w:rPr>
                <w:b w:val="0"/>
                <w:sz w:val="22"/>
                <w:szCs w:val="22"/>
              </w:rPr>
            </w:pPr>
            <w:r w:rsidRPr="00FC15CF">
              <w:rPr>
                <w:b w:val="0"/>
              </w:rPr>
              <w:t>1,398</w:t>
            </w:r>
          </w:p>
        </w:tc>
        <w:tc>
          <w:tcPr>
            <w:tcW w:w="1072" w:type="dxa"/>
            <w:tcBorders>
              <w:top w:val="nil"/>
              <w:left w:val="nil"/>
              <w:bottom w:val="single" w:sz="8" w:space="0" w:color="auto"/>
              <w:right w:val="single" w:sz="8" w:space="0" w:color="auto"/>
            </w:tcBorders>
            <w:shd w:val="clear" w:color="auto" w:fill="auto"/>
            <w:hideMark/>
          </w:tcPr>
          <w:p w14:paraId="570C42B3" w14:textId="158D200B" w:rsidR="00FC15CF" w:rsidRPr="00FC15CF" w:rsidRDefault="00FC15CF" w:rsidP="00FC15CF">
            <w:pPr>
              <w:jc w:val="center"/>
              <w:rPr>
                <w:b w:val="0"/>
                <w:sz w:val="22"/>
                <w:szCs w:val="22"/>
              </w:rPr>
            </w:pPr>
            <w:r w:rsidRPr="00FC15CF">
              <w:rPr>
                <w:b w:val="0"/>
              </w:rPr>
              <w:t>1,386</w:t>
            </w:r>
          </w:p>
        </w:tc>
        <w:tc>
          <w:tcPr>
            <w:tcW w:w="840" w:type="dxa"/>
            <w:tcBorders>
              <w:top w:val="nil"/>
              <w:left w:val="nil"/>
              <w:bottom w:val="single" w:sz="8" w:space="0" w:color="auto"/>
              <w:right w:val="single" w:sz="8" w:space="0" w:color="auto"/>
            </w:tcBorders>
            <w:shd w:val="clear" w:color="auto" w:fill="auto"/>
            <w:hideMark/>
          </w:tcPr>
          <w:p w14:paraId="0C67A692" w14:textId="0C6F6ED7" w:rsidR="00FC15CF" w:rsidRPr="00FC15CF" w:rsidRDefault="00FC15CF" w:rsidP="00FC15CF">
            <w:pPr>
              <w:jc w:val="center"/>
              <w:rPr>
                <w:b w:val="0"/>
                <w:sz w:val="22"/>
                <w:szCs w:val="22"/>
              </w:rPr>
            </w:pPr>
            <w:r w:rsidRPr="00FC15CF">
              <w:rPr>
                <w:b w:val="0"/>
              </w:rPr>
              <w:t>1,279</w:t>
            </w:r>
          </w:p>
        </w:tc>
        <w:tc>
          <w:tcPr>
            <w:tcW w:w="1072" w:type="dxa"/>
            <w:tcBorders>
              <w:top w:val="nil"/>
              <w:left w:val="nil"/>
              <w:bottom w:val="single" w:sz="8" w:space="0" w:color="auto"/>
              <w:right w:val="single" w:sz="8" w:space="0" w:color="auto"/>
            </w:tcBorders>
            <w:shd w:val="clear" w:color="auto" w:fill="auto"/>
            <w:hideMark/>
          </w:tcPr>
          <w:p w14:paraId="7F6DE4D6" w14:textId="3FDE993B" w:rsidR="00FC15CF" w:rsidRPr="00FC15CF" w:rsidRDefault="00FC15CF" w:rsidP="00FC15CF">
            <w:pPr>
              <w:jc w:val="center"/>
              <w:rPr>
                <w:b w:val="0"/>
                <w:sz w:val="22"/>
                <w:szCs w:val="22"/>
              </w:rPr>
            </w:pPr>
            <w:r w:rsidRPr="00FC15CF">
              <w:rPr>
                <w:b w:val="0"/>
              </w:rPr>
              <w:t>1,266</w:t>
            </w:r>
          </w:p>
        </w:tc>
        <w:tc>
          <w:tcPr>
            <w:tcW w:w="656" w:type="dxa"/>
            <w:tcBorders>
              <w:top w:val="nil"/>
              <w:left w:val="nil"/>
              <w:bottom w:val="single" w:sz="8" w:space="0" w:color="auto"/>
              <w:right w:val="single" w:sz="8" w:space="0" w:color="auto"/>
            </w:tcBorders>
            <w:shd w:val="clear" w:color="auto" w:fill="auto"/>
            <w:hideMark/>
          </w:tcPr>
          <w:p w14:paraId="35F0CF9E" w14:textId="4E333A84" w:rsidR="00FC15CF" w:rsidRPr="00FC15CF" w:rsidRDefault="00FC15CF" w:rsidP="00FC15CF">
            <w:pPr>
              <w:jc w:val="center"/>
              <w:rPr>
                <w:b w:val="0"/>
                <w:sz w:val="22"/>
                <w:szCs w:val="22"/>
              </w:rPr>
            </w:pPr>
            <w:r w:rsidRPr="00FC15CF">
              <w:rPr>
                <w:b w:val="0"/>
              </w:rPr>
              <w:t>0</w:t>
            </w:r>
          </w:p>
        </w:tc>
        <w:tc>
          <w:tcPr>
            <w:tcW w:w="1011" w:type="dxa"/>
            <w:tcBorders>
              <w:top w:val="nil"/>
              <w:left w:val="nil"/>
              <w:bottom w:val="single" w:sz="8" w:space="0" w:color="auto"/>
              <w:right w:val="single" w:sz="8" w:space="0" w:color="auto"/>
            </w:tcBorders>
            <w:shd w:val="clear" w:color="000000" w:fill="FFFFFF"/>
            <w:hideMark/>
          </w:tcPr>
          <w:p w14:paraId="7259AD32" w14:textId="4B0A8F06" w:rsidR="00FC15CF" w:rsidRPr="00FC15CF" w:rsidRDefault="00FC15CF" w:rsidP="00FC15CF">
            <w:pPr>
              <w:jc w:val="center"/>
              <w:rPr>
                <w:b w:val="0"/>
                <w:sz w:val="22"/>
                <w:szCs w:val="22"/>
              </w:rPr>
            </w:pPr>
            <w:r w:rsidRPr="00FC15CF">
              <w:rPr>
                <w:b w:val="0"/>
              </w:rPr>
              <w:t>1,266</w:t>
            </w:r>
          </w:p>
        </w:tc>
        <w:tc>
          <w:tcPr>
            <w:tcW w:w="1096" w:type="dxa"/>
            <w:tcBorders>
              <w:top w:val="nil"/>
              <w:left w:val="nil"/>
              <w:bottom w:val="single" w:sz="8" w:space="0" w:color="auto"/>
              <w:right w:val="single" w:sz="8" w:space="0" w:color="auto"/>
            </w:tcBorders>
            <w:shd w:val="clear" w:color="auto" w:fill="auto"/>
            <w:hideMark/>
          </w:tcPr>
          <w:p w14:paraId="75565E55" w14:textId="603EA5F0" w:rsidR="00FC15CF" w:rsidRPr="00FC15CF" w:rsidRDefault="00FC15CF" w:rsidP="00FC15CF">
            <w:pPr>
              <w:jc w:val="center"/>
              <w:rPr>
                <w:b w:val="0"/>
                <w:sz w:val="22"/>
                <w:szCs w:val="22"/>
              </w:rPr>
            </w:pPr>
            <w:r w:rsidRPr="00FC15CF">
              <w:rPr>
                <w:b w:val="0"/>
              </w:rPr>
              <w:t>6,141,917</w:t>
            </w:r>
          </w:p>
        </w:tc>
        <w:tc>
          <w:tcPr>
            <w:tcW w:w="1096" w:type="dxa"/>
            <w:tcBorders>
              <w:top w:val="nil"/>
              <w:left w:val="nil"/>
              <w:bottom w:val="single" w:sz="8" w:space="0" w:color="auto"/>
              <w:right w:val="single" w:sz="8" w:space="0" w:color="auto"/>
            </w:tcBorders>
            <w:shd w:val="clear" w:color="auto" w:fill="auto"/>
            <w:hideMark/>
          </w:tcPr>
          <w:p w14:paraId="0D6DD6CC" w14:textId="27C1CD5A" w:rsidR="00FC15CF" w:rsidRPr="00FC15CF" w:rsidRDefault="00FC15CF" w:rsidP="00FC15CF">
            <w:pPr>
              <w:jc w:val="center"/>
              <w:rPr>
                <w:b w:val="0"/>
                <w:sz w:val="22"/>
                <w:szCs w:val="22"/>
              </w:rPr>
            </w:pPr>
            <w:r w:rsidRPr="00FC15CF">
              <w:rPr>
                <w:b w:val="0"/>
              </w:rPr>
              <w:t>6,086,745</w:t>
            </w:r>
          </w:p>
        </w:tc>
        <w:tc>
          <w:tcPr>
            <w:tcW w:w="1096" w:type="dxa"/>
            <w:tcBorders>
              <w:top w:val="nil"/>
              <w:left w:val="nil"/>
              <w:bottom w:val="single" w:sz="8" w:space="0" w:color="auto"/>
              <w:right w:val="single" w:sz="8" w:space="0" w:color="auto"/>
            </w:tcBorders>
            <w:shd w:val="clear" w:color="auto" w:fill="auto"/>
            <w:hideMark/>
          </w:tcPr>
          <w:p w14:paraId="49D60396" w14:textId="1AC5CEC6" w:rsidR="00FC15CF" w:rsidRPr="00FC15CF" w:rsidRDefault="00FC15CF" w:rsidP="00FC15CF">
            <w:pPr>
              <w:jc w:val="center"/>
              <w:rPr>
                <w:b w:val="0"/>
                <w:sz w:val="22"/>
                <w:szCs w:val="22"/>
              </w:rPr>
            </w:pPr>
            <w:r w:rsidRPr="00FC15CF">
              <w:rPr>
                <w:b w:val="0"/>
              </w:rPr>
              <w:t>5,318,795</w:t>
            </w:r>
          </w:p>
        </w:tc>
        <w:tc>
          <w:tcPr>
            <w:tcW w:w="1096" w:type="dxa"/>
            <w:tcBorders>
              <w:top w:val="nil"/>
              <w:left w:val="nil"/>
              <w:bottom w:val="single" w:sz="8" w:space="0" w:color="auto"/>
              <w:right w:val="single" w:sz="8" w:space="0" w:color="auto"/>
            </w:tcBorders>
            <w:shd w:val="clear" w:color="auto" w:fill="auto"/>
            <w:hideMark/>
          </w:tcPr>
          <w:p w14:paraId="3254632A" w14:textId="038CADA1" w:rsidR="00FC15CF" w:rsidRPr="00FC15CF" w:rsidRDefault="00FC15CF" w:rsidP="00FC15CF">
            <w:pPr>
              <w:jc w:val="center"/>
              <w:rPr>
                <w:b w:val="0"/>
                <w:sz w:val="22"/>
                <w:szCs w:val="22"/>
              </w:rPr>
            </w:pPr>
            <w:r w:rsidRPr="00FC15CF">
              <w:rPr>
                <w:b w:val="0"/>
              </w:rPr>
              <w:t>5,263,622</w:t>
            </w:r>
          </w:p>
        </w:tc>
        <w:tc>
          <w:tcPr>
            <w:tcW w:w="1072" w:type="dxa"/>
            <w:tcBorders>
              <w:top w:val="nil"/>
              <w:left w:val="nil"/>
              <w:bottom w:val="single" w:sz="8" w:space="0" w:color="auto"/>
              <w:right w:val="single" w:sz="8" w:space="0" w:color="auto"/>
            </w:tcBorders>
            <w:shd w:val="clear" w:color="auto" w:fill="auto"/>
            <w:hideMark/>
          </w:tcPr>
          <w:p w14:paraId="6A6D1BA5" w14:textId="28B4FE86" w:rsidR="00FC15CF" w:rsidRPr="00FC15CF" w:rsidRDefault="00FC15CF" w:rsidP="00FC15CF">
            <w:pPr>
              <w:jc w:val="center"/>
              <w:rPr>
                <w:b w:val="0"/>
                <w:sz w:val="22"/>
                <w:szCs w:val="22"/>
              </w:rPr>
            </w:pPr>
            <w:r w:rsidRPr="00FC15CF">
              <w:rPr>
                <w:b w:val="0"/>
              </w:rPr>
              <w:t>-25.0</w:t>
            </w:r>
          </w:p>
        </w:tc>
        <w:tc>
          <w:tcPr>
            <w:tcW w:w="1072" w:type="dxa"/>
            <w:tcBorders>
              <w:top w:val="nil"/>
              <w:left w:val="nil"/>
              <w:bottom w:val="single" w:sz="8" w:space="0" w:color="auto"/>
              <w:right w:val="single" w:sz="8" w:space="0" w:color="auto"/>
            </w:tcBorders>
            <w:shd w:val="clear" w:color="auto" w:fill="auto"/>
            <w:hideMark/>
          </w:tcPr>
          <w:p w14:paraId="76CA7D87" w14:textId="6D0D5207" w:rsidR="00FC15CF" w:rsidRPr="00FC15CF" w:rsidRDefault="00FC15CF" w:rsidP="00FC15CF">
            <w:pPr>
              <w:jc w:val="center"/>
              <w:rPr>
                <w:b w:val="0"/>
                <w:sz w:val="22"/>
                <w:szCs w:val="22"/>
              </w:rPr>
            </w:pPr>
            <w:r w:rsidRPr="00FC15CF">
              <w:rPr>
                <w:b w:val="0"/>
              </w:rPr>
              <w:t>-22.8</w:t>
            </w:r>
          </w:p>
        </w:tc>
        <w:tc>
          <w:tcPr>
            <w:tcW w:w="1072" w:type="dxa"/>
            <w:tcBorders>
              <w:top w:val="nil"/>
              <w:left w:val="nil"/>
              <w:bottom w:val="single" w:sz="8" w:space="0" w:color="auto"/>
              <w:right w:val="single" w:sz="8" w:space="0" w:color="auto"/>
            </w:tcBorders>
            <w:shd w:val="clear" w:color="auto" w:fill="auto"/>
            <w:hideMark/>
          </w:tcPr>
          <w:p w14:paraId="513E9628" w14:textId="239EA217" w:rsidR="00FC15CF" w:rsidRPr="00FC15CF" w:rsidRDefault="00FC15CF" w:rsidP="00FC15CF">
            <w:pPr>
              <w:jc w:val="center"/>
              <w:rPr>
                <w:b w:val="0"/>
                <w:sz w:val="22"/>
                <w:szCs w:val="22"/>
              </w:rPr>
            </w:pPr>
            <w:r w:rsidRPr="00FC15CF">
              <w:rPr>
                <w:b w:val="0"/>
              </w:rPr>
              <w:t>NA</w:t>
            </w:r>
          </w:p>
        </w:tc>
      </w:tr>
      <w:tr w:rsidR="00FC15CF" w:rsidRPr="00E76846" w14:paraId="1BE6F20A" w14:textId="77777777" w:rsidTr="00B71BF0">
        <w:trPr>
          <w:trHeight w:val="349"/>
          <w:jc w:val="center"/>
        </w:trPr>
        <w:tc>
          <w:tcPr>
            <w:tcW w:w="1096" w:type="dxa"/>
            <w:tcBorders>
              <w:top w:val="nil"/>
              <w:left w:val="single" w:sz="8" w:space="0" w:color="auto"/>
              <w:bottom w:val="single" w:sz="8" w:space="0" w:color="auto"/>
              <w:right w:val="single" w:sz="8" w:space="0" w:color="auto"/>
            </w:tcBorders>
            <w:shd w:val="clear" w:color="auto" w:fill="auto"/>
            <w:hideMark/>
          </w:tcPr>
          <w:p w14:paraId="299421C4" w14:textId="4B869F55" w:rsidR="00FC15CF" w:rsidRPr="00E76846" w:rsidRDefault="00FC15CF" w:rsidP="00FC15CF">
            <w:pPr>
              <w:jc w:val="center"/>
              <w:rPr>
                <w:bCs/>
                <w:sz w:val="22"/>
                <w:szCs w:val="22"/>
              </w:rPr>
            </w:pPr>
            <w:r w:rsidRPr="00F70E53">
              <w:t>2016</w:t>
            </w:r>
          </w:p>
        </w:tc>
        <w:tc>
          <w:tcPr>
            <w:tcW w:w="840" w:type="dxa"/>
            <w:tcBorders>
              <w:top w:val="nil"/>
              <w:left w:val="nil"/>
              <w:bottom w:val="single" w:sz="8" w:space="0" w:color="auto"/>
              <w:right w:val="single" w:sz="8" w:space="0" w:color="auto"/>
            </w:tcBorders>
            <w:shd w:val="clear" w:color="auto" w:fill="auto"/>
            <w:hideMark/>
          </w:tcPr>
          <w:p w14:paraId="32E02C9A" w14:textId="0FB6E610" w:rsidR="00FC15CF" w:rsidRPr="00FC15CF" w:rsidRDefault="00FC15CF" w:rsidP="00FC15CF">
            <w:pPr>
              <w:jc w:val="center"/>
              <w:rPr>
                <w:b w:val="0"/>
                <w:sz w:val="22"/>
                <w:szCs w:val="22"/>
              </w:rPr>
            </w:pPr>
            <w:r w:rsidRPr="00FC15CF">
              <w:rPr>
                <w:b w:val="0"/>
              </w:rPr>
              <w:t>1,509</w:t>
            </w:r>
          </w:p>
        </w:tc>
        <w:tc>
          <w:tcPr>
            <w:tcW w:w="1072" w:type="dxa"/>
            <w:tcBorders>
              <w:top w:val="nil"/>
              <w:left w:val="nil"/>
              <w:bottom w:val="single" w:sz="8" w:space="0" w:color="auto"/>
              <w:right w:val="single" w:sz="8" w:space="0" w:color="auto"/>
            </w:tcBorders>
            <w:shd w:val="clear" w:color="auto" w:fill="auto"/>
            <w:hideMark/>
          </w:tcPr>
          <w:p w14:paraId="5D1BE5F6" w14:textId="280B5887" w:rsidR="00FC15CF" w:rsidRPr="00FC15CF" w:rsidRDefault="00FC15CF" w:rsidP="00FC15CF">
            <w:pPr>
              <w:jc w:val="center"/>
              <w:rPr>
                <w:b w:val="0"/>
                <w:sz w:val="22"/>
                <w:szCs w:val="22"/>
              </w:rPr>
            </w:pPr>
            <w:r w:rsidRPr="00FC15CF">
              <w:rPr>
                <w:b w:val="0"/>
              </w:rPr>
              <w:t>1,509</w:t>
            </w:r>
          </w:p>
        </w:tc>
        <w:tc>
          <w:tcPr>
            <w:tcW w:w="840" w:type="dxa"/>
            <w:tcBorders>
              <w:top w:val="nil"/>
              <w:left w:val="nil"/>
              <w:bottom w:val="single" w:sz="8" w:space="0" w:color="auto"/>
              <w:right w:val="single" w:sz="8" w:space="0" w:color="auto"/>
            </w:tcBorders>
            <w:shd w:val="clear" w:color="auto" w:fill="auto"/>
            <w:hideMark/>
          </w:tcPr>
          <w:p w14:paraId="1251FC4A" w14:textId="5564AA4B" w:rsidR="00FC15CF" w:rsidRPr="00FC15CF" w:rsidRDefault="00FC15CF" w:rsidP="00FC15CF">
            <w:pPr>
              <w:jc w:val="center"/>
              <w:rPr>
                <w:b w:val="0"/>
                <w:sz w:val="22"/>
                <w:szCs w:val="22"/>
              </w:rPr>
            </w:pPr>
            <w:r w:rsidRPr="00FC15CF">
              <w:rPr>
                <w:b w:val="0"/>
              </w:rPr>
              <w:t>1,397</w:t>
            </w:r>
          </w:p>
        </w:tc>
        <w:tc>
          <w:tcPr>
            <w:tcW w:w="1072" w:type="dxa"/>
            <w:tcBorders>
              <w:top w:val="nil"/>
              <w:left w:val="nil"/>
              <w:bottom w:val="single" w:sz="8" w:space="0" w:color="auto"/>
              <w:right w:val="single" w:sz="8" w:space="0" w:color="auto"/>
            </w:tcBorders>
            <w:shd w:val="clear" w:color="auto" w:fill="auto"/>
            <w:hideMark/>
          </w:tcPr>
          <w:p w14:paraId="6E486844" w14:textId="3BBA1C29" w:rsidR="00FC15CF" w:rsidRPr="00FC15CF" w:rsidRDefault="00FC15CF" w:rsidP="00FC15CF">
            <w:pPr>
              <w:jc w:val="center"/>
              <w:rPr>
                <w:b w:val="0"/>
                <w:sz w:val="22"/>
                <w:szCs w:val="22"/>
              </w:rPr>
            </w:pPr>
            <w:r w:rsidRPr="00FC15CF">
              <w:rPr>
                <w:b w:val="0"/>
              </w:rPr>
              <w:t>1,397</w:t>
            </w:r>
          </w:p>
        </w:tc>
        <w:tc>
          <w:tcPr>
            <w:tcW w:w="656" w:type="dxa"/>
            <w:tcBorders>
              <w:top w:val="nil"/>
              <w:left w:val="nil"/>
              <w:bottom w:val="single" w:sz="8" w:space="0" w:color="auto"/>
              <w:right w:val="single" w:sz="8" w:space="0" w:color="auto"/>
            </w:tcBorders>
            <w:shd w:val="clear" w:color="auto" w:fill="auto"/>
            <w:hideMark/>
          </w:tcPr>
          <w:p w14:paraId="6AD4DA2F" w14:textId="74442C4F" w:rsidR="00FC15CF" w:rsidRPr="00FC15CF" w:rsidRDefault="00FC15CF" w:rsidP="00FC15CF">
            <w:pPr>
              <w:jc w:val="center"/>
              <w:rPr>
                <w:b w:val="0"/>
                <w:sz w:val="22"/>
                <w:szCs w:val="22"/>
              </w:rPr>
            </w:pPr>
            <w:r w:rsidRPr="00FC15CF">
              <w:rPr>
                <w:b w:val="0"/>
              </w:rPr>
              <w:t>-1.1</w:t>
            </w:r>
          </w:p>
        </w:tc>
        <w:tc>
          <w:tcPr>
            <w:tcW w:w="1011" w:type="dxa"/>
            <w:tcBorders>
              <w:top w:val="nil"/>
              <w:left w:val="nil"/>
              <w:bottom w:val="single" w:sz="8" w:space="0" w:color="auto"/>
              <w:right w:val="single" w:sz="8" w:space="0" w:color="auto"/>
            </w:tcBorders>
            <w:shd w:val="clear" w:color="000000" w:fill="FFFFFF"/>
            <w:hideMark/>
          </w:tcPr>
          <w:p w14:paraId="02C3230E" w14:textId="130D4FE9" w:rsidR="00FC15CF" w:rsidRPr="00FC15CF" w:rsidRDefault="00FC15CF" w:rsidP="00FC15CF">
            <w:pPr>
              <w:jc w:val="center"/>
              <w:rPr>
                <w:b w:val="0"/>
                <w:sz w:val="22"/>
                <w:szCs w:val="22"/>
              </w:rPr>
            </w:pPr>
            <w:r w:rsidRPr="00FC15CF">
              <w:rPr>
                <w:b w:val="0"/>
              </w:rPr>
              <w:t>1,396</w:t>
            </w:r>
          </w:p>
        </w:tc>
        <w:tc>
          <w:tcPr>
            <w:tcW w:w="1096" w:type="dxa"/>
            <w:tcBorders>
              <w:top w:val="nil"/>
              <w:left w:val="nil"/>
              <w:bottom w:val="single" w:sz="8" w:space="0" w:color="auto"/>
              <w:right w:val="single" w:sz="8" w:space="0" w:color="auto"/>
            </w:tcBorders>
            <w:shd w:val="clear" w:color="auto" w:fill="auto"/>
            <w:hideMark/>
          </w:tcPr>
          <w:p w14:paraId="13248BCF" w14:textId="4A5238FF" w:rsidR="00FC15CF" w:rsidRPr="00FC15CF" w:rsidRDefault="00FC15CF" w:rsidP="00FC15CF">
            <w:pPr>
              <w:jc w:val="center"/>
              <w:rPr>
                <w:b w:val="0"/>
                <w:sz w:val="22"/>
                <w:szCs w:val="22"/>
              </w:rPr>
            </w:pPr>
            <w:r w:rsidRPr="00FC15CF">
              <w:rPr>
                <w:b w:val="0"/>
              </w:rPr>
              <w:t>6,188,610</w:t>
            </w:r>
          </w:p>
        </w:tc>
        <w:tc>
          <w:tcPr>
            <w:tcW w:w="1096" w:type="dxa"/>
            <w:tcBorders>
              <w:top w:val="nil"/>
              <w:left w:val="nil"/>
              <w:bottom w:val="single" w:sz="8" w:space="0" w:color="auto"/>
              <w:right w:val="single" w:sz="8" w:space="0" w:color="auto"/>
            </w:tcBorders>
            <w:shd w:val="clear" w:color="auto" w:fill="auto"/>
            <w:hideMark/>
          </w:tcPr>
          <w:p w14:paraId="7C142EC2" w14:textId="68CF17FC" w:rsidR="00FC15CF" w:rsidRPr="00FC15CF" w:rsidRDefault="00FC15CF" w:rsidP="00FC15CF">
            <w:pPr>
              <w:jc w:val="center"/>
              <w:rPr>
                <w:b w:val="0"/>
                <w:sz w:val="22"/>
                <w:szCs w:val="22"/>
              </w:rPr>
            </w:pPr>
            <w:r w:rsidRPr="00FC15CF">
              <w:rPr>
                <w:b w:val="0"/>
              </w:rPr>
              <w:t>6,187,025</w:t>
            </w:r>
          </w:p>
        </w:tc>
        <w:tc>
          <w:tcPr>
            <w:tcW w:w="1096" w:type="dxa"/>
            <w:tcBorders>
              <w:top w:val="nil"/>
              <w:left w:val="nil"/>
              <w:bottom w:val="single" w:sz="8" w:space="0" w:color="auto"/>
              <w:right w:val="single" w:sz="8" w:space="0" w:color="auto"/>
            </w:tcBorders>
            <w:shd w:val="clear" w:color="auto" w:fill="auto"/>
            <w:hideMark/>
          </w:tcPr>
          <w:p w14:paraId="2D52BFEA" w14:textId="5CD2E0EA" w:rsidR="00FC15CF" w:rsidRPr="00FC15CF" w:rsidRDefault="00FC15CF" w:rsidP="00FC15CF">
            <w:pPr>
              <w:jc w:val="center"/>
              <w:rPr>
                <w:b w:val="0"/>
                <w:sz w:val="22"/>
                <w:szCs w:val="22"/>
              </w:rPr>
            </w:pPr>
            <w:r w:rsidRPr="00FC15CF">
              <w:rPr>
                <w:b w:val="0"/>
              </w:rPr>
              <w:t>5,381,661</w:t>
            </w:r>
          </w:p>
        </w:tc>
        <w:tc>
          <w:tcPr>
            <w:tcW w:w="1096" w:type="dxa"/>
            <w:tcBorders>
              <w:top w:val="nil"/>
              <w:left w:val="nil"/>
              <w:bottom w:val="single" w:sz="8" w:space="0" w:color="auto"/>
              <w:right w:val="single" w:sz="8" w:space="0" w:color="auto"/>
            </w:tcBorders>
            <w:shd w:val="clear" w:color="auto" w:fill="auto"/>
            <w:hideMark/>
          </w:tcPr>
          <w:p w14:paraId="5A993C03" w14:textId="48A23FBF" w:rsidR="00FC15CF" w:rsidRPr="00FC15CF" w:rsidRDefault="00FC15CF" w:rsidP="00FC15CF">
            <w:pPr>
              <w:jc w:val="center"/>
              <w:rPr>
                <w:b w:val="0"/>
                <w:sz w:val="22"/>
                <w:szCs w:val="22"/>
              </w:rPr>
            </w:pPr>
            <w:r w:rsidRPr="00FC15CF">
              <w:rPr>
                <w:b w:val="0"/>
              </w:rPr>
              <w:t>5,380,076</w:t>
            </w:r>
          </w:p>
        </w:tc>
        <w:tc>
          <w:tcPr>
            <w:tcW w:w="1072" w:type="dxa"/>
            <w:tcBorders>
              <w:top w:val="nil"/>
              <w:left w:val="nil"/>
              <w:bottom w:val="single" w:sz="8" w:space="0" w:color="auto"/>
              <w:right w:val="single" w:sz="8" w:space="0" w:color="auto"/>
            </w:tcBorders>
            <w:shd w:val="clear" w:color="auto" w:fill="auto"/>
            <w:hideMark/>
          </w:tcPr>
          <w:p w14:paraId="43A02E49" w14:textId="7208AE7B" w:rsidR="00FC15CF" w:rsidRPr="00FC15CF" w:rsidRDefault="00FC15CF" w:rsidP="00FC15CF">
            <w:pPr>
              <w:jc w:val="center"/>
              <w:rPr>
                <w:b w:val="0"/>
                <w:sz w:val="22"/>
                <w:szCs w:val="22"/>
              </w:rPr>
            </w:pPr>
            <w:r w:rsidRPr="00FC15CF">
              <w:rPr>
                <w:b w:val="0"/>
              </w:rPr>
              <w:t>129.9</w:t>
            </w:r>
          </w:p>
        </w:tc>
        <w:tc>
          <w:tcPr>
            <w:tcW w:w="1072" w:type="dxa"/>
            <w:tcBorders>
              <w:top w:val="nil"/>
              <w:left w:val="nil"/>
              <w:bottom w:val="single" w:sz="8" w:space="0" w:color="auto"/>
              <w:right w:val="single" w:sz="8" w:space="0" w:color="auto"/>
            </w:tcBorders>
            <w:shd w:val="clear" w:color="auto" w:fill="auto"/>
            <w:hideMark/>
          </w:tcPr>
          <w:p w14:paraId="731C6F46" w14:textId="61E6F936" w:rsidR="00FC15CF" w:rsidRPr="00FC15CF" w:rsidRDefault="00FC15CF" w:rsidP="00FC15CF">
            <w:pPr>
              <w:jc w:val="center"/>
              <w:rPr>
                <w:b w:val="0"/>
                <w:sz w:val="22"/>
                <w:szCs w:val="22"/>
              </w:rPr>
            </w:pPr>
            <w:r w:rsidRPr="00FC15CF">
              <w:rPr>
                <w:b w:val="0"/>
              </w:rPr>
              <w:t>118.6</w:t>
            </w:r>
          </w:p>
        </w:tc>
        <w:tc>
          <w:tcPr>
            <w:tcW w:w="1072" w:type="dxa"/>
            <w:tcBorders>
              <w:top w:val="nil"/>
              <w:left w:val="nil"/>
              <w:bottom w:val="single" w:sz="8" w:space="0" w:color="auto"/>
              <w:right w:val="single" w:sz="8" w:space="0" w:color="auto"/>
            </w:tcBorders>
            <w:shd w:val="clear" w:color="auto" w:fill="auto"/>
            <w:hideMark/>
          </w:tcPr>
          <w:p w14:paraId="24E5B895" w14:textId="3C4EDE67" w:rsidR="00FC15CF" w:rsidRPr="00FC15CF" w:rsidRDefault="00FC15CF" w:rsidP="00FC15CF">
            <w:pPr>
              <w:jc w:val="center"/>
              <w:rPr>
                <w:b w:val="0"/>
                <w:sz w:val="22"/>
                <w:szCs w:val="22"/>
              </w:rPr>
            </w:pPr>
            <w:r w:rsidRPr="00FC15CF">
              <w:rPr>
                <w:b w:val="0"/>
              </w:rPr>
              <w:t>NA</w:t>
            </w:r>
          </w:p>
        </w:tc>
      </w:tr>
      <w:tr w:rsidR="00FC15CF" w:rsidRPr="00E76846" w14:paraId="5DA0B66D" w14:textId="77777777" w:rsidTr="00B71BF0">
        <w:trPr>
          <w:trHeight w:val="331"/>
          <w:jc w:val="center"/>
        </w:trPr>
        <w:tc>
          <w:tcPr>
            <w:tcW w:w="1096" w:type="dxa"/>
            <w:tcBorders>
              <w:top w:val="nil"/>
              <w:left w:val="single" w:sz="8" w:space="0" w:color="auto"/>
              <w:bottom w:val="single" w:sz="8" w:space="0" w:color="auto"/>
              <w:right w:val="single" w:sz="8" w:space="0" w:color="auto"/>
            </w:tcBorders>
            <w:shd w:val="clear" w:color="auto" w:fill="auto"/>
            <w:hideMark/>
          </w:tcPr>
          <w:p w14:paraId="05E02F2C" w14:textId="5EB4B53F" w:rsidR="00FC15CF" w:rsidRPr="00E76846" w:rsidRDefault="00FC15CF" w:rsidP="00FC15CF">
            <w:pPr>
              <w:jc w:val="center"/>
              <w:rPr>
                <w:bCs/>
                <w:sz w:val="22"/>
                <w:szCs w:val="22"/>
              </w:rPr>
            </w:pPr>
            <w:r w:rsidRPr="00F70E53">
              <w:t>2017</w:t>
            </w:r>
          </w:p>
        </w:tc>
        <w:tc>
          <w:tcPr>
            <w:tcW w:w="840" w:type="dxa"/>
            <w:tcBorders>
              <w:top w:val="nil"/>
              <w:left w:val="nil"/>
              <w:bottom w:val="single" w:sz="8" w:space="0" w:color="auto"/>
              <w:right w:val="single" w:sz="8" w:space="0" w:color="auto"/>
            </w:tcBorders>
            <w:shd w:val="clear" w:color="auto" w:fill="auto"/>
            <w:hideMark/>
          </w:tcPr>
          <w:p w14:paraId="047E4DAE" w14:textId="16C8764F" w:rsidR="00FC15CF" w:rsidRPr="00FC15CF" w:rsidRDefault="00FC15CF" w:rsidP="00FC15CF">
            <w:pPr>
              <w:jc w:val="center"/>
              <w:rPr>
                <w:b w:val="0"/>
                <w:sz w:val="22"/>
                <w:szCs w:val="22"/>
              </w:rPr>
            </w:pPr>
            <w:r w:rsidRPr="00FC15CF">
              <w:rPr>
                <w:b w:val="0"/>
              </w:rPr>
              <w:t>1,575</w:t>
            </w:r>
          </w:p>
        </w:tc>
        <w:tc>
          <w:tcPr>
            <w:tcW w:w="1072" w:type="dxa"/>
            <w:tcBorders>
              <w:top w:val="nil"/>
              <w:left w:val="nil"/>
              <w:bottom w:val="single" w:sz="8" w:space="0" w:color="auto"/>
              <w:right w:val="single" w:sz="8" w:space="0" w:color="auto"/>
            </w:tcBorders>
            <w:shd w:val="clear" w:color="auto" w:fill="auto"/>
            <w:hideMark/>
          </w:tcPr>
          <w:p w14:paraId="7C76C381" w14:textId="03332114" w:rsidR="00FC15CF" w:rsidRPr="00FC15CF" w:rsidRDefault="00FC15CF" w:rsidP="00FC15CF">
            <w:pPr>
              <w:jc w:val="center"/>
              <w:rPr>
                <w:b w:val="0"/>
                <w:sz w:val="22"/>
                <w:szCs w:val="22"/>
              </w:rPr>
            </w:pPr>
            <w:r w:rsidRPr="00FC15CF">
              <w:rPr>
                <w:b w:val="0"/>
              </w:rPr>
              <w:t>1,579</w:t>
            </w:r>
          </w:p>
        </w:tc>
        <w:tc>
          <w:tcPr>
            <w:tcW w:w="840" w:type="dxa"/>
            <w:tcBorders>
              <w:top w:val="nil"/>
              <w:left w:val="nil"/>
              <w:bottom w:val="single" w:sz="8" w:space="0" w:color="auto"/>
              <w:right w:val="single" w:sz="8" w:space="0" w:color="auto"/>
            </w:tcBorders>
            <w:shd w:val="clear" w:color="auto" w:fill="auto"/>
            <w:hideMark/>
          </w:tcPr>
          <w:p w14:paraId="73372E03" w14:textId="22F67E4A" w:rsidR="00FC15CF" w:rsidRPr="00FC15CF" w:rsidRDefault="00FC15CF" w:rsidP="00FC15CF">
            <w:pPr>
              <w:jc w:val="center"/>
              <w:rPr>
                <w:b w:val="0"/>
                <w:sz w:val="22"/>
                <w:szCs w:val="22"/>
              </w:rPr>
            </w:pPr>
            <w:r w:rsidRPr="00FC15CF">
              <w:rPr>
                <w:b w:val="0"/>
              </w:rPr>
              <w:t>1,459</w:t>
            </w:r>
          </w:p>
        </w:tc>
        <w:tc>
          <w:tcPr>
            <w:tcW w:w="1072" w:type="dxa"/>
            <w:tcBorders>
              <w:top w:val="nil"/>
              <w:left w:val="nil"/>
              <w:bottom w:val="single" w:sz="8" w:space="0" w:color="auto"/>
              <w:right w:val="single" w:sz="8" w:space="0" w:color="auto"/>
            </w:tcBorders>
            <w:shd w:val="clear" w:color="auto" w:fill="auto"/>
            <w:hideMark/>
          </w:tcPr>
          <w:p w14:paraId="26ED1690" w14:textId="6F129F82" w:rsidR="00FC15CF" w:rsidRPr="00FC15CF" w:rsidRDefault="00FC15CF" w:rsidP="00FC15CF">
            <w:pPr>
              <w:jc w:val="center"/>
              <w:rPr>
                <w:b w:val="0"/>
                <w:sz w:val="22"/>
                <w:szCs w:val="22"/>
              </w:rPr>
            </w:pPr>
            <w:r w:rsidRPr="00FC15CF">
              <w:rPr>
                <w:b w:val="0"/>
              </w:rPr>
              <w:t>1,463</w:t>
            </w:r>
          </w:p>
        </w:tc>
        <w:tc>
          <w:tcPr>
            <w:tcW w:w="656" w:type="dxa"/>
            <w:tcBorders>
              <w:top w:val="nil"/>
              <w:left w:val="nil"/>
              <w:bottom w:val="single" w:sz="8" w:space="0" w:color="auto"/>
              <w:right w:val="single" w:sz="8" w:space="0" w:color="auto"/>
            </w:tcBorders>
            <w:shd w:val="clear" w:color="000000" w:fill="FFFFFF"/>
            <w:hideMark/>
          </w:tcPr>
          <w:p w14:paraId="70875452" w14:textId="5CF481E1" w:rsidR="00FC15CF" w:rsidRPr="00FC15CF" w:rsidRDefault="00FC15CF" w:rsidP="00FC15CF">
            <w:pPr>
              <w:jc w:val="center"/>
              <w:rPr>
                <w:b w:val="0"/>
                <w:sz w:val="22"/>
                <w:szCs w:val="22"/>
              </w:rPr>
            </w:pPr>
            <w:r w:rsidRPr="00FC15CF">
              <w:rPr>
                <w:b w:val="0"/>
              </w:rPr>
              <w:t>-1.1</w:t>
            </w:r>
          </w:p>
        </w:tc>
        <w:tc>
          <w:tcPr>
            <w:tcW w:w="1011" w:type="dxa"/>
            <w:tcBorders>
              <w:top w:val="nil"/>
              <w:left w:val="nil"/>
              <w:bottom w:val="single" w:sz="8" w:space="0" w:color="auto"/>
              <w:right w:val="single" w:sz="8" w:space="0" w:color="auto"/>
            </w:tcBorders>
            <w:shd w:val="clear" w:color="000000" w:fill="FFFFFF"/>
            <w:hideMark/>
          </w:tcPr>
          <w:p w14:paraId="12BACEF8" w14:textId="2323116E" w:rsidR="00FC15CF" w:rsidRPr="00FC15CF" w:rsidRDefault="00FC15CF" w:rsidP="00FC15CF">
            <w:pPr>
              <w:jc w:val="center"/>
              <w:rPr>
                <w:b w:val="0"/>
                <w:sz w:val="22"/>
                <w:szCs w:val="22"/>
              </w:rPr>
            </w:pPr>
            <w:r w:rsidRPr="00FC15CF">
              <w:rPr>
                <w:b w:val="0"/>
              </w:rPr>
              <w:t>1,462</w:t>
            </w:r>
          </w:p>
        </w:tc>
        <w:tc>
          <w:tcPr>
            <w:tcW w:w="1096" w:type="dxa"/>
            <w:tcBorders>
              <w:top w:val="nil"/>
              <w:left w:val="nil"/>
              <w:bottom w:val="single" w:sz="8" w:space="0" w:color="auto"/>
              <w:right w:val="single" w:sz="8" w:space="0" w:color="auto"/>
            </w:tcBorders>
            <w:shd w:val="clear" w:color="auto" w:fill="auto"/>
            <w:hideMark/>
          </w:tcPr>
          <w:p w14:paraId="23A2B944" w14:textId="768FBAC6" w:rsidR="00FC15CF" w:rsidRPr="00FC15CF" w:rsidRDefault="00FC15CF" w:rsidP="00FC15CF">
            <w:pPr>
              <w:jc w:val="center"/>
              <w:rPr>
                <w:b w:val="0"/>
                <w:sz w:val="22"/>
                <w:szCs w:val="22"/>
              </w:rPr>
            </w:pPr>
            <w:r w:rsidRPr="00FC15CF">
              <w:rPr>
                <w:b w:val="0"/>
              </w:rPr>
              <w:t>6,205,925</w:t>
            </w:r>
          </w:p>
        </w:tc>
        <w:tc>
          <w:tcPr>
            <w:tcW w:w="1096" w:type="dxa"/>
            <w:tcBorders>
              <w:top w:val="nil"/>
              <w:left w:val="nil"/>
              <w:bottom w:val="single" w:sz="8" w:space="0" w:color="auto"/>
              <w:right w:val="single" w:sz="8" w:space="0" w:color="auto"/>
            </w:tcBorders>
            <w:shd w:val="clear" w:color="auto" w:fill="auto"/>
            <w:hideMark/>
          </w:tcPr>
          <w:p w14:paraId="34AA2FE2" w14:textId="470C1E45" w:rsidR="00FC15CF" w:rsidRPr="00FC15CF" w:rsidRDefault="00FC15CF" w:rsidP="00FC15CF">
            <w:pPr>
              <w:jc w:val="center"/>
              <w:rPr>
                <w:b w:val="0"/>
                <w:sz w:val="22"/>
                <w:szCs w:val="22"/>
              </w:rPr>
            </w:pPr>
            <w:r w:rsidRPr="00FC15CF">
              <w:rPr>
                <w:b w:val="0"/>
              </w:rPr>
              <w:t>6,223,229</w:t>
            </w:r>
          </w:p>
        </w:tc>
        <w:tc>
          <w:tcPr>
            <w:tcW w:w="1096" w:type="dxa"/>
            <w:tcBorders>
              <w:top w:val="nil"/>
              <w:left w:val="nil"/>
              <w:bottom w:val="single" w:sz="8" w:space="0" w:color="auto"/>
              <w:right w:val="single" w:sz="8" w:space="0" w:color="auto"/>
            </w:tcBorders>
            <w:shd w:val="clear" w:color="auto" w:fill="auto"/>
            <w:hideMark/>
          </w:tcPr>
          <w:p w14:paraId="7FFBC432" w14:textId="00BEC6F3" w:rsidR="00FC15CF" w:rsidRPr="00FC15CF" w:rsidRDefault="00FC15CF" w:rsidP="00FC15CF">
            <w:pPr>
              <w:jc w:val="center"/>
              <w:rPr>
                <w:b w:val="0"/>
                <w:sz w:val="22"/>
                <w:szCs w:val="22"/>
              </w:rPr>
            </w:pPr>
            <w:r w:rsidRPr="00FC15CF">
              <w:rPr>
                <w:b w:val="0"/>
              </w:rPr>
              <w:t>5,387,064</w:t>
            </w:r>
          </w:p>
        </w:tc>
        <w:tc>
          <w:tcPr>
            <w:tcW w:w="1096" w:type="dxa"/>
            <w:tcBorders>
              <w:top w:val="nil"/>
              <w:left w:val="nil"/>
              <w:bottom w:val="single" w:sz="8" w:space="0" w:color="auto"/>
              <w:right w:val="single" w:sz="8" w:space="0" w:color="auto"/>
            </w:tcBorders>
            <w:shd w:val="clear" w:color="auto" w:fill="auto"/>
            <w:hideMark/>
          </w:tcPr>
          <w:p w14:paraId="78A29CDC" w14:textId="70B3A0D9" w:rsidR="00FC15CF" w:rsidRPr="00FC15CF" w:rsidRDefault="00FC15CF" w:rsidP="00FC15CF">
            <w:pPr>
              <w:jc w:val="center"/>
              <w:rPr>
                <w:b w:val="0"/>
                <w:sz w:val="22"/>
                <w:szCs w:val="22"/>
              </w:rPr>
            </w:pPr>
            <w:r w:rsidRPr="00FC15CF">
              <w:rPr>
                <w:b w:val="0"/>
              </w:rPr>
              <w:t>5,404,368</w:t>
            </w:r>
          </w:p>
        </w:tc>
        <w:tc>
          <w:tcPr>
            <w:tcW w:w="1072" w:type="dxa"/>
            <w:tcBorders>
              <w:top w:val="nil"/>
              <w:left w:val="nil"/>
              <w:bottom w:val="single" w:sz="8" w:space="0" w:color="auto"/>
              <w:right w:val="single" w:sz="8" w:space="0" w:color="auto"/>
            </w:tcBorders>
            <w:shd w:val="clear" w:color="auto" w:fill="auto"/>
            <w:hideMark/>
          </w:tcPr>
          <w:p w14:paraId="116896F1" w14:textId="36FB266E" w:rsidR="00FC15CF" w:rsidRPr="00FC15CF" w:rsidRDefault="00FC15CF" w:rsidP="00FC15CF">
            <w:pPr>
              <w:jc w:val="center"/>
              <w:rPr>
                <w:b w:val="0"/>
                <w:sz w:val="22"/>
                <w:szCs w:val="22"/>
              </w:rPr>
            </w:pPr>
            <w:r w:rsidRPr="00FC15CF">
              <w:rPr>
                <w:b w:val="0"/>
              </w:rPr>
              <w:t>66.0</w:t>
            </w:r>
          </w:p>
        </w:tc>
        <w:tc>
          <w:tcPr>
            <w:tcW w:w="1072" w:type="dxa"/>
            <w:tcBorders>
              <w:top w:val="nil"/>
              <w:left w:val="nil"/>
              <w:bottom w:val="single" w:sz="8" w:space="0" w:color="auto"/>
              <w:right w:val="single" w:sz="8" w:space="0" w:color="auto"/>
            </w:tcBorders>
            <w:shd w:val="clear" w:color="auto" w:fill="auto"/>
            <w:hideMark/>
          </w:tcPr>
          <w:p w14:paraId="74734821" w14:textId="3D51BC6F" w:rsidR="00FC15CF" w:rsidRPr="00FC15CF" w:rsidRDefault="00FC15CF" w:rsidP="00FC15CF">
            <w:pPr>
              <w:jc w:val="center"/>
              <w:rPr>
                <w:b w:val="0"/>
                <w:sz w:val="22"/>
                <w:szCs w:val="22"/>
              </w:rPr>
            </w:pPr>
            <w:r w:rsidRPr="00FC15CF">
              <w:rPr>
                <w:b w:val="0"/>
              </w:rPr>
              <w:t>60.5</w:t>
            </w:r>
          </w:p>
        </w:tc>
        <w:tc>
          <w:tcPr>
            <w:tcW w:w="1072" w:type="dxa"/>
            <w:tcBorders>
              <w:top w:val="nil"/>
              <w:left w:val="nil"/>
              <w:bottom w:val="single" w:sz="8" w:space="0" w:color="auto"/>
              <w:right w:val="single" w:sz="8" w:space="0" w:color="auto"/>
            </w:tcBorders>
            <w:shd w:val="clear" w:color="auto" w:fill="auto"/>
            <w:hideMark/>
          </w:tcPr>
          <w:p w14:paraId="05A31D1E" w14:textId="142CFBD3" w:rsidR="00FC15CF" w:rsidRPr="00FC15CF" w:rsidRDefault="00FC15CF" w:rsidP="00FC15CF">
            <w:pPr>
              <w:jc w:val="center"/>
              <w:rPr>
                <w:b w:val="0"/>
                <w:sz w:val="22"/>
                <w:szCs w:val="22"/>
              </w:rPr>
            </w:pPr>
            <w:r w:rsidRPr="00FC15CF">
              <w:rPr>
                <w:b w:val="0"/>
              </w:rPr>
              <w:t>NA</w:t>
            </w:r>
          </w:p>
        </w:tc>
      </w:tr>
      <w:tr w:rsidR="00FC15CF" w:rsidRPr="00E76846" w14:paraId="5E0E7EC8" w14:textId="77777777" w:rsidTr="00B71BF0">
        <w:trPr>
          <w:trHeight w:val="349"/>
          <w:jc w:val="center"/>
        </w:trPr>
        <w:tc>
          <w:tcPr>
            <w:tcW w:w="1096" w:type="dxa"/>
            <w:tcBorders>
              <w:top w:val="nil"/>
              <w:left w:val="single" w:sz="8" w:space="0" w:color="auto"/>
              <w:bottom w:val="single" w:sz="8" w:space="0" w:color="auto"/>
              <w:right w:val="single" w:sz="8" w:space="0" w:color="auto"/>
            </w:tcBorders>
            <w:shd w:val="clear" w:color="auto" w:fill="auto"/>
            <w:hideMark/>
          </w:tcPr>
          <w:p w14:paraId="79836C14" w14:textId="5FFA8087" w:rsidR="00FC15CF" w:rsidRPr="00E76846" w:rsidRDefault="00FC15CF" w:rsidP="00FC15CF">
            <w:pPr>
              <w:jc w:val="center"/>
              <w:rPr>
                <w:bCs/>
                <w:sz w:val="22"/>
                <w:szCs w:val="22"/>
              </w:rPr>
            </w:pPr>
            <w:r w:rsidRPr="00F70E53">
              <w:t>2018</w:t>
            </w:r>
          </w:p>
        </w:tc>
        <w:tc>
          <w:tcPr>
            <w:tcW w:w="840" w:type="dxa"/>
            <w:tcBorders>
              <w:top w:val="nil"/>
              <w:left w:val="nil"/>
              <w:bottom w:val="single" w:sz="8" w:space="0" w:color="auto"/>
              <w:right w:val="single" w:sz="8" w:space="0" w:color="auto"/>
            </w:tcBorders>
            <w:shd w:val="clear" w:color="auto" w:fill="auto"/>
            <w:hideMark/>
          </w:tcPr>
          <w:p w14:paraId="41D63E77" w14:textId="3069D973"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5327372B" w14:textId="78DCFF75" w:rsidR="00FC15CF" w:rsidRPr="00FC15CF" w:rsidRDefault="00FC15CF" w:rsidP="00FC15CF">
            <w:pPr>
              <w:jc w:val="center"/>
              <w:rPr>
                <w:b w:val="0"/>
                <w:sz w:val="22"/>
                <w:szCs w:val="22"/>
              </w:rPr>
            </w:pPr>
            <w:r w:rsidRPr="00FC15CF">
              <w:rPr>
                <w:b w:val="0"/>
              </w:rPr>
              <w:t>NA</w:t>
            </w:r>
          </w:p>
        </w:tc>
        <w:tc>
          <w:tcPr>
            <w:tcW w:w="840" w:type="dxa"/>
            <w:tcBorders>
              <w:top w:val="nil"/>
              <w:left w:val="nil"/>
              <w:bottom w:val="single" w:sz="8" w:space="0" w:color="auto"/>
              <w:right w:val="single" w:sz="8" w:space="0" w:color="auto"/>
            </w:tcBorders>
            <w:shd w:val="clear" w:color="auto" w:fill="auto"/>
            <w:hideMark/>
          </w:tcPr>
          <w:p w14:paraId="227C4198" w14:textId="4D8CA12F"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13ED16F3" w14:textId="3DCD9A0C" w:rsidR="00FC15CF" w:rsidRPr="00FC15CF" w:rsidRDefault="00FC15CF" w:rsidP="00FC15CF">
            <w:pPr>
              <w:jc w:val="center"/>
              <w:rPr>
                <w:b w:val="0"/>
                <w:sz w:val="22"/>
                <w:szCs w:val="22"/>
              </w:rPr>
            </w:pPr>
            <w:r w:rsidRPr="00FC15CF">
              <w:rPr>
                <w:b w:val="0"/>
              </w:rPr>
              <w:t>NA</w:t>
            </w:r>
          </w:p>
        </w:tc>
        <w:tc>
          <w:tcPr>
            <w:tcW w:w="656" w:type="dxa"/>
            <w:tcBorders>
              <w:top w:val="nil"/>
              <w:left w:val="nil"/>
              <w:bottom w:val="single" w:sz="8" w:space="0" w:color="auto"/>
              <w:right w:val="single" w:sz="8" w:space="0" w:color="auto"/>
            </w:tcBorders>
            <w:shd w:val="clear" w:color="auto" w:fill="auto"/>
            <w:hideMark/>
          </w:tcPr>
          <w:p w14:paraId="09961AA2" w14:textId="519B202D" w:rsidR="00FC15CF" w:rsidRPr="00FC15CF" w:rsidRDefault="00FC15CF" w:rsidP="00FC15CF">
            <w:pPr>
              <w:jc w:val="center"/>
              <w:rPr>
                <w:b w:val="0"/>
                <w:sz w:val="22"/>
                <w:szCs w:val="22"/>
              </w:rPr>
            </w:pPr>
            <w:r w:rsidRPr="00FC15CF">
              <w:rPr>
                <w:b w:val="0"/>
              </w:rPr>
              <w:t>NA</w:t>
            </w:r>
          </w:p>
        </w:tc>
        <w:tc>
          <w:tcPr>
            <w:tcW w:w="1011" w:type="dxa"/>
            <w:tcBorders>
              <w:top w:val="nil"/>
              <w:left w:val="nil"/>
              <w:bottom w:val="single" w:sz="8" w:space="0" w:color="auto"/>
              <w:right w:val="single" w:sz="8" w:space="0" w:color="auto"/>
            </w:tcBorders>
            <w:shd w:val="clear" w:color="auto" w:fill="auto"/>
            <w:hideMark/>
          </w:tcPr>
          <w:p w14:paraId="5E886EB9" w14:textId="52B88069"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330CA00D" w14:textId="5E50FC39"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0664DB55" w14:textId="7CA88246"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663EFFBA" w14:textId="368EE77F"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19E57716" w14:textId="60E8849F"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13164BC8" w14:textId="25B53C48"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5965E164" w14:textId="1FFE0D8C"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348499D6" w14:textId="580176FD" w:rsidR="00FC15CF" w:rsidRPr="00FC15CF" w:rsidRDefault="00FC15CF" w:rsidP="00FC15CF">
            <w:pPr>
              <w:jc w:val="center"/>
              <w:rPr>
                <w:b w:val="0"/>
                <w:sz w:val="22"/>
                <w:szCs w:val="22"/>
              </w:rPr>
            </w:pPr>
            <w:r w:rsidRPr="00FC15CF">
              <w:rPr>
                <w:b w:val="0"/>
              </w:rPr>
              <w:t>38.0</w:t>
            </w:r>
          </w:p>
        </w:tc>
      </w:tr>
      <w:tr w:rsidR="00FC15CF" w:rsidRPr="00E76846" w14:paraId="6BD9B7AD" w14:textId="77777777" w:rsidTr="00B71BF0">
        <w:trPr>
          <w:trHeight w:val="421"/>
          <w:jc w:val="center"/>
        </w:trPr>
        <w:tc>
          <w:tcPr>
            <w:tcW w:w="1096" w:type="dxa"/>
            <w:tcBorders>
              <w:top w:val="nil"/>
              <w:left w:val="single" w:sz="8" w:space="0" w:color="auto"/>
              <w:bottom w:val="single" w:sz="8" w:space="0" w:color="auto"/>
              <w:right w:val="single" w:sz="8" w:space="0" w:color="auto"/>
            </w:tcBorders>
            <w:shd w:val="clear" w:color="auto" w:fill="auto"/>
            <w:hideMark/>
          </w:tcPr>
          <w:p w14:paraId="6D22A8E7" w14:textId="4022EE24" w:rsidR="00FC15CF" w:rsidRPr="00E76846" w:rsidRDefault="00FC15CF" w:rsidP="00FC15CF">
            <w:pPr>
              <w:jc w:val="center"/>
              <w:rPr>
                <w:bCs/>
                <w:sz w:val="22"/>
                <w:szCs w:val="22"/>
              </w:rPr>
            </w:pPr>
            <w:r w:rsidRPr="00F70E53">
              <w:t>2019</w:t>
            </w:r>
          </w:p>
        </w:tc>
        <w:tc>
          <w:tcPr>
            <w:tcW w:w="840" w:type="dxa"/>
            <w:tcBorders>
              <w:top w:val="nil"/>
              <w:left w:val="nil"/>
              <w:bottom w:val="single" w:sz="8" w:space="0" w:color="auto"/>
              <w:right w:val="single" w:sz="8" w:space="0" w:color="auto"/>
            </w:tcBorders>
            <w:shd w:val="clear" w:color="auto" w:fill="auto"/>
            <w:hideMark/>
          </w:tcPr>
          <w:p w14:paraId="65B6957C" w14:textId="5E41205E"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2891A1B8" w14:textId="6BDE100F" w:rsidR="00FC15CF" w:rsidRPr="00FC15CF" w:rsidRDefault="00FC15CF" w:rsidP="00FC15CF">
            <w:pPr>
              <w:jc w:val="center"/>
              <w:rPr>
                <w:b w:val="0"/>
                <w:sz w:val="22"/>
                <w:szCs w:val="22"/>
              </w:rPr>
            </w:pPr>
            <w:r w:rsidRPr="00FC15CF">
              <w:rPr>
                <w:b w:val="0"/>
              </w:rPr>
              <w:t>NA</w:t>
            </w:r>
          </w:p>
        </w:tc>
        <w:tc>
          <w:tcPr>
            <w:tcW w:w="840" w:type="dxa"/>
            <w:tcBorders>
              <w:top w:val="nil"/>
              <w:left w:val="nil"/>
              <w:bottom w:val="single" w:sz="8" w:space="0" w:color="auto"/>
              <w:right w:val="single" w:sz="8" w:space="0" w:color="auto"/>
            </w:tcBorders>
            <w:shd w:val="clear" w:color="auto" w:fill="auto"/>
            <w:hideMark/>
          </w:tcPr>
          <w:p w14:paraId="75F5EA5B" w14:textId="441DA378"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762C8F14" w14:textId="0368260B" w:rsidR="00FC15CF" w:rsidRPr="00FC15CF" w:rsidRDefault="00FC15CF" w:rsidP="00FC15CF">
            <w:pPr>
              <w:jc w:val="center"/>
              <w:rPr>
                <w:b w:val="0"/>
                <w:sz w:val="22"/>
                <w:szCs w:val="22"/>
              </w:rPr>
            </w:pPr>
            <w:r w:rsidRPr="00FC15CF">
              <w:rPr>
                <w:b w:val="0"/>
              </w:rPr>
              <w:t>NA</w:t>
            </w:r>
          </w:p>
        </w:tc>
        <w:tc>
          <w:tcPr>
            <w:tcW w:w="656" w:type="dxa"/>
            <w:tcBorders>
              <w:top w:val="nil"/>
              <w:left w:val="nil"/>
              <w:bottom w:val="single" w:sz="8" w:space="0" w:color="auto"/>
              <w:right w:val="single" w:sz="8" w:space="0" w:color="auto"/>
            </w:tcBorders>
            <w:shd w:val="clear" w:color="auto" w:fill="auto"/>
            <w:hideMark/>
          </w:tcPr>
          <w:p w14:paraId="2679F35E" w14:textId="79BE5161" w:rsidR="00FC15CF" w:rsidRPr="00FC15CF" w:rsidRDefault="00FC15CF" w:rsidP="00FC15CF">
            <w:pPr>
              <w:jc w:val="center"/>
              <w:rPr>
                <w:b w:val="0"/>
                <w:sz w:val="22"/>
                <w:szCs w:val="22"/>
              </w:rPr>
            </w:pPr>
            <w:r w:rsidRPr="00FC15CF">
              <w:rPr>
                <w:b w:val="0"/>
              </w:rPr>
              <w:t>NA</w:t>
            </w:r>
          </w:p>
        </w:tc>
        <w:tc>
          <w:tcPr>
            <w:tcW w:w="1011" w:type="dxa"/>
            <w:tcBorders>
              <w:top w:val="nil"/>
              <w:left w:val="nil"/>
              <w:bottom w:val="single" w:sz="8" w:space="0" w:color="auto"/>
              <w:right w:val="single" w:sz="8" w:space="0" w:color="auto"/>
            </w:tcBorders>
            <w:shd w:val="clear" w:color="auto" w:fill="auto"/>
            <w:hideMark/>
          </w:tcPr>
          <w:p w14:paraId="2F7A35CA" w14:textId="0F2E1B91"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7E6E5BA6" w14:textId="2CB77697"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6ABEE444" w14:textId="53EBAF5A"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3847F35F" w14:textId="52C9F206" w:rsidR="00FC15CF" w:rsidRPr="00FC15CF" w:rsidRDefault="00FC15CF" w:rsidP="00FC15CF">
            <w:pPr>
              <w:jc w:val="center"/>
              <w:rPr>
                <w:b w:val="0"/>
                <w:sz w:val="22"/>
                <w:szCs w:val="22"/>
              </w:rPr>
            </w:pPr>
            <w:r w:rsidRPr="00FC15CF">
              <w:rPr>
                <w:b w:val="0"/>
              </w:rPr>
              <w:t>NA</w:t>
            </w:r>
          </w:p>
        </w:tc>
        <w:tc>
          <w:tcPr>
            <w:tcW w:w="1096" w:type="dxa"/>
            <w:tcBorders>
              <w:top w:val="nil"/>
              <w:left w:val="nil"/>
              <w:bottom w:val="single" w:sz="8" w:space="0" w:color="auto"/>
              <w:right w:val="single" w:sz="8" w:space="0" w:color="auto"/>
            </w:tcBorders>
            <w:shd w:val="clear" w:color="auto" w:fill="auto"/>
            <w:hideMark/>
          </w:tcPr>
          <w:p w14:paraId="3B506837" w14:textId="23A7E6BE"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16BAE49E" w14:textId="27F5DBDB"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1AE144B0" w14:textId="09153502" w:rsidR="00FC15CF" w:rsidRPr="00FC15CF" w:rsidRDefault="00FC15CF" w:rsidP="00FC15CF">
            <w:pPr>
              <w:jc w:val="center"/>
              <w:rPr>
                <w:b w:val="0"/>
                <w:sz w:val="22"/>
                <w:szCs w:val="22"/>
              </w:rPr>
            </w:pPr>
            <w:r w:rsidRPr="00FC15CF">
              <w:rPr>
                <w:b w:val="0"/>
              </w:rPr>
              <w:t>NA</w:t>
            </w:r>
          </w:p>
        </w:tc>
        <w:tc>
          <w:tcPr>
            <w:tcW w:w="1072" w:type="dxa"/>
            <w:tcBorders>
              <w:top w:val="nil"/>
              <w:left w:val="nil"/>
              <w:bottom w:val="single" w:sz="8" w:space="0" w:color="auto"/>
              <w:right w:val="single" w:sz="8" w:space="0" w:color="auto"/>
            </w:tcBorders>
            <w:shd w:val="clear" w:color="auto" w:fill="auto"/>
            <w:hideMark/>
          </w:tcPr>
          <w:p w14:paraId="4F14CBC2" w14:textId="30CC029E" w:rsidR="00FC15CF" w:rsidRPr="00FC15CF" w:rsidRDefault="00FC15CF" w:rsidP="00FC15CF">
            <w:pPr>
              <w:jc w:val="center"/>
              <w:rPr>
                <w:b w:val="0"/>
                <w:sz w:val="22"/>
                <w:szCs w:val="22"/>
              </w:rPr>
            </w:pPr>
            <w:r w:rsidRPr="00FC15CF">
              <w:rPr>
                <w:b w:val="0"/>
              </w:rPr>
              <w:t>50.8</w:t>
            </w:r>
          </w:p>
        </w:tc>
      </w:tr>
    </w:tbl>
    <w:p w14:paraId="3D547C30" w14:textId="505950C4" w:rsidR="004A4496" w:rsidRPr="00E76846" w:rsidRDefault="004A4496" w:rsidP="00911709">
      <w:pPr>
        <w:keepNext/>
        <w:rPr>
          <w:rFonts w:ascii="Arial" w:hAnsi="Arial" w:cs="Arial"/>
          <w:b w:val="0"/>
          <w:sz w:val="22"/>
          <w:szCs w:val="22"/>
        </w:rPr>
      </w:pPr>
    </w:p>
    <w:p w14:paraId="7E08DC46" w14:textId="76C09565" w:rsidR="00EE20CC" w:rsidRDefault="00EE20CC" w:rsidP="00911709">
      <w:pPr>
        <w:keepNext/>
        <w:rPr>
          <w:noProof/>
        </w:rPr>
      </w:pPr>
    </w:p>
    <w:p w14:paraId="5AC9A0AD" w14:textId="77777777" w:rsidR="00EE20CC" w:rsidRDefault="00EE20CC" w:rsidP="00911709">
      <w:pPr>
        <w:keepNext/>
        <w:rPr>
          <w:noProof/>
        </w:rPr>
      </w:pPr>
    </w:p>
    <w:p w14:paraId="6D2D134E" w14:textId="538E6723" w:rsidR="00A75D7D" w:rsidRPr="00D50397" w:rsidRDefault="00A75D7D" w:rsidP="00911709">
      <w:pPr>
        <w:keepNext/>
        <w:rPr>
          <w:rFonts w:ascii="Arial" w:hAnsi="Arial" w:cs="Arial"/>
          <w:b w:val="0"/>
        </w:rPr>
        <w:sectPr w:rsidR="00A75D7D" w:rsidRPr="00D50397" w:rsidSect="00DF441A">
          <w:footerReference w:type="default" r:id="rId19"/>
          <w:headerReference w:type="first" r:id="rId20"/>
          <w:footerReference w:type="first" r:id="rId21"/>
          <w:pgSz w:w="15840" w:h="12240" w:orient="landscape"/>
          <w:pgMar w:top="1296" w:right="1152" w:bottom="1152" w:left="1296" w:header="720" w:footer="720" w:gutter="0"/>
          <w:cols w:space="720"/>
          <w:titlePg/>
        </w:sectPr>
      </w:pPr>
    </w:p>
    <w:p w14:paraId="754A7751" w14:textId="17007626" w:rsidR="00C30FC1" w:rsidRDefault="00E61BFA" w:rsidP="00911709">
      <w:pPr>
        <w:pStyle w:val="Caption"/>
        <w:keepNext/>
        <w:keepLines/>
        <w:tabs>
          <w:tab w:val="left" w:pos="1080"/>
        </w:tabs>
        <w:spacing w:before="0" w:after="0"/>
        <w:ind w:left="1080" w:hanging="1080"/>
        <w:jc w:val="both"/>
      </w:pPr>
      <w:bookmarkStart w:id="25" w:name="_Ref195526775"/>
      <w:bookmarkStart w:id="26" w:name="_Toc190729545"/>
      <w:r w:rsidRPr="00776404">
        <w:lastRenderedPageBreak/>
        <w:t xml:space="preserve">Table </w:t>
      </w:r>
      <w:bookmarkEnd w:id="25"/>
      <w:r w:rsidR="00D77C35">
        <w:t>5</w:t>
      </w:r>
      <w:r w:rsidRPr="00776404">
        <w:t>:</w:t>
      </w:r>
      <w:r w:rsidR="0066150C">
        <w:tab/>
      </w:r>
      <w:r w:rsidR="00AE05F7" w:rsidRPr="00776404">
        <w:t xml:space="preserve">Projected </w:t>
      </w:r>
      <w:r w:rsidRPr="00776404">
        <w:t xml:space="preserve">Demand and Energy Savings Broken Out by Program for Each Customer Class </w:t>
      </w:r>
    </w:p>
    <w:p w14:paraId="32B88825" w14:textId="77777777" w:rsidR="00E76846" w:rsidRPr="00E76846" w:rsidRDefault="00E76846" w:rsidP="00E76846">
      <w:pPr>
        <w:rPr>
          <w:sz w:val="16"/>
        </w:rPr>
      </w:pPr>
    </w:p>
    <w:p w14:paraId="7439E776" w14:textId="50BD5056" w:rsidR="000E3E92" w:rsidRDefault="000E3E92" w:rsidP="005A2C8D">
      <w:pPr>
        <w:jc w:val="center"/>
      </w:pPr>
    </w:p>
    <w:p w14:paraId="56C9B38E" w14:textId="40FC53EC" w:rsidR="00A43D4A" w:rsidRDefault="006C661E" w:rsidP="005A2C8D">
      <w:pPr>
        <w:jc w:val="center"/>
      </w:pPr>
      <w:r w:rsidRPr="006C661E">
        <w:rPr>
          <w:noProof/>
        </w:rPr>
        <w:drawing>
          <wp:inline distT="0" distB="0" distL="0" distR="0" wp14:anchorId="1BC63D16" wp14:editId="3862CA6C">
            <wp:extent cx="5359400" cy="786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9400" cy="7863840"/>
                    </a:xfrm>
                    <a:prstGeom prst="rect">
                      <a:avLst/>
                    </a:prstGeom>
                    <a:noFill/>
                    <a:ln>
                      <a:noFill/>
                    </a:ln>
                  </pic:spPr>
                </pic:pic>
              </a:graphicData>
            </a:graphic>
          </wp:inline>
        </w:drawing>
      </w:r>
    </w:p>
    <w:p w14:paraId="6C7189F5" w14:textId="519278EC" w:rsidR="00D409C6" w:rsidRDefault="00D409C6" w:rsidP="00911709"/>
    <w:p w14:paraId="5AC67204" w14:textId="6A59AE9C" w:rsidR="00C30FC1" w:rsidRPr="00CD6042" w:rsidRDefault="001904AE" w:rsidP="00911709">
      <w:pPr>
        <w:pStyle w:val="Heading1"/>
        <w:tabs>
          <w:tab w:val="clear" w:pos="360"/>
          <w:tab w:val="num" w:pos="720"/>
        </w:tabs>
        <w:spacing w:before="0" w:after="0"/>
        <w:rPr>
          <w:rFonts w:cs="Arial"/>
          <w:spacing w:val="0"/>
        </w:rPr>
      </w:pPr>
      <w:bookmarkStart w:id="27" w:name="_Ref197346600"/>
      <w:bookmarkStart w:id="28" w:name="_Ref197346631"/>
      <w:bookmarkStart w:id="29" w:name="_Toc509500760"/>
      <w:r w:rsidRPr="00CD6042">
        <w:rPr>
          <w:rFonts w:cs="Arial"/>
          <w:spacing w:val="0"/>
        </w:rPr>
        <w:t>Program Budgets</w:t>
      </w:r>
      <w:bookmarkEnd w:id="26"/>
      <w:bookmarkEnd w:id="27"/>
      <w:bookmarkEnd w:id="28"/>
      <w:bookmarkEnd w:id="29"/>
    </w:p>
    <w:p w14:paraId="0A10E098" w14:textId="77777777" w:rsidR="00D50397" w:rsidRDefault="00D50397" w:rsidP="00911709">
      <w:pPr>
        <w:pStyle w:val="BodyText"/>
        <w:spacing w:before="0" w:after="0" w:line="240" w:lineRule="auto"/>
        <w:rPr>
          <w:rFonts w:cs="Arial"/>
          <w:b w:val="0"/>
        </w:rPr>
      </w:pPr>
    </w:p>
    <w:p w14:paraId="4484D23A" w14:textId="6A89CE5A" w:rsidR="00D46CEB" w:rsidRDefault="00A84A8F" w:rsidP="00911709">
      <w:pPr>
        <w:pStyle w:val="BodyText"/>
        <w:spacing w:before="0" w:after="0" w:line="240" w:lineRule="auto"/>
        <w:rPr>
          <w:rFonts w:cs="Arial"/>
          <w:b w:val="0"/>
          <w:szCs w:val="26"/>
        </w:rPr>
      </w:pPr>
      <w:r w:rsidRPr="00BF602E">
        <w:rPr>
          <w:rFonts w:cs="Arial"/>
          <w:b w:val="0"/>
        </w:rPr>
        <w:t xml:space="preserve">Table </w:t>
      </w:r>
      <w:r w:rsidR="00D77C35" w:rsidRPr="00BF602E">
        <w:rPr>
          <w:rFonts w:cs="Arial"/>
          <w:b w:val="0"/>
        </w:rPr>
        <w:t>6</w:t>
      </w:r>
      <w:r w:rsidR="00D77C35" w:rsidRPr="00D50397">
        <w:rPr>
          <w:rFonts w:cs="Arial"/>
          <w:b w:val="0"/>
          <w:szCs w:val="27"/>
        </w:rPr>
        <w:t xml:space="preserve"> </w:t>
      </w:r>
      <w:r w:rsidR="00623912" w:rsidRPr="00D50397">
        <w:rPr>
          <w:rFonts w:cs="Arial"/>
          <w:b w:val="0"/>
          <w:szCs w:val="26"/>
        </w:rPr>
        <w:t xml:space="preserve">presents </w:t>
      </w:r>
      <w:r w:rsidR="00365FED">
        <w:rPr>
          <w:rFonts w:cs="Arial"/>
          <w:b w:val="0"/>
          <w:szCs w:val="26"/>
        </w:rPr>
        <w:t xml:space="preserve">the </w:t>
      </w:r>
      <w:r w:rsidR="00623912" w:rsidRPr="00D50397">
        <w:rPr>
          <w:rFonts w:cs="Arial"/>
          <w:b w:val="0"/>
          <w:szCs w:val="26"/>
        </w:rPr>
        <w:t xml:space="preserve">total proposed budget allocations required to achieve </w:t>
      </w:r>
      <w:r w:rsidR="006F0201">
        <w:rPr>
          <w:rFonts w:cs="Arial"/>
          <w:b w:val="0"/>
          <w:szCs w:val="26"/>
        </w:rPr>
        <w:t xml:space="preserve">EPE’s </w:t>
      </w:r>
      <w:r w:rsidR="00623912" w:rsidRPr="00D50397">
        <w:rPr>
          <w:rFonts w:cs="Arial"/>
          <w:b w:val="0"/>
          <w:szCs w:val="26"/>
        </w:rPr>
        <w:t xml:space="preserve">projected demand </w:t>
      </w:r>
      <w:r w:rsidR="00365FED">
        <w:rPr>
          <w:rFonts w:cs="Arial"/>
          <w:b w:val="0"/>
          <w:szCs w:val="26"/>
        </w:rPr>
        <w:t xml:space="preserve">reduction </w:t>
      </w:r>
      <w:r w:rsidR="00623912" w:rsidRPr="00D50397">
        <w:rPr>
          <w:rFonts w:cs="Arial"/>
          <w:b w:val="0"/>
          <w:szCs w:val="26"/>
        </w:rPr>
        <w:t xml:space="preserve">and energy savings shown in </w:t>
      </w:r>
      <w:r w:rsidR="00623912" w:rsidRPr="00BF602E">
        <w:rPr>
          <w:rFonts w:cs="Arial"/>
          <w:b w:val="0"/>
          <w:szCs w:val="26"/>
        </w:rPr>
        <w:t xml:space="preserve">Table </w:t>
      </w:r>
      <w:r w:rsidR="00D77C35" w:rsidRPr="00BF602E">
        <w:rPr>
          <w:rFonts w:cs="Arial"/>
          <w:b w:val="0"/>
          <w:szCs w:val="26"/>
        </w:rPr>
        <w:t>5</w:t>
      </w:r>
      <w:r w:rsidR="00623912" w:rsidRPr="00D50397">
        <w:rPr>
          <w:rFonts w:cs="Arial"/>
          <w:b w:val="0"/>
          <w:szCs w:val="26"/>
        </w:rPr>
        <w:t>. The budget allocations are broken</w:t>
      </w:r>
      <w:r w:rsidR="00902AC2">
        <w:rPr>
          <w:rFonts w:cs="Arial"/>
          <w:b w:val="0"/>
          <w:szCs w:val="26"/>
        </w:rPr>
        <w:t xml:space="preserve"> </w:t>
      </w:r>
      <w:r w:rsidR="00623912" w:rsidRPr="00D50397">
        <w:rPr>
          <w:rFonts w:cs="Arial"/>
          <w:b w:val="0"/>
          <w:szCs w:val="26"/>
        </w:rPr>
        <w:t>down by</w:t>
      </w:r>
      <w:r w:rsidR="00623912" w:rsidRPr="00D50397">
        <w:rPr>
          <w:rFonts w:cs="Arial"/>
          <w:b w:val="0"/>
        </w:rPr>
        <w:t xml:space="preserve"> </w:t>
      </w:r>
      <w:r w:rsidR="00623912" w:rsidRPr="00D50397">
        <w:rPr>
          <w:rFonts w:cs="Arial"/>
          <w:b w:val="0"/>
          <w:szCs w:val="26"/>
        </w:rPr>
        <w:t>customer class, program, and the budget categories</w:t>
      </w:r>
      <w:r w:rsidR="007D2B6E">
        <w:rPr>
          <w:rFonts w:cs="Arial"/>
          <w:b w:val="0"/>
          <w:szCs w:val="26"/>
        </w:rPr>
        <w:t xml:space="preserve"> of</w:t>
      </w:r>
      <w:r w:rsidR="00623912" w:rsidRPr="00D50397">
        <w:rPr>
          <w:rFonts w:cs="Arial"/>
          <w:b w:val="0"/>
          <w:szCs w:val="26"/>
        </w:rPr>
        <w:t xml:space="preserve"> incentive payments</w:t>
      </w:r>
      <w:r w:rsidR="007D2B6E">
        <w:rPr>
          <w:rFonts w:cs="Arial"/>
          <w:b w:val="0"/>
          <w:szCs w:val="26"/>
        </w:rPr>
        <w:t xml:space="preserve"> and</w:t>
      </w:r>
      <w:r w:rsidR="0005120D">
        <w:rPr>
          <w:rFonts w:cs="Arial"/>
          <w:b w:val="0"/>
          <w:szCs w:val="26"/>
        </w:rPr>
        <w:t xml:space="preserve"> </w:t>
      </w:r>
      <w:r w:rsidR="00623912" w:rsidRPr="00D50397">
        <w:rPr>
          <w:rFonts w:cs="Arial"/>
          <w:b w:val="0"/>
          <w:szCs w:val="26"/>
        </w:rPr>
        <w:t>administration and R&amp;D</w:t>
      </w:r>
      <w:r w:rsidR="0005120D">
        <w:rPr>
          <w:rFonts w:cs="Arial"/>
          <w:b w:val="0"/>
          <w:szCs w:val="26"/>
        </w:rPr>
        <w:t xml:space="preserve"> expenses</w:t>
      </w:r>
      <w:r w:rsidR="00623912" w:rsidRPr="00D50397">
        <w:rPr>
          <w:rFonts w:cs="Arial"/>
          <w:b w:val="0"/>
          <w:szCs w:val="26"/>
        </w:rPr>
        <w:t xml:space="preserve">. </w:t>
      </w:r>
      <w:r w:rsidR="00596676" w:rsidRPr="00BF602E">
        <w:rPr>
          <w:rFonts w:cs="Arial"/>
          <w:b w:val="0"/>
          <w:szCs w:val="26"/>
        </w:rPr>
        <w:t>Table 6</w:t>
      </w:r>
      <w:r w:rsidR="00596676">
        <w:rPr>
          <w:rFonts w:cs="Arial"/>
          <w:b w:val="0"/>
          <w:szCs w:val="26"/>
        </w:rPr>
        <w:t xml:space="preserve"> also includes the estimated annual </w:t>
      </w:r>
      <w:r w:rsidR="0005120D">
        <w:rPr>
          <w:rFonts w:cs="Arial"/>
          <w:b w:val="0"/>
          <w:szCs w:val="26"/>
        </w:rPr>
        <w:t xml:space="preserve">expenses for </w:t>
      </w:r>
      <w:r w:rsidR="00596676">
        <w:rPr>
          <w:rFonts w:cs="Arial"/>
          <w:b w:val="0"/>
          <w:szCs w:val="26"/>
        </w:rPr>
        <w:t>the statewide EM</w:t>
      </w:r>
      <w:r w:rsidR="00596676" w:rsidRPr="003C6CC9">
        <w:rPr>
          <w:rFonts w:cs="Arial"/>
          <w:b w:val="0"/>
          <w:szCs w:val="26"/>
        </w:rPr>
        <w:t>&amp;V contractor</w:t>
      </w:r>
      <w:r w:rsidR="009538AB" w:rsidRPr="003C6CC9">
        <w:rPr>
          <w:rFonts w:cs="Arial"/>
          <w:b w:val="0"/>
          <w:szCs w:val="26"/>
        </w:rPr>
        <w:t xml:space="preserve"> and the EECRF </w:t>
      </w:r>
      <w:r w:rsidR="002B1681" w:rsidRPr="003C6CC9">
        <w:rPr>
          <w:rFonts w:cs="Arial"/>
          <w:b w:val="0"/>
          <w:szCs w:val="26"/>
        </w:rPr>
        <w:t>p</w:t>
      </w:r>
      <w:r w:rsidR="009538AB" w:rsidRPr="003C6CC9">
        <w:rPr>
          <w:rFonts w:cs="Arial"/>
          <w:b w:val="0"/>
          <w:szCs w:val="26"/>
        </w:rPr>
        <w:t>roceeding expenses</w:t>
      </w:r>
      <w:r w:rsidR="00596676" w:rsidRPr="003C6CC9">
        <w:rPr>
          <w:rFonts w:cs="Arial"/>
          <w:b w:val="0"/>
          <w:szCs w:val="26"/>
        </w:rPr>
        <w:t xml:space="preserve">. </w:t>
      </w:r>
      <w:r w:rsidR="004C393F" w:rsidRPr="003C6CC9">
        <w:rPr>
          <w:rFonts w:cs="Arial"/>
          <w:b w:val="0"/>
        </w:rPr>
        <w:t>The ov</w:t>
      </w:r>
      <w:r w:rsidR="00516D2A" w:rsidRPr="003C6CC9">
        <w:rPr>
          <w:rFonts w:cs="Arial"/>
          <w:b w:val="0"/>
        </w:rPr>
        <w:t>erall program budget for 201</w:t>
      </w:r>
      <w:r w:rsidR="00C702F8" w:rsidRPr="003C6CC9">
        <w:rPr>
          <w:rFonts w:cs="Arial"/>
          <w:b w:val="0"/>
        </w:rPr>
        <w:t>8</w:t>
      </w:r>
      <w:r w:rsidR="00492C44" w:rsidRPr="003C6CC9">
        <w:rPr>
          <w:rFonts w:cs="Arial"/>
          <w:b w:val="0"/>
        </w:rPr>
        <w:t xml:space="preserve"> is $4,</w:t>
      </w:r>
      <w:r w:rsidR="003C6CC9" w:rsidRPr="003C6CC9">
        <w:rPr>
          <w:rFonts w:cs="Arial"/>
          <w:b w:val="0"/>
        </w:rPr>
        <w:t>394,650</w:t>
      </w:r>
      <w:r w:rsidR="00492C44" w:rsidRPr="003C6CC9">
        <w:rPr>
          <w:rFonts w:cs="Arial"/>
          <w:b w:val="0"/>
        </w:rPr>
        <w:t>.</w:t>
      </w:r>
      <w:r w:rsidR="003917EC">
        <w:rPr>
          <w:rFonts w:cs="Arial"/>
          <w:b w:val="0"/>
        </w:rPr>
        <w:t xml:space="preserve"> The discontinuation of the Commercial SOP was due to recurring low participation and will also assist in lowering EPE’s 2018 commercial cost cap</w:t>
      </w:r>
      <w:r w:rsidR="003917EC" w:rsidRPr="003917EC">
        <w:rPr>
          <w:rFonts w:cs="Arial"/>
          <w:b w:val="0"/>
        </w:rPr>
        <w:t xml:space="preserve"> </w:t>
      </w:r>
      <w:r w:rsidR="003917EC">
        <w:rPr>
          <w:rFonts w:cs="Arial"/>
          <w:b w:val="0"/>
        </w:rPr>
        <w:t>pursuant to 16 TAC </w:t>
      </w:r>
      <w:r w:rsidR="003917EC" w:rsidRPr="00597FB6">
        <w:rPr>
          <w:rFonts w:cs="Arial"/>
          <w:b w:val="0"/>
        </w:rPr>
        <w:t>§25.181(</w:t>
      </w:r>
      <w:r w:rsidR="003917EC">
        <w:rPr>
          <w:rFonts w:cs="Arial"/>
          <w:b w:val="0"/>
        </w:rPr>
        <w:t>f</w:t>
      </w:r>
      <w:r w:rsidR="003917EC" w:rsidRPr="00597FB6">
        <w:rPr>
          <w:rFonts w:cs="Arial"/>
          <w:b w:val="0"/>
        </w:rPr>
        <w:t>)(</w:t>
      </w:r>
      <w:r w:rsidR="003917EC">
        <w:rPr>
          <w:rFonts w:cs="Arial"/>
          <w:b w:val="0"/>
        </w:rPr>
        <w:t>7).</w:t>
      </w:r>
    </w:p>
    <w:p w14:paraId="3681DEF3" w14:textId="77777777" w:rsidR="000C629F" w:rsidRPr="00D50397" w:rsidRDefault="000C629F" w:rsidP="00911709">
      <w:pPr>
        <w:pStyle w:val="BodyText"/>
        <w:spacing w:before="0" w:after="0" w:line="240" w:lineRule="auto"/>
        <w:rPr>
          <w:rFonts w:cs="Arial"/>
          <w:b w:val="0"/>
          <w:szCs w:val="26"/>
        </w:rPr>
      </w:pPr>
    </w:p>
    <w:p w14:paraId="2F52EEFD" w14:textId="77777777" w:rsidR="00C30FC1" w:rsidRDefault="00FB2AD5" w:rsidP="00911709">
      <w:pPr>
        <w:pStyle w:val="BodyText"/>
        <w:spacing w:before="0" w:after="0" w:line="240" w:lineRule="auto"/>
        <w:rPr>
          <w:rFonts w:cs="Arial"/>
          <w:b w:val="0"/>
        </w:rPr>
      </w:pPr>
      <w:r w:rsidRPr="00D50397">
        <w:rPr>
          <w:rFonts w:cs="Arial"/>
          <w:b w:val="0"/>
        </w:rPr>
        <w:t xml:space="preserve">The </w:t>
      </w:r>
      <w:r w:rsidR="00B50EA3" w:rsidRPr="00D50397">
        <w:rPr>
          <w:rFonts w:cs="Arial"/>
          <w:b w:val="0"/>
        </w:rPr>
        <w:t>number of customers in each of the customer classes shown in</w:t>
      </w:r>
      <w:r w:rsidR="00B50EA3">
        <w:rPr>
          <w:b w:val="0"/>
        </w:rPr>
        <w:t xml:space="preserve"> </w:t>
      </w:r>
      <w:r w:rsidR="00B50EA3" w:rsidRPr="00BF602E">
        <w:rPr>
          <w:b w:val="0"/>
        </w:rPr>
        <w:t>Table 3</w:t>
      </w:r>
      <w:r w:rsidR="00B50EA3" w:rsidRPr="00D50397">
        <w:rPr>
          <w:rFonts w:cs="Arial"/>
          <w:b w:val="0"/>
        </w:rPr>
        <w:t xml:space="preserve"> was</w:t>
      </w:r>
      <w:r w:rsidRPr="00D50397">
        <w:rPr>
          <w:rFonts w:cs="Arial"/>
          <w:b w:val="0"/>
        </w:rPr>
        <w:t xml:space="preserve"> </w:t>
      </w:r>
      <w:r w:rsidR="001115E5">
        <w:rPr>
          <w:rFonts w:cs="Arial"/>
          <w:b w:val="0"/>
        </w:rPr>
        <w:t xml:space="preserve">considered </w:t>
      </w:r>
      <w:r w:rsidRPr="00D50397">
        <w:rPr>
          <w:rFonts w:cs="Arial"/>
          <w:b w:val="0"/>
        </w:rPr>
        <w:t xml:space="preserve">in budget allocations for those classes. EPE first ensured that the 5% goal for </w:t>
      </w:r>
      <w:r w:rsidR="00B50EA3">
        <w:rPr>
          <w:rFonts w:cs="Arial"/>
          <w:b w:val="0"/>
        </w:rPr>
        <w:t>H</w:t>
      </w:r>
      <w:r w:rsidR="00B50EA3" w:rsidRPr="00D50397">
        <w:rPr>
          <w:rFonts w:cs="Arial"/>
          <w:b w:val="0"/>
        </w:rPr>
        <w:t>ard</w:t>
      </w:r>
      <w:r w:rsidRPr="00D50397">
        <w:rPr>
          <w:rFonts w:cs="Arial"/>
          <w:b w:val="0"/>
        </w:rPr>
        <w:t>-to-</w:t>
      </w:r>
      <w:r w:rsidR="00B50EA3">
        <w:rPr>
          <w:rFonts w:cs="Arial"/>
          <w:b w:val="0"/>
        </w:rPr>
        <w:t>R</w:t>
      </w:r>
      <w:r w:rsidR="00B50EA3" w:rsidRPr="00D50397">
        <w:rPr>
          <w:rFonts w:cs="Arial"/>
          <w:b w:val="0"/>
        </w:rPr>
        <w:t xml:space="preserve">each </w:t>
      </w:r>
      <w:r w:rsidRPr="00D50397">
        <w:rPr>
          <w:rFonts w:cs="Arial"/>
          <w:b w:val="0"/>
        </w:rPr>
        <w:t xml:space="preserve">customers was met and then allocated the remaining funding </w:t>
      </w:r>
      <w:r w:rsidR="00365FED">
        <w:rPr>
          <w:rFonts w:cs="Arial"/>
          <w:b w:val="0"/>
        </w:rPr>
        <w:t>to</w:t>
      </w:r>
      <w:r w:rsidR="00365FED" w:rsidRPr="00D50397">
        <w:rPr>
          <w:rFonts w:cs="Arial"/>
          <w:b w:val="0"/>
        </w:rPr>
        <w:t xml:space="preserve"> </w:t>
      </w:r>
      <w:r w:rsidRPr="00D50397">
        <w:rPr>
          <w:rFonts w:cs="Arial"/>
          <w:b w:val="0"/>
        </w:rPr>
        <w:t>the residential and commercial classes</w:t>
      </w:r>
      <w:r w:rsidR="00365FED">
        <w:rPr>
          <w:rFonts w:cs="Arial"/>
          <w:b w:val="0"/>
        </w:rPr>
        <w:t xml:space="preserve">. </w:t>
      </w:r>
      <w:r w:rsidRPr="00D50397">
        <w:rPr>
          <w:rFonts w:cs="Arial"/>
          <w:b w:val="0"/>
        </w:rPr>
        <w:t xml:space="preserve">A variety of additional factors and assumptions also went into the decision process. </w:t>
      </w:r>
    </w:p>
    <w:p w14:paraId="1BA72A2B" w14:textId="77777777" w:rsidR="000C629F" w:rsidRPr="00843364" w:rsidRDefault="000C629F" w:rsidP="00911709">
      <w:pPr>
        <w:pStyle w:val="BodyText"/>
        <w:spacing w:before="0" w:after="0" w:line="240" w:lineRule="auto"/>
        <w:rPr>
          <w:rFonts w:cs="Arial"/>
          <w:b w:val="0"/>
          <w:szCs w:val="22"/>
        </w:rPr>
      </w:pPr>
    </w:p>
    <w:p w14:paraId="77096752" w14:textId="78A84958" w:rsidR="00C30FC1" w:rsidRPr="00233F2A" w:rsidRDefault="00FB2AD5" w:rsidP="00911709">
      <w:pPr>
        <w:pStyle w:val="ListBullet"/>
        <w:spacing w:before="0" w:after="0" w:line="240" w:lineRule="auto"/>
        <w:jc w:val="both"/>
        <w:rPr>
          <w:rFonts w:ascii="Arial" w:hAnsi="Arial" w:cs="Arial"/>
          <w:b w:val="0"/>
          <w:sz w:val="22"/>
          <w:szCs w:val="22"/>
        </w:rPr>
      </w:pPr>
      <w:r w:rsidRPr="00233F2A">
        <w:rPr>
          <w:rFonts w:ascii="Arial" w:hAnsi="Arial" w:cs="Arial"/>
          <w:b w:val="0"/>
          <w:sz w:val="22"/>
          <w:szCs w:val="22"/>
        </w:rPr>
        <w:t>Hard-to-</w:t>
      </w:r>
      <w:r w:rsidR="002E17DD">
        <w:rPr>
          <w:rFonts w:ascii="Arial" w:hAnsi="Arial" w:cs="Arial"/>
          <w:b w:val="0"/>
          <w:sz w:val="22"/>
          <w:szCs w:val="22"/>
        </w:rPr>
        <w:t>R</w:t>
      </w:r>
      <w:r w:rsidRPr="00233F2A">
        <w:rPr>
          <w:rFonts w:ascii="Arial" w:hAnsi="Arial" w:cs="Arial"/>
          <w:b w:val="0"/>
          <w:sz w:val="22"/>
          <w:szCs w:val="22"/>
        </w:rPr>
        <w:t xml:space="preserve">each customers are residential customers at or below 200% of the </w:t>
      </w:r>
      <w:r w:rsidR="00B50EA3">
        <w:rPr>
          <w:rFonts w:ascii="Arial" w:hAnsi="Arial" w:cs="Arial"/>
          <w:b w:val="0"/>
          <w:sz w:val="22"/>
          <w:szCs w:val="22"/>
        </w:rPr>
        <w:t>F</w:t>
      </w:r>
      <w:r w:rsidR="00B50EA3" w:rsidRPr="00233F2A">
        <w:rPr>
          <w:rFonts w:ascii="Arial" w:hAnsi="Arial" w:cs="Arial"/>
          <w:b w:val="0"/>
          <w:sz w:val="22"/>
          <w:szCs w:val="22"/>
        </w:rPr>
        <w:t xml:space="preserve">ederal </w:t>
      </w:r>
      <w:r w:rsidR="00B50EA3">
        <w:rPr>
          <w:rFonts w:ascii="Arial" w:hAnsi="Arial" w:cs="Arial"/>
          <w:b w:val="0"/>
          <w:sz w:val="22"/>
          <w:szCs w:val="22"/>
        </w:rPr>
        <w:t>P</w:t>
      </w:r>
      <w:r w:rsidR="00B50EA3" w:rsidRPr="00233F2A">
        <w:rPr>
          <w:rFonts w:ascii="Arial" w:hAnsi="Arial" w:cs="Arial"/>
          <w:b w:val="0"/>
          <w:sz w:val="22"/>
          <w:szCs w:val="22"/>
        </w:rPr>
        <w:t xml:space="preserve">overty </w:t>
      </w:r>
      <w:r w:rsidR="00B50EA3" w:rsidRPr="00490CCC">
        <w:rPr>
          <w:rFonts w:ascii="Arial" w:hAnsi="Arial" w:cs="Arial"/>
          <w:b w:val="0"/>
          <w:sz w:val="22"/>
          <w:szCs w:val="22"/>
        </w:rPr>
        <w:t>Guidelines</w:t>
      </w:r>
      <w:r w:rsidRPr="00490CCC">
        <w:rPr>
          <w:rFonts w:ascii="Arial" w:hAnsi="Arial" w:cs="Arial"/>
          <w:b w:val="0"/>
          <w:sz w:val="22"/>
          <w:szCs w:val="22"/>
        </w:rPr>
        <w:t xml:space="preserve">. This is estimated to be approximately </w:t>
      </w:r>
      <w:r w:rsidR="00A43D4A">
        <w:rPr>
          <w:rFonts w:ascii="Arial" w:hAnsi="Arial" w:cs="Arial"/>
          <w:b w:val="0"/>
          <w:sz w:val="22"/>
          <w:szCs w:val="22"/>
        </w:rPr>
        <w:t>89,442</w:t>
      </w:r>
      <w:r w:rsidR="000C3E98" w:rsidRPr="00490CCC">
        <w:rPr>
          <w:rFonts w:ascii="Arial" w:hAnsi="Arial" w:cs="Arial"/>
          <w:b w:val="0"/>
          <w:sz w:val="22"/>
          <w:szCs w:val="22"/>
        </w:rPr>
        <w:t xml:space="preserve"> customers or </w:t>
      </w:r>
      <w:r w:rsidR="00A43D4A">
        <w:rPr>
          <w:rFonts w:ascii="Arial" w:hAnsi="Arial" w:cs="Arial"/>
          <w:b w:val="0"/>
          <w:sz w:val="22"/>
          <w:szCs w:val="22"/>
        </w:rPr>
        <w:t>31.7</w:t>
      </w:r>
      <w:r w:rsidRPr="00A43D4A">
        <w:rPr>
          <w:rFonts w:ascii="Arial" w:hAnsi="Arial" w:cs="Arial"/>
          <w:b w:val="0"/>
          <w:sz w:val="22"/>
          <w:szCs w:val="22"/>
        </w:rPr>
        <w:t>%</w:t>
      </w:r>
      <w:r w:rsidRPr="00490CCC">
        <w:rPr>
          <w:rFonts w:ascii="Arial" w:hAnsi="Arial" w:cs="Arial"/>
          <w:b w:val="0"/>
          <w:sz w:val="22"/>
          <w:szCs w:val="22"/>
        </w:rPr>
        <w:t xml:space="preserve"> of EPE</w:t>
      </w:r>
      <w:r w:rsidR="00CD6042" w:rsidRPr="00490CCC">
        <w:rPr>
          <w:rFonts w:ascii="Arial" w:hAnsi="Arial" w:cs="Arial"/>
          <w:b w:val="0"/>
          <w:sz w:val="22"/>
          <w:szCs w:val="22"/>
        </w:rPr>
        <w:t>'</w:t>
      </w:r>
      <w:r w:rsidRPr="00490CCC">
        <w:rPr>
          <w:rFonts w:ascii="Arial" w:hAnsi="Arial" w:cs="Arial"/>
          <w:b w:val="0"/>
          <w:sz w:val="22"/>
          <w:szCs w:val="22"/>
        </w:rPr>
        <w:t xml:space="preserve">s </w:t>
      </w:r>
      <w:r w:rsidR="000C3E98" w:rsidRPr="00490CCC">
        <w:rPr>
          <w:rFonts w:ascii="Arial" w:hAnsi="Arial" w:cs="Arial"/>
          <w:b w:val="0"/>
          <w:sz w:val="22"/>
          <w:szCs w:val="22"/>
        </w:rPr>
        <w:t>total residential load in Texas</w:t>
      </w:r>
      <w:r w:rsidR="00DB4C1F">
        <w:rPr>
          <w:rFonts w:ascii="Arial" w:hAnsi="Arial" w:cs="Arial"/>
          <w:b w:val="0"/>
          <w:sz w:val="22"/>
          <w:szCs w:val="22"/>
        </w:rPr>
        <w:t>.</w:t>
      </w:r>
      <w:r w:rsidRPr="00233F2A">
        <w:rPr>
          <w:rFonts w:ascii="Arial" w:hAnsi="Arial" w:cs="Arial"/>
          <w:b w:val="0"/>
          <w:sz w:val="22"/>
          <w:szCs w:val="22"/>
        </w:rPr>
        <w:t xml:space="preserve"> </w:t>
      </w:r>
    </w:p>
    <w:p w14:paraId="3ECD9B5E" w14:textId="77777777" w:rsidR="000C629F" w:rsidRPr="00233F2A" w:rsidRDefault="000C629F" w:rsidP="00911709">
      <w:pPr>
        <w:pStyle w:val="ListBullet"/>
        <w:spacing w:before="0" w:after="0" w:line="240" w:lineRule="auto"/>
        <w:jc w:val="both"/>
        <w:rPr>
          <w:rFonts w:ascii="Arial" w:hAnsi="Arial" w:cs="Arial"/>
          <w:b w:val="0"/>
          <w:sz w:val="22"/>
          <w:szCs w:val="22"/>
        </w:rPr>
      </w:pPr>
    </w:p>
    <w:p w14:paraId="70CE323F" w14:textId="45532676" w:rsidR="00C30FC1" w:rsidRPr="00233F2A" w:rsidRDefault="00FB2AD5" w:rsidP="00911709">
      <w:pPr>
        <w:pStyle w:val="ListBullet"/>
        <w:spacing w:before="0" w:after="0" w:line="240" w:lineRule="auto"/>
        <w:jc w:val="both"/>
        <w:rPr>
          <w:rFonts w:ascii="Arial" w:hAnsi="Arial" w:cs="Arial"/>
          <w:b w:val="0"/>
          <w:sz w:val="22"/>
          <w:szCs w:val="22"/>
        </w:rPr>
      </w:pPr>
      <w:r w:rsidRPr="0068165E">
        <w:rPr>
          <w:rFonts w:ascii="Arial" w:hAnsi="Arial" w:cs="Arial"/>
          <w:b w:val="0"/>
          <w:sz w:val="22"/>
          <w:szCs w:val="22"/>
        </w:rPr>
        <w:t>Avoided costs</w:t>
      </w:r>
      <w:r w:rsidR="00A13AE7" w:rsidRPr="0068165E">
        <w:rPr>
          <w:rFonts w:ascii="Arial" w:hAnsi="Arial" w:cs="Arial"/>
          <w:b w:val="0"/>
          <w:sz w:val="22"/>
          <w:szCs w:val="22"/>
        </w:rPr>
        <w:t xml:space="preserve"> for </w:t>
      </w:r>
      <w:r w:rsidR="009B5DC4" w:rsidRPr="0068165E">
        <w:rPr>
          <w:rFonts w:ascii="Arial" w:hAnsi="Arial" w:cs="Arial"/>
          <w:b w:val="0"/>
          <w:sz w:val="22"/>
          <w:szCs w:val="22"/>
        </w:rPr>
        <w:t>201</w:t>
      </w:r>
      <w:r w:rsidR="00492C44">
        <w:rPr>
          <w:rFonts w:ascii="Arial" w:hAnsi="Arial" w:cs="Arial"/>
          <w:b w:val="0"/>
          <w:sz w:val="22"/>
          <w:szCs w:val="22"/>
        </w:rPr>
        <w:t>8</w:t>
      </w:r>
      <w:r w:rsidR="00A13AE7" w:rsidRPr="0068165E">
        <w:rPr>
          <w:rFonts w:ascii="Arial" w:hAnsi="Arial" w:cs="Arial"/>
          <w:b w:val="0"/>
          <w:sz w:val="22"/>
          <w:szCs w:val="22"/>
        </w:rPr>
        <w:t>,</w:t>
      </w:r>
      <w:r w:rsidRPr="0068165E">
        <w:rPr>
          <w:rFonts w:ascii="Arial" w:hAnsi="Arial" w:cs="Arial"/>
          <w:b w:val="0"/>
          <w:sz w:val="22"/>
          <w:szCs w:val="22"/>
        </w:rPr>
        <w:t xml:space="preserve"> </w:t>
      </w:r>
      <w:r w:rsidR="00A13AE7" w:rsidRPr="0068165E">
        <w:rPr>
          <w:rFonts w:ascii="Arial" w:hAnsi="Arial" w:cs="Arial"/>
          <w:b w:val="0"/>
          <w:sz w:val="22"/>
          <w:szCs w:val="22"/>
        </w:rPr>
        <w:t>as</w:t>
      </w:r>
      <w:r w:rsidR="00C1555C" w:rsidRPr="0068165E">
        <w:rPr>
          <w:rFonts w:ascii="Arial" w:hAnsi="Arial" w:cs="Arial"/>
          <w:b w:val="0"/>
          <w:sz w:val="22"/>
          <w:szCs w:val="22"/>
        </w:rPr>
        <w:t xml:space="preserve"> established by the PUCT</w:t>
      </w:r>
      <w:r w:rsidR="00A13AE7" w:rsidRPr="0068165E">
        <w:rPr>
          <w:rFonts w:ascii="Arial" w:hAnsi="Arial" w:cs="Arial"/>
          <w:b w:val="0"/>
          <w:sz w:val="22"/>
          <w:szCs w:val="22"/>
        </w:rPr>
        <w:t>,</w:t>
      </w:r>
      <w:r w:rsidR="00C1555C" w:rsidRPr="0068165E">
        <w:rPr>
          <w:rFonts w:ascii="Arial" w:hAnsi="Arial" w:cs="Arial"/>
          <w:b w:val="0"/>
          <w:sz w:val="22"/>
          <w:szCs w:val="22"/>
        </w:rPr>
        <w:t xml:space="preserve"> </w:t>
      </w:r>
      <w:r w:rsidR="00A13AE7" w:rsidRPr="0068165E">
        <w:rPr>
          <w:rFonts w:ascii="Arial" w:hAnsi="Arial" w:cs="Arial"/>
          <w:b w:val="0"/>
          <w:sz w:val="22"/>
          <w:szCs w:val="22"/>
        </w:rPr>
        <w:t xml:space="preserve">were </w:t>
      </w:r>
      <w:r w:rsidRPr="0068165E">
        <w:rPr>
          <w:rFonts w:ascii="Arial" w:hAnsi="Arial" w:cs="Arial"/>
          <w:b w:val="0"/>
          <w:sz w:val="22"/>
          <w:szCs w:val="22"/>
        </w:rPr>
        <w:t xml:space="preserve">set at </w:t>
      </w:r>
      <w:r w:rsidRPr="00F9324B">
        <w:rPr>
          <w:rFonts w:ascii="Arial" w:hAnsi="Arial" w:cs="Arial"/>
          <w:b w:val="0"/>
          <w:sz w:val="22"/>
          <w:szCs w:val="22"/>
        </w:rPr>
        <w:t>$80 per kW</w:t>
      </w:r>
      <w:r w:rsidRPr="0068165E">
        <w:rPr>
          <w:rFonts w:ascii="Arial" w:hAnsi="Arial" w:cs="Arial"/>
          <w:b w:val="0"/>
          <w:sz w:val="22"/>
          <w:szCs w:val="22"/>
        </w:rPr>
        <w:t xml:space="preserve"> per year and </w:t>
      </w:r>
      <w:r w:rsidR="00694CB3" w:rsidRPr="00F9324B">
        <w:rPr>
          <w:rFonts w:ascii="Arial" w:hAnsi="Arial" w:cs="Arial"/>
          <w:b w:val="0"/>
          <w:sz w:val="22"/>
          <w:szCs w:val="22"/>
        </w:rPr>
        <w:t>$</w:t>
      </w:r>
      <w:r w:rsidR="00F9324B">
        <w:rPr>
          <w:rFonts w:ascii="Arial" w:hAnsi="Arial" w:cs="Arial"/>
          <w:b w:val="0"/>
          <w:sz w:val="22"/>
          <w:szCs w:val="22"/>
        </w:rPr>
        <w:t>0.03757</w:t>
      </w:r>
      <w:r w:rsidR="00674A31" w:rsidRPr="0068165E">
        <w:rPr>
          <w:rFonts w:ascii="Arial" w:hAnsi="Arial" w:cs="Arial"/>
          <w:b w:val="0"/>
          <w:sz w:val="22"/>
          <w:szCs w:val="22"/>
        </w:rPr>
        <w:t> </w:t>
      </w:r>
      <w:r w:rsidRPr="0068165E">
        <w:rPr>
          <w:rFonts w:ascii="Arial" w:hAnsi="Arial" w:cs="Arial"/>
          <w:b w:val="0"/>
          <w:sz w:val="22"/>
          <w:szCs w:val="22"/>
        </w:rPr>
        <w:t>per kWh</w:t>
      </w:r>
      <w:r w:rsidR="00985BE3" w:rsidRPr="0068165E">
        <w:rPr>
          <w:rFonts w:ascii="Arial" w:hAnsi="Arial" w:cs="Arial"/>
          <w:b w:val="0"/>
          <w:sz w:val="22"/>
          <w:szCs w:val="22"/>
        </w:rPr>
        <w:t>.</w:t>
      </w:r>
    </w:p>
    <w:p w14:paraId="316A9792" w14:textId="77777777" w:rsidR="000C629F" w:rsidRPr="00233F2A" w:rsidRDefault="000C629F" w:rsidP="00911709">
      <w:pPr>
        <w:pStyle w:val="ListBullet"/>
        <w:spacing w:before="0" w:after="0" w:line="240" w:lineRule="auto"/>
        <w:jc w:val="both"/>
        <w:rPr>
          <w:rFonts w:ascii="Arial" w:hAnsi="Arial" w:cs="Arial"/>
          <w:b w:val="0"/>
          <w:sz w:val="22"/>
          <w:szCs w:val="22"/>
        </w:rPr>
      </w:pPr>
    </w:p>
    <w:p w14:paraId="6145791B" w14:textId="5B7F0DD0" w:rsidR="00C30FC1" w:rsidRPr="00A13AE7" w:rsidRDefault="00A13AE7" w:rsidP="00911709">
      <w:pPr>
        <w:pStyle w:val="ListBullet"/>
        <w:spacing w:before="0" w:after="0" w:line="240" w:lineRule="auto"/>
        <w:jc w:val="both"/>
        <w:rPr>
          <w:rFonts w:ascii="Arial" w:hAnsi="Arial" w:cs="Arial"/>
          <w:b w:val="0"/>
          <w:sz w:val="22"/>
          <w:szCs w:val="22"/>
        </w:rPr>
      </w:pPr>
      <w:r>
        <w:rPr>
          <w:rFonts w:ascii="Arial" w:hAnsi="Arial" w:cs="Arial"/>
          <w:b w:val="0"/>
          <w:sz w:val="22"/>
          <w:szCs w:val="22"/>
        </w:rPr>
        <w:t xml:space="preserve">As directed in the EE Rule, </w:t>
      </w:r>
      <w:r w:rsidR="00FB2AD5" w:rsidRPr="00A13AE7">
        <w:rPr>
          <w:rFonts w:ascii="Arial" w:hAnsi="Arial" w:cs="Arial"/>
          <w:b w:val="0"/>
          <w:sz w:val="22"/>
          <w:szCs w:val="22"/>
        </w:rPr>
        <w:t xml:space="preserve">EPE will limit administrative costs to </w:t>
      </w:r>
      <w:r>
        <w:rPr>
          <w:rFonts w:ascii="Arial" w:hAnsi="Arial" w:cs="Arial"/>
          <w:b w:val="0"/>
          <w:sz w:val="22"/>
          <w:szCs w:val="22"/>
        </w:rPr>
        <w:t xml:space="preserve">a maximum of </w:t>
      </w:r>
      <w:r w:rsidR="00FB2AD5" w:rsidRPr="00A13AE7">
        <w:rPr>
          <w:rFonts w:ascii="Arial" w:hAnsi="Arial" w:cs="Arial"/>
          <w:b w:val="0"/>
          <w:sz w:val="22"/>
          <w:szCs w:val="22"/>
        </w:rPr>
        <w:t>15% of the total program costs</w:t>
      </w:r>
      <w:r>
        <w:rPr>
          <w:rFonts w:ascii="Arial" w:hAnsi="Arial" w:cs="Arial"/>
          <w:b w:val="0"/>
          <w:sz w:val="22"/>
          <w:szCs w:val="22"/>
        </w:rPr>
        <w:t xml:space="preserve"> and R&amp;D costs to a maximum of 10% of the total program costs</w:t>
      </w:r>
      <w:r w:rsidR="00537FF8">
        <w:rPr>
          <w:rFonts w:ascii="Arial" w:hAnsi="Arial" w:cs="Arial"/>
          <w:b w:val="0"/>
          <w:sz w:val="22"/>
          <w:szCs w:val="22"/>
        </w:rPr>
        <w:t xml:space="preserve"> </w:t>
      </w:r>
      <w:r w:rsidR="00537FF8" w:rsidRPr="0093136F">
        <w:rPr>
          <w:rFonts w:ascii="Arial" w:hAnsi="Arial" w:cs="Arial"/>
          <w:b w:val="0"/>
          <w:sz w:val="22"/>
          <w:szCs w:val="22"/>
        </w:rPr>
        <w:t>for 201</w:t>
      </w:r>
      <w:r w:rsidR="0093136F" w:rsidRPr="0093136F">
        <w:rPr>
          <w:rFonts w:ascii="Arial" w:hAnsi="Arial" w:cs="Arial"/>
          <w:b w:val="0"/>
          <w:sz w:val="22"/>
          <w:szCs w:val="22"/>
        </w:rPr>
        <w:t>7</w:t>
      </w:r>
      <w:r w:rsidRPr="0093136F">
        <w:rPr>
          <w:rFonts w:ascii="Arial" w:hAnsi="Arial" w:cs="Arial"/>
          <w:b w:val="0"/>
          <w:sz w:val="22"/>
          <w:szCs w:val="22"/>
        </w:rPr>
        <w:t>; however, the cumulative cost of administration and R&amp;D will not exceed 20% of EPE’s total program costs</w:t>
      </w:r>
      <w:r>
        <w:rPr>
          <w:rFonts w:ascii="Arial" w:hAnsi="Arial" w:cs="Arial"/>
          <w:b w:val="0"/>
          <w:sz w:val="22"/>
          <w:szCs w:val="22"/>
        </w:rPr>
        <w:t>.</w:t>
      </w:r>
    </w:p>
    <w:p w14:paraId="4143DC12" w14:textId="77777777" w:rsidR="000C629F" w:rsidRPr="00233F2A" w:rsidRDefault="000C629F" w:rsidP="00911709">
      <w:pPr>
        <w:pStyle w:val="ListBullet"/>
        <w:spacing w:before="0" w:after="0" w:line="240" w:lineRule="auto"/>
        <w:jc w:val="both"/>
        <w:rPr>
          <w:rFonts w:ascii="Arial" w:hAnsi="Arial" w:cs="Arial"/>
          <w:b w:val="0"/>
          <w:sz w:val="22"/>
          <w:szCs w:val="22"/>
        </w:rPr>
      </w:pPr>
    </w:p>
    <w:p w14:paraId="635E8184" w14:textId="69D26A06" w:rsidR="00C30FC1" w:rsidRPr="00233F2A" w:rsidRDefault="00FB2AD5" w:rsidP="00911709">
      <w:pPr>
        <w:pStyle w:val="ListBullet"/>
        <w:spacing w:before="0" w:after="0" w:line="240" w:lineRule="auto"/>
        <w:jc w:val="both"/>
        <w:rPr>
          <w:rFonts w:ascii="Arial" w:hAnsi="Arial" w:cs="Arial"/>
          <w:b w:val="0"/>
          <w:sz w:val="22"/>
          <w:szCs w:val="22"/>
        </w:rPr>
      </w:pPr>
      <w:r w:rsidRPr="0068165E">
        <w:rPr>
          <w:rFonts w:ascii="Arial" w:hAnsi="Arial" w:cs="Arial"/>
          <w:b w:val="0"/>
          <w:sz w:val="22"/>
          <w:szCs w:val="22"/>
        </w:rPr>
        <w:t xml:space="preserve">EPE used </w:t>
      </w:r>
      <w:r w:rsidRPr="0093136F">
        <w:rPr>
          <w:rFonts w:ascii="Arial" w:hAnsi="Arial" w:cs="Arial"/>
          <w:b w:val="0"/>
          <w:sz w:val="22"/>
          <w:szCs w:val="22"/>
        </w:rPr>
        <w:t xml:space="preserve">a </w:t>
      </w:r>
      <w:r w:rsidR="00E21981" w:rsidRPr="0093136F">
        <w:rPr>
          <w:rFonts w:ascii="Arial" w:hAnsi="Arial" w:cs="Arial"/>
          <w:b w:val="0"/>
          <w:sz w:val="22"/>
          <w:szCs w:val="22"/>
        </w:rPr>
        <w:t>6.</w:t>
      </w:r>
      <w:r w:rsidR="0093136F" w:rsidRPr="0093136F">
        <w:rPr>
          <w:rFonts w:ascii="Arial" w:hAnsi="Arial" w:cs="Arial"/>
          <w:b w:val="0"/>
          <w:sz w:val="22"/>
          <w:szCs w:val="22"/>
        </w:rPr>
        <w:t>586</w:t>
      </w:r>
      <w:r w:rsidRPr="0093136F">
        <w:rPr>
          <w:rFonts w:ascii="Arial" w:hAnsi="Arial" w:cs="Arial"/>
          <w:b w:val="0"/>
          <w:sz w:val="22"/>
          <w:szCs w:val="22"/>
        </w:rPr>
        <w:t xml:space="preserve">% </w:t>
      </w:r>
      <w:r w:rsidR="00A13AE7" w:rsidRPr="0093136F">
        <w:rPr>
          <w:rFonts w:ascii="Arial" w:hAnsi="Arial" w:cs="Arial"/>
          <w:b w:val="0"/>
          <w:sz w:val="22"/>
          <w:szCs w:val="22"/>
        </w:rPr>
        <w:t>post-tax</w:t>
      </w:r>
      <w:r w:rsidR="00A13AE7" w:rsidRPr="0068165E">
        <w:rPr>
          <w:rFonts w:ascii="Arial" w:hAnsi="Arial" w:cs="Arial"/>
          <w:b w:val="0"/>
          <w:sz w:val="22"/>
          <w:szCs w:val="22"/>
        </w:rPr>
        <w:t xml:space="preserve"> </w:t>
      </w:r>
      <w:r w:rsidRPr="0068165E">
        <w:rPr>
          <w:rFonts w:ascii="Arial" w:hAnsi="Arial" w:cs="Arial"/>
          <w:b w:val="0"/>
          <w:sz w:val="22"/>
          <w:szCs w:val="22"/>
        </w:rPr>
        <w:t xml:space="preserve">discount </w:t>
      </w:r>
      <w:r w:rsidR="00B00F9C" w:rsidRPr="0068165E">
        <w:rPr>
          <w:rFonts w:ascii="Arial" w:hAnsi="Arial" w:cs="Arial"/>
          <w:b w:val="0"/>
          <w:sz w:val="22"/>
          <w:szCs w:val="22"/>
        </w:rPr>
        <w:t xml:space="preserve">rate </w:t>
      </w:r>
      <w:r w:rsidRPr="0068165E">
        <w:rPr>
          <w:rFonts w:ascii="Arial" w:hAnsi="Arial" w:cs="Arial"/>
          <w:b w:val="0"/>
          <w:sz w:val="22"/>
          <w:szCs w:val="22"/>
        </w:rPr>
        <w:t xml:space="preserve">to calculate the present value of the avoided cost associated with a project and assumed a </w:t>
      </w:r>
      <w:r w:rsidR="00A84A8F" w:rsidRPr="0068165E">
        <w:rPr>
          <w:rFonts w:ascii="Arial" w:hAnsi="Arial" w:cs="Arial"/>
          <w:b w:val="0"/>
          <w:sz w:val="22"/>
          <w:szCs w:val="22"/>
        </w:rPr>
        <w:t>2</w:t>
      </w:r>
      <w:r w:rsidRPr="0068165E">
        <w:rPr>
          <w:rFonts w:ascii="Arial" w:hAnsi="Arial" w:cs="Arial"/>
          <w:b w:val="0"/>
          <w:sz w:val="22"/>
          <w:szCs w:val="22"/>
        </w:rPr>
        <w:t xml:space="preserve">% </w:t>
      </w:r>
      <w:r w:rsidR="00B00F9C" w:rsidRPr="0068165E">
        <w:rPr>
          <w:rFonts w:ascii="Arial" w:hAnsi="Arial" w:cs="Arial"/>
          <w:b w:val="0"/>
          <w:sz w:val="22"/>
          <w:szCs w:val="22"/>
        </w:rPr>
        <w:t xml:space="preserve">escalation </w:t>
      </w:r>
      <w:r w:rsidRPr="0068165E">
        <w:rPr>
          <w:rFonts w:ascii="Arial" w:hAnsi="Arial" w:cs="Arial"/>
          <w:b w:val="0"/>
          <w:sz w:val="22"/>
          <w:szCs w:val="22"/>
        </w:rPr>
        <w:t>rate.</w:t>
      </w:r>
    </w:p>
    <w:p w14:paraId="3B9BA322" w14:textId="77777777" w:rsidR="000C629F" w:rsidRPr="00233F2A" w:rsidRDefault="000C629F" w:rsidP="00911709">
      <w:pPr>
        <w:pStyle w:val="ListBullet"/>
        <w:spacing w:before="0" w:after="0" w:line="240" w:lineRule="auto"/>
        <w:jc w:val="both"/>
        <w:rPr>
          <w:rFonts w:ascii="Arial" w:hAnsi="Arial" w:cs="Arial"/>
          <w:b w:val="0"/>
          <w:sz w:val="22"/>
          <w:szCs w:val="22"/>
        </w:rPr>
      </w:pPr>
    </w:p>
    <w:p w14:paraId="5CCE24B2" w14:textId="77777777" w:rsidR="00FB2AD5" w:rsidRPr="00233F2A" w:rsidRDefault="00FB2AD5" w:rsidP="00911709">
      <w:pPr>
        <w:pStyle w:val="ListBullet"/>
        <w:spacing w:before="0" w:after="0" w:line="240" w:lineRule="auto"/>
        <w:jc w:val="both"/>
        <w:rPr>
          <w:rFonts w:ascii="Arial" w:hAnsi="Arial" w:cs="Arial"/>
          <w:b w:val="0"/>
          <w:sz w:val="22"/>
          <w:szCs w:val="22"/>
        </w:rPr>
      </w:pPr>
      <w:r w:rsidRPr="00233F2A">
        <w:rPr>
          <w:rFonts w:ascii="Arial" w:hAnsi="Arial" w:cs="Arial"/>
          <w:b w:val="0"/>
          <w:sz w:val="22"/>
          <w:szCs w:val="22"/>
        </w:rPr>
        <w:t>For simplicity, it is assumed that an EESP that completes an energy efficiency project in a given year receives all the incentives associated with that project in th</w:t>
      </w:r>
      <w:r w:rsidR="00154522" w:rsidRPr="00233F2A">
        <w:rPr>
          <w:rFonts w:ascii="Arial" w:hAnsi="Arial" w:cs="Arial"/>
          <w:b w:val="0"/>
          <w:sz w:val="22"/>
          <w:szCs w:val="22"/>
        </w:rPr>
        <w:t>at</w:t>
      </w:r>
      <w:r w:rsidRPr="00233F2A">
        <w:rPr>
          <w:rFonts w:ascii="Arial" w:hAnsi="Arial" w:cs="Arial"/>
          <w:b w:val="0"/>
          <w:sz w:val="22"/>
          <w:szCs w:val="22"/>
        </w:rPr>
        <w:t xml:space="preserve"> year.</w:t>
      </w:r>
      <w:r w:rsidR="00DF0A3F">
        <w:rPr>
          <w:rFonts w:ascii="Arial" w:hAnsi="Arial" w:cs="Arial"/>
          <w:b w:val="0"/>
          <w:sz w:val="22"/>
          <w:szCs w:val="22"/>
        </w:rPr>
        <w:t xml:space="preserve"> Administration costs, however, may be committed in one year and expended in another.</w:t>
      </w:r>
    </w:p>
    <w:p w14:paraId="6B62963B" w14:textId="77777777" w:rsidR="000C629F" w:rsidRPr="00233F2A" w:rsidRDefault="000C629F" w:rsidP="00911709">
      <w:pPr>
        <w:pStyle w:val="ListBullet"/>
        <w:spacing w:before="0" w:after="0" w:line="240" w:lineRule="auto"/>
        <w:jc w:val="both"/>
        <w:rPr>
          <w:rFonts w:ascii="Arial" w:hAnsi="Arial" w:cs="Arial"/>
          <w:b w:val="0"/>
          <w:sz w:val="22"/>
          <w:szCs w:val="22"/>
        </w:rPr>
      </w:pPr>
    </w:p>
    <w:p w14:paraId="402A3FE8" w14:textId="483A6323" w:rsidR="00C30FC1" w:rsidRDefault="002B6E83" w:rsidP="00911709">
      <w:pPr>
        <w:pStyle w:val="BodyText"/>
        <w:spacing w:before="0" w:after="0" w:line="240" w:lineRule="auto"/>
        <w:rPr>
          <w:rFonts w:cs="Arial"/>
          <w:b w:val="0"/>
        </w:rPr>
      </w:pPr>
      <w:r w:rsidRPr="00D50397">
        <w:rPr>
          <w:rFonts w:cs="Arial"/>
          <w:b w:val="0"/>
        </w:rPr>
        <w:t xml:space="preserve">EPE will offer a portfolio of </w:t>
      </w:r>
      <w:r w:rsidR="00851BFD">
        <w:rPr>
          <w:rFonts w:cs="Arial"/>
          <w:b w:val="0"/>
        </w:rPr>
        <w:t xml:space="preserve">an </w:t>
      </w:r>
      <w:r w:rsidRPr="00D50397">
        <w:rPr>
          <w:rFonts w:cs="Arial"/>
          <w:b w:val="0"/>
        </w:rPr>
        <w:t>SOP</w:t>
      </w:r>
      <w:r w:rsidR="00670D9B">
        <w:rPr>
          <w:rFonts w:cs="Arial"/>
          <w:b w:val="0"/>
        </w:rPr>
        <w:t xml:space="preserve"> and </w:t>
      </w:r>
      <w:r w:rsidRPr="00D50397">
        <w:rPr>
          <w:rFonts w:cs="Arial"/>
          <w:b w:val="0"/>
        </w:rPr>
        <w:t>MTPs</w:t>
      </w:r>
      <w:r w:rsidR="00B17BCC">
        <w:rPr>
          <w:rFonts w:cs="Arial"/>
          <w:b w:val="0"/>
        </w:rPr>
        <w:t xml:space="preserve"> </w:t>
      </w:r>
      <w:r w:rsidRPr="00D50397">
        <w:rPr>
          <w:rFonts w:cs="Arial"/>
          <w:b w:val="0"/>
        </w:rPr>
        <w:t xml:space="preserve">to all </w:t>
      </w:r>
      <w:r w:rsidR="004F4293">
        <w:rPr>
          <w:rFonts w:cs="Arial"/>
          <w:b w:val="0"/>
        </w:rPr>
        <w:t xml:space="preserve">eligible </w:t>
      </w:r>
      <w:r w:rsidRPr="00D50397">
        <w:rPr>
          <w:rFonts w:cs="Arial"/>
          <w:b w:val="0"/>
        </w:rPr>
        <w:t>customer classes</w:t>
      </w:r>
      <w:r>
        <w:rPr>
          <w:rFonts w:cs="Arial"/>
          <w:b w:val="0"/>
        </w:rPr>
        <w:t>.</w:t>
      </w:r>
      <w:r w:rsidRPr="00843364">
        <w:rPr>
          <w:rFonts w:cs="Arial"/>
          <w:b w:val="0"/>
          <w:szCs w:val="22"/>
        </w:rPr>
        <w:t xml:space="preserve"> </w:t>
      </w:r>
      <w:r w:rsidR="00FB2AD5" w:rsidRPr="00843364">
        <w:rPr>
          <w:rFonts w:cs="Arial"/>
          <w:b w:val="0"/>
          <w:szCs w:val="22"/>
        </w:rPr>
        <w:t>It should be noted, however, that the actual distribution of the goal and budget must r</w:t>
      </w:r>
      <w:r w:rsidR="00FB2AD5" w:rsidRPr="00D50397">
        <w:rPr>
          <w:rFonts w:cs="Arial"/>
          <w:b w:val="0"/>
        </w:rPr>
        <w:t xml:space="preserve">emain flexible based upon the response of the marketplace, the potential interest </w:t>
      </w:r>
      <w:r w:rsidR="006F0201">
        <w:rPr>
          <w:rFonts w:cs="Arial"/>
          <w:b w:val="0"/>
        </w:rPr>
        <w:t xml:space="preserve">of </w:t>
      </w:r>
      <w:r w:rsidR="00FB2AD5" w:rsidRPr="00D50397">
        <w:rPr>
          <w:rFonts w:cs="Arial"/>
          <w:b w:val="0"/>
        </w:rPr>
        <w:t>customer class</w:t>
      </w:r>
      <w:r w:rsidR="006F0201">
        <w:rPr>
          <w:rFonts w:cs="Arial"/>
          <w:b w:val="0"/>
        </w:rPr>
        <w:t>es</w:t>
      </w:r>
      <w:r w:rsidR="00FB2AD5" w:rsidRPr="00D50397">
        <w:rPr>
          <w:rFonts w:cs="Arial"/>
          <w:b w:val="0"/>
        </w:rPr>
        <w:t xml:space="preserve"> toward</w:t>
      </w:r>
      <w:r>
        <w:rPr>
          <w:rFonts w:cs="Arial"/>
          <w:b w:val="0"/>
        </w:rPr>
        <w:t>s</w:t>
      </w:r>
      <w:r w:rsidR="00FB2AD5" w:rsidRPr="00D50397">
        <w:rPr>
          <w:rFonts w:cs="Arial"/>
          <w:b w:val="0"/>
        </w:rPr>
        <w:t xml:space="preserve"> specific program</w:t>
      </w:r>
      <w:r w:rsidR="006F0201">
        <w:rPr>
          <w:rFonts w:cs="Arial"/>
          <w:b w:val="0"/>
        </w:rPr>
        <w:t>s,</w:t>
      </w:r>
      <w:r w:rsidR="00FB2AD5" w:rsidRPr="00D50397">
        <w:rPr>
          <w:rFonts w:cs="Arial"/>
          <w:b w:val="0"/>
        </w:rPr>
        <w:t xml:space="preserve"> and the overriding objective of meeting the legislative </w:t>
      </w:r>
      <w:r w:rsidR="00162AA9">
        <w:rPr>
          <w:rFonts w:cs="Arial"/>
          <w:b w:val="0"/>
        </w:rPr>
        <w:t xml:space="preserve">savings </w:t>
      </w:r>
      <w:r w:rsidR="00FB2AD5" w:rsidRPr="00D50397">
        <w:rPr>
          <w:rFonts w:cs="Arial"/>
          <w:b w:val="0"/>
        </w:rPr>
        <w:t xml:space="preserve">goal. Should funds not be reserved and used as prescribed by program milestones, EPE </w:t>
      </w:r>
      <w:r w:rsidR="001115E5">
        <w:rPr>
          <w:rFonts w:cs="Arial"/>
          <w:b w:val="0"/>
        </w:rPr>
        <w:t xml:space="preserve">reserves </w:t>
      </w:r>
      <w:r>
        <w:rPr>
          <w:rFonts w:cs="Arial"/>
          <w:b w:val="0"/>
        </w:rPr>
        <w:t>the right to</w:t>
      </w:r>
      <w:r w:rsidRPr="00D50397">
        <w:rPr>
          <w:rFonts w:cs="Arial"/>
          <w:b w:val="0"/>
        </w:rPr>
        <w:t xml:space="preserve"> </w:t>
      </w:r>
      <w:r w:rsidR="00FB2AD5" w:rsidRPr="00D50397">
        <w:rPr>
          <w:rFonts w:cs="Arial"/>
          <w:b w:val="0"/>
        </w:rPr>
        <w:t xml:space="preserve">reallocate those unused funds to </w:t>
      </w:r>
      <w:r w:rsidR="00154522">
        <w:rPr>
          <w:rFonts w:cs="Arial"/>
          <w:b w:val="0"/>
        </w:rPr>
        <w:t xml:space="preserve">other programs in order to </w:t>
      </w:r>
      <w:r w:rsidR="00FB2AD5" w:rsidRPr="00D50397">
        <w:rPr>
          <w:rFonts w:cs="Arial"/>
          <w:b w:val="0"/>
        </w:rPr>
        <w:t xml:space="preserve">maximize </w:t>
      </w:r>
      <w:r w:rsidR="00FB2AD5" w:rsidRPr="00266F2D">
        <w:rPr>
          <w:rFonts w:cs="Arial"/>
          <w:b w:val="0"/>
        </w:rPr>
        <w:t>contribution</w:t>
      </w:r>
      <w:r w:rsidR="00107563" w:rsidRPr="00266F2D">
        <w:rPr>
          <w:rFonts w:cs="Arial"/>
          <w:b w:val="0"/>
        </w:rPr>
        <w:t>s</w:t>
      </w:r>
      <w:r w:rsidR="00FB2AD5" w:rsidRPr="00D50397">
        <w:rPr>
          <w:rFonts w:cs="Arial"/>
          <w:b w:val="0"/>
        </w:rPr>
        <w:t xml:space="preserve"> towards </w:t>
      </w:r>
      <w:r w:rsidR="00B97B4D" w:rsidRPr="00D50397">
        <w:rPr>
          <w:rFonts w:cs="Arial"/>
          <w:b w:val="0"/>
        </w:rPr>
        <w:t>EPE</w:t>
      </w:r>
      <w:r w:rsidR="00CD6042">
        <w:rPr>
          <w:rFonts w:cs="Arial"/>
          <w:b w:val="0"/>
        </w:rPr>
        <w:t>'</w:t>
      </w:r>
      <w:r w:rsidR="00B97B4D" w:rsidRPr="00D50397">
        <w:rPr>
          <w:rFonts w:cs="Arial"/>
          <w:b w:val="0"/>
        </w:rPr>
        <w:t xml:space="preserve">s </w:t>
      </w:r>
      <w:r w:rsidR="00FB2AD5" w:rsidRPr="00D50397">
        <w:rPr>
          <w:rFonts w:cs="Arial"/>
          <w:b w:val="0"/>
        </w:rPr>
        <w:t>energy efficiency goal.</w:t>
      </w:r>
    </w:p>
    <w:p w14:paraId="2FE28578" w14:textId="5C4B60B2" w:rsidR="007F350D" w:rsidRDefault="007F350D" w:rsidP="00911709">
      <w:pPr>
        <w:rPr>
          <w:rFonts w:ascii="Arial" w:hAnsi="Arial"/>
          <w:sz w:val="22"/>
        </w:rPr>
      </w:pPr>
      <w:bookmarkStart w:id="30" w:name="_Ref192400989"/>
    </w:p>
    <w:p w14:paraId="0767BD13" w14:textId="77777777" w:rsidR="005A2B37" w:rsidRDefault="005A2B37" w:rsidP="0093136F">
      <w:pPr>
        <w:tabs>
          <w:tab w:val="left" w:pos="5745"/>
        </w:tabs>
        <w:rPr>
          <w:spacing w:val="-4"/>
        </w:rPr>
      </w:pPr>
    </w:p>
    <w:p w14:paraId="31CD2BF0" w14:textId="77777777" w:rsidR="005A2B37" w:rsidRDefault="005A2B37" w:rsidP="0093136F">
      <w:pPr>
        <w:tabs>
          <w:tab w:val="left" w:pos="5745"/>
        </w:tabs>
        <w:rPr>
          <w:spacing w:val="-4"/>
        </w:rPr>
      </w:pPr>
    </w:p>
    <w:p w14:paraId="271B6C35" w14:textId="77777777" w:rsidR="005A2B37" w:rsidRDefault="005A2B37" w:rsidP="0093136F">
      <w:pPr>
        <w:tabs>
          <w:tab w:val="left" w:pos="5745"/>
        </w:tabs>
        <w:rPr>
          <w:spacing w:val="-4"/>
        </w:rPr>
      </w:pPr>
    </w:p>
    <w:p w14:paraId="6212F4CF" w14:textId="77777777" w:rsidR="005A2B37" w:rsidRDefault="005A2B37" w:rsidP="0093136F">
      <w:pPr>
        <w:tabs>
          <w:tab w:val="left" w:pos="5745"/>
        </w:tabs>
        <w:rPr>
          <w:spacing w:val="-4"/>
        </w:rPr>
      </w:pPr>
    </w:p>
    <w:p w14:paraId="0C4694F3" w14:textId="77777777" w:rsidR="005A2B37" w:rsidRDefault="005A2B37" w:rsidP="0093136F">
      <w:pPr>
        <w:tabs>
          <w:tab w:val="left" w:pos="5745"/>
        </w:tabs>
        <w:rPr>
          <w:spacing w:val="-4"/>
        </w:rPr>
      </w:pPr>
    </w:p>
    <w:p w14:paraId="0ACCE966" w14:textId="77777777" w:rsidR="005A2B37" w:rsidRDefault="005A2B37" w:rsidP="0093136F">
      <w:pPr>
        <w:tabs>
          <w:tab w:val="left" w:pos="5745"/>
        </w:tabs>
        <w:rPr>
          <w:spacing w:val="-4"/>
        </w:rPr>
      </w:pPr>
    </w:p>
    <w:p w14:paraId="7222AD97" w14:textId="77777777" w:rsidR="005A2B37" w:rsidRDefault="005A2B37" w:rsidP="0093136F">
      <w:pPr>
        <w:tabs>
          <w:tab w:val="left" w:pos="5745"/>
        </w:tabs>
        <w:rPr>
          <w:spacing w:val="-4"/>
        </w:rPr>
      </w:pPr>
    </w:p>
    <w:p w14:paraId="376A7B42" w14:textId="77777777" w:rsidR="005A2B37" w:rsidRDefault="005A2B37" w:rsidP="0093136F">
      <w:pPr>
        <w:tabs>
          <w:tab w:val="left" w:pos="5745"/>
        </w:tabs>
        <w:rPr>
          <w:spacing w:val="-4"/>
        </w:rPr>
      </w:pPr>
    </w:p>
    <w:p w14:paraId="0B076121" w14:textId="77777777" w:rsidR="005A2B37" w:rsidRDefault="005A2B37" w:rsidP="0093136F">
      <w:pPr>
        <w:tabs>
          <w:tab w:val="left" w:pos="5745"/>
        </w:tabs>
        <w:rPr>
          <w:spacing w:val="-4"/>
        </w:rPr>
      </w:pPr>
    </w:p>
    <w:p w14:paraId="3525F3C6" w14:textId="77777777" w:rsidR="005A2B37" w:rsidRDefault="005A2B37" w:rsidP="0093136F">
      <w:pPr>
        <w:tabs>
          <w:tab w:val="left" w:pos="5745"/>
        </w:tabs>
        <w:rPr>
          <w:spacing w:val="-4"/>
        </w:rPr>
      </w:pPr>
    </w:p>
    <w:p w14:paraId="5E0987A7" w14:textId="32A76720" w:rsidR="00E76846" w:rsidRDefault="0093136F" w:rsidP="0093136F">
      <w:pPr>
        <w:tabs>
          <w:tab w:val="left" w:pos="5745"/>
        </w:tabs>
        <w:rPr>
          <w:rFonts w:ascii="Arial" w:hAnsi="Arial"/>
          <w:spacing w:val="-4"/>
          <w:sz w:val="22"/>
        </w:rPr>
      </w:pPr>
      <w:r>
        <w:rPr>
          <w:spacing w:val="-4"/>
        </w:rPr>
        <w:tab/>
      </w:r>
    </w:p>
    <w:p w14:paraId="2736BBDD" w14:textId="77777777" w:rsidR="005A2B37" w:rsidRDefault="001904AE" w:rsidP="00D21711">
      <w:pPr>
        <w:pStyle w:val="Caption"/>
        <w:keepNext/>
        <w:keepLines/>
        <w:spacing w:before="0" w:after="240"/>
        <w:rPr>
          <w:spacing w:val="-4"/>
        </w:rPr>
      </w:pPr>
      <w:r w:rsidRPr="00EB576D">
        <w:rPr>
          <w:spacing w:val="-4"/>
        </w:rPr>
        <w:lastRenderedPageBreak/>
        <w:t xml:space="preserve">Table </w:t>
      </w:r>
      <w:bookmarkEnd w:id="30"/>
      <w:r w:rsidR="00D77C35" w:rsidRPr="00EB576D">
        <w:rPr>
          <w:spacing w:val="-4"/>
        </w:rPr>
        <w:t>6</w:t>
      </w:r>
      <w:r w:rsidRPr="00EB576D">
        <w:rPr>
          <w:spacing w:val="-4"/>
        </w:rPr>
        <w:t xml:space="preserve">: </w:t>
      </w:r>
      <w:r w:rsidR="00620995" w:rsidRPr="00EB576D">
        <w:rPr>
          <w:spacing w:val="-4"/>
        </w:rPr>
        <w:t>Proposed</w:t>
      </w:r>
      <w:r w:rsidRPr="00EB576D">
        <w:rPr>
          <w:spacing w:val="-4"/>
        </w:rPr>
        <w:t xml:space="preserve"> Annual Budget </w:t>
      </w:r>
      <w:r w:rsidR="001F15E2" w:rsidRPr="00EB576D">
        <w:rPr>
          <w:spacing w:val="-4"/>
        </w:rPr>
        <w:t xml:space="preserve">Broken </w:t>
      </w:r>
      <w:r w:rsidRPr="00EB576D">
        <w:rPr>
          <w:spacing w:val="-4"/>
        </w:rPr>
        <w:t>Out by Program for Each Customer Class</w:t>
      </w:r>
      <w:bookmarkStart w:id="31" w:name="_Toc444877431"/>
    </w:p>
    <w:p w14:paraId="3FC2139A" w14:textId="7F93F2B0" w:rsidR="009A0B99" w:rsidRPr="005A2B37" w:rsidRDefault="003B4FAD" w:rsidP="005A2B37">
      <w:pPr>
        <w:pStyle w:val="Caption"/>
        <w:keepNext/>
        <w:keepLines/>
        <w:spacing w:before="0" w:after="240"/>
        <w:jc w:val="center"/>
        <w:rPr>
          <w:spacing w:val="-4"/>
        </w:rPr>
      </w:pPr>
      <w:r w:rsidRPr="003B4FAD">
        <w:rPr>
          <w:noProof/>
        </w:rPr>
        <w:drawing>
          <wp:inline distT="0" distB="0" distL="0" distR="0" wp14:anchorId="1BDC745B" wp14:editId="03B627D7">
            <wp:extent cx="5820819" cy="823752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2305" cy="8239626"/>
                    </a:xfrm>
                    <a:prstGeom prst="rect">
                      <a:avLst/>
                    </a:prstGeom>
                    <a:noFill/>
                    <a:ln>
                      <a:noFill/>
                    </a:ln>
                  </pic:spPr>
                </pic:pic>
              </a:graphicData>
            </a:graphic>
          </wp:inline>
        </w:drawing>
      </w:r>
      <w:r w:rsidR="009A0B99">
        <w:rPr>
          <w:rFonts w:cs="Arial"/>
          <w:sz w:val="28"/>
          <w:szCs w:val="28"/>
        </w:rPr>
        <w:br w:type="page"/>
      </w:r>
    </w:p>
    <w:p w14:paraId="5A5124F7" w14:textId="523B15D9" w:rsidR="00FB2AD5" w:rsidRDefault="0004463B" w:rsidP="00911709">
      <w:pPr>
        <w:pStyle w:val="Heading5"/>
        <w:spacing w:before="0" w:after="0"/>
        <w:jc w:val="center"/>
        <w:rPr>
          <w:rFonts w:cs="Arial"/>
          <w:spacing w:val="0"/>
          <w:sz w:val="28"/>
          <w:szCs w:val="28"/>
        </w:rPr>
      </w:pPr>
      <w:bookmarkStart w:id="32" w:name="_Toc509500761"/>
      <w:r w:rsidRPr="000C629F">
        <w:rPr>
          <w:rFonts w:cs="Arial"/>
          <w:spacing w:val="0"/>
          <w:sz w:val="28"/>
          <w:szCs w:val="28"/>
        </w:rPr>
        <w:lastRenderedPageBreak/>
        <w:t>Energy Efficiency Report</w:t>
      </w:r>
      <w:bookmarkEnd w:id="31"/>
      <w:bookmarkEnd w:id="32"/>
    </w:p>
    <w:p w14:paraId="7603FD68" w14:textId="77777777" w:rsidR="000C629F" w:rsidRPr="00EF0598" w:rsidRDefault="000C629F" w:rsidP="00911709">
      <w:pPr>
        <w:rPr>
          <w:sz w:val="22"/>
          <w:szCs w:val="22"/>
        </w:rPr>
      </w:pPr>
    </w:p>
    <w:p w14:paraId="121D6B48" w14:textId="77777777" w:rsidR="00EF0598" w:rsidRPr="00EF0598" w:rsidRDefault="00EF0598" w:rsidP="00911709">
      <w:pPr>
        <w:rPr>
          <w:sz w:val="22"/>
          <w:szCs w:val="22"/>
        </w:rPr>
      </w:pPr>
    </w:p>
    <w:p w14:paraId="0DA95D3C" w14:textId="77777777" w:rsidR="00B47E25" w:rsidRPr="000C629F" w:rsidRDefault="00B47E25" w:rsidP="00911709">
      <w:pPr>
        <w:pStyle w:val="Heading1"/>
        <w:tabs>
          <w:tab w:val="clear" w:pos="360"/>
          <w:tab w:val="num" w:pos="540"/>
        </w:tabs>
        <w:spacing w:before="0" w:after="0"/>
        <w:rPr>
          <w:rFonts w:cs="Arial"/>
          <w:spacing w:val="-2"/>
          <w:szCs w:val="26"/>
        </w:rPr>
      </w:pPr>
      <w:bookmarkStart w:id="33" w:name="_Toc509500762"/>
      <w:r w:rsidRPr="000C629F">
        <w:rPr>
          <w:rFonts w:cs="Arial"/>
          <w:spacing w:val="-2"/>
        </w:rPr>
        <w:t xml:space="preserve">Historical </w:t>
      </w:r>
      <w:r w:rsidR="00E84909" w:rsidRPr="000C629F">
        <w:rPr>
          <w:rFonts w:cs="Arial"/>
          <w:spacing w:val="-2"/>
        </w:rPr>
        <w:t xml:space="preserve">Demand </w:t>
      </w:r>
      <w:r w:rsidR="00AF1793" w:rsidRPr="000C629F">
        <w:rPr>
          <w:rFonts w:cs="Arial"/>
          <w:spacing w:val="-2"/>
        </w:rPr>
        <w:t>Goals</w:t>
      </w:r>
      <w:r w:rsidR="00E84909" w:rsidRPr="000C629F">
        <w:rPr>
          <w:rFonts w:cs="Arial"/>
          <w:spacing w:val="-2"/>
        </w:rPr>
        <w:t xml:space="preserve"> and Energy Targets</w:t>
      </w:r>
      <w:r w:rsidR="00AF1793" w:rsidRPr="000C629F">
        <w:rPr>
          <w:rFonts w:cs="Arial"/>
          <w:spacing w:val="-2"/>
        </w:rPr>
        <w:t xml:space="preserve"> for</w:t>
      </w:r>
      <w:r w:rsidRPr="000C629F">
        <w:rPr>
          <w:rFonts w:cs="Arial"/>
          <w:spacing w:val="-2"/>
        </w:rPr>
        <w:t xml:space="preserve"> </w:t>
      </w:r>
      <w:r w:rsidR="00AF1793" w:rsidRPr="000C629F">
        <w:rPr>
          <w:rFonts w:cs="Arial"/>
          <w:spacing w:val="-2"/>
        </w:rPr>
        <w:t>Previous Five Years</w:t>
      </w:r>
      <w:bookmarkEnd w:id="33"/>
    </w:p>
    <w:p w14:paraId="356A837D" w14:textId="77777777" w:rsidR="000C629F" w:rsidRDefault="000C629F" w:rsidP="00911709">
      <w:pPr>
        <w:pStyle w:val="BodyText"/>
        <w:spacing w:before="0" w:after="0" w:line="240" w:lineRule="auto"/>
        <w:rPr>
          <w:rFonts w:cs="Arial"/>
          <w:b w:val="0"/>
        </w:rPr>
      </w:pPr>
    </w:p>
    <w:p w14:paraId="52433132" w14:textId="3953C720" w:rsidR="00C30FC1" w:rsidRDefault="00400AA4" w:rsidP="00911709">
      <w:pPr>
        <w:pStyle w:val="BodyText"/>
        <w:spacing w:before="0" w:after="0" w:line="240" w:lineRule="auto"/>
        <w:rPr>
          <w:rFonts w:cs="Arial"/>
          <w:b w:val="0"/>
        </w:rPr>
      </w:pPr>
      <w:r w:rsidRPr="000C629F">
        <w:rPr>
          <w:rFonts w:cs="Arial"/>
          <w:b w:val="0"/>
        </w:rPr>
        <w:t xml:space="preserve">Table </w:t>
      </w:r>
      <w:r w:rsidR="00D77C35">
        <w:rPr>
          <w:rFonts w:cs="Arial"/>
          <w:b w:val="0"/>
        </w:rPr>
        <w:t>7</w:t>
      </w:r>
      <w:r w:rsidR="00D77C35" w:rsidRPr="000C629F">
        <w:rPr>
          <w:rFonts w:cs="Arial"/>
        </w:rPr>
        <w:t xml:space="preserve"> </w:t>
      </w:r>
      <w:r w:rsidR="00B47E25" w:rsidRPr="000C629F">
        <w:rPr>
          <w:rFonts w:cs="Arial"/>
          <w:b w:val="0"/>
          <w:szCs w:val="26"/>
        </w:rPr>
        <w:t xml:space="preserve">documents </w:t>
      </w:r>
      <w:r w:rsidR="00D53580" w:rsidRPr="000C629F">
        <w:rPr>
          <w:rFonts w:cs="Arial"/>
          <w:b w:val="0"/>
          <w:szCs w:val="26"/>
        </w:rPr>
        <w:t>EPE</w:t>
      </w:r>
      <w:r w:rsidR="00CD6042">
        <w:rPr>
          <w:rFonts w:cs="Arial"/>
          <w:b w:val="0"/>
          <w:szCs w:val="26"/>
        </w:rPr>
        <w:t>'</w:t>
      </w:r>
      <w:r w:rsidR="00B47E25" w:rsidRPr="000C629F">
        <w:rPr>
          <w:rFonts w:cs="Arial"/>
          <w:b w:val="0"/>
          <w:szCs w:val="26"/>
        </w:rPr>
        <w:t xml:space="preserve">s </w:t>
      </w:r>
      <w:r w:rsidR="00C75C51" w:rsidRPr="000C629F">
        <w:rPr>
          <w:rFonts w:cs="Arial"/>
          <w:b w:val="0"/>
          <w:szCs w:val="26"/>
        </w:rPr>
        <w:t xml:space="preserve">actual </w:t>
      </w:r>
      <w:r w:rsidR="00B47E25" w:rsidRPr="000C629F">
        <w:rPr>
          <w:rFonts w:cs="Arial"/>
          <w:b w:val="0"/>
          <w:szCs w:val="26"/>
        </w:rPr>
        <w:t>demand</w:t>
      </w:r>
      <w:r w:rsidR="00154522">
        <w:rPr>
          <w:rFonts w:cs="Arial"/>
          <w:b w:val="0"/>
          <w:szCs w:val="26"/>
        </w:rPr>
        <w:t xml:space="preserve"> reduction</w:t>
      </w:r>
      <w:r w:rsidR="00B47E25" w:rsidRPr="000C629F">
        <w:rPr>
          <w:rFonts w:cs="Arial"/>
          <w:b w:val="0"/>
          <w:szCs w:val="26"/>
        </w:rPr>
        <w:t xml:space="preserve"> goals and energy targets for the previous five years (</w:t>
      </w:r>
      <w:r w:rsidR="00A34148" w:rsidRPr="000C629F">
        <w:rPr>
          <w:rFonts w:cs="Arial"/>
          <w:b w:val="0"/>
          <w:szCs w:val="26"/>
        </w:rPr>
        <w:t>20</w:t>
      </w:r>
      <w:r w:rsidR="00A34148">
        <w:rPr>
          <w:rFonts w:cs="Arial"/>
          <w:b w:val="0"/>
          <w:szCs w:val="26"/>
        </w:rPr>
        <w:t>1</w:t>
      </w:r>
      <w:r w:rsidR="00527596">
        <w:rPr>
          <w:rFonts w:cs="Arial"/>
          <w:b w:val="0"/>
          <w:szCs w:val="26"/>
        </w:rPr>
        <w:t>3</w:t>
      </w:r>
      <w:r w:rsidR="00B47E25" w:rsidRPr="000C629F">
        <w:rPr>
          <w:rFonts w:cs="Arial"/>
          <w:b w:val="0"/>
          <w:szCs w:val="26"/>
        </w:rPr>
        <w:t>-</w:t>
      </w:r>
      <w:r w:rsidR="00A34148">
        <w:rPr>
          <w:rFonts w:cs="Arial"/>
          <w:b w:val="0"/>
          <w:szCs w:val="26"/>
        </w:rPr>
        <w:t>201</w:t>
      </w:r>
      <w:r w:rsidR="00527596">
        <w:rPr>
          <w:rFonts w:cs="Arial"/>
          <w:b w:val="0"/>
          <w:szCs w:val="26"/>
        </w:rPr>
        <w:t>7</w:t>
      </w:r>
      <w:r w:rsidR="00B47E25" w:rsidRPr="000C629F">
        <w:rPr>
          <w:rFonts w:cs="Arial"/>
          <w:b w:val="0"/>
          <w:szCs w:val="26"/>
        </w:rPr>
        <w:t>)</w:t>
      </w:r>
      <w:r w:rsidR="00E06180" w:rsidRPr="000C629F">
        <w:rPr>
          <w:rFonts w:cs="Arial"/>
          <w:b w:val="0"/>
        </w:rPr>
        <w:t xml:space="preserve"> </w:t>
      </w:r>
      <w:r w:rsidR="00A22CF3" w:rsidRPr="000C629F">
        <w:rPr>
          <w:rFonts w:cs="Arial"/>
          <w:b w:val="0"/>
        </w:rPr>
        <w:t xml:space="preserve">calculated in </w:t>
      </w:r>
      <w:r w:rsidR="00E06180" w:rsidRPr="000C629F">
        <w:rPr>
          <w:rFonts w:cs="Arial"/>
          <w:b w:val="0"/>
        </w:rPr>
        <w:t>accordance with</w:t>
      </w:r>
      <w:r w:rsidR="00D22633">
        <w:rPr>
          <w:rFonts w:cs="Arial"/>
          <w:b w:val="0"/>
        </w:rPr>
        <w:t xml:space="preserve"> </w:t>
      </w:r>
      <w:r w:rsidR="00FF2ACE">
        <w:rPr>
          <w:rFonts w:cs="Arial"/>
          <w:b w:val="0"/>
        </w:rPr>
        <w:t>16 TAC</w:t>
      </w:r>
      <w:r w:rsidR="00E06180" w:rsidRPr="000C629F">
        <w:rPr>
          <w:rFonts w:cs="Arial"/>
          <w:b w:val="0"/>
        </w:rPr>
        <w:t xml:space="preserve"> </w:t>
      </w:r>
      <w:r w:rsidR="00FF2ACE" w:rsidRPr="00597FB6">
        <w:rPr>
          <w:rFonts w:cs="Arial"/>
          <w:b w:val="0"/>
        </w:rPr>
        <w:t>§</w:t>
      </w:r>
      <w:r w:rsidR="00A22CF3" w:rsidRPr="000C629F">
        <w:rPr>
          <w:rFonts w:cs="Arial"/>
          <w:b w:val="0"/>
          <w:szCs w:val="26"/>
        </w:rPr>
        <w:t>25.181</w:t>
      </w:r>
      <w:r w:rsidR="009D4658">
        <w:rPr>
          <w:rFonts w:cs="Arial"/>
          <w:b w:val="0"/>
          <w:szCs w:val="26"/>
        </w:rPr>
        <w:t>.</w:t>
      </w:r>
    </w:p>
    <w:p w14:paraId="76C31C62" w14:textId="77777777" w:rsidR="000C629F" w:rsidRPr="000C629F" w:rsidRDefault="000C629F" w:rsidP="00911709">
      <w:pPr>
        <w:pStyle w:val="BodyText"/>
        <w:spacing w:before="0" w:after="0" w:line="240" w:lineRule="auto"/>
        <w:rPr>
          <w:rFonts w:cs="Arial"/>
          <w:b w:val="0"/>
        </w:rPr>
      </w:pPr>
    </w:p>
    <w:p w14:paraId="3624D7E9" w14:textId="77777777" w:rsidR="00C30FC1" w:rsidRDefault="00B47E25" w:rsidP="00911709">
      <w:pPr>
        <w:pStyle w:val="Caption"/>
        <w:keepNext/>
        <w:keepLines/>
        <w:spacing w:before="0" w:after="0"/>
        <w:rPr>
          <w:rFonts w:cs="Arial"/>
        </w:rPr>
      </w:pPr>
      <w:bookmarkStart w:id="34" w:name="_Ref192401107"/>
      <w:r w:rsidRPr="000C629F">
        <w:rPr>
          <w:rFonts w:cs="Arial"/>
        </w:rPr>
        <w:t xml:space="preserve">Table </w:t>
      </w:r>
      <w:bookmarkEnd w:id="34"/>
      <w:r w:rsidR="00D77C35">
        <w:rPr>
          <w:rFonts w:cs="Arial"/>
        </w:rPr>
        <w:t>7</w:t>
      </w:r>
      <w:r w:rsidR="00F67303" w:rsidRPr="000C629F">
        <w:rPr>
          <w:rFonts w:cs="Arial"/>
        </w:rPr>
        <w:t xml:space="preserve">: Historical </w:t>
      </w:r>
      <w:r w:rsidR="00C75C51" w:rsidRPr="000C629F">
        <w:rPr>
          <w:rFonts w:cs="Arial"/>
        </w:rPr>
        <w:t xml:space="preserve">Demand </w:t>
      </w:r>
      <w:r w:rsidR="00E84909" w:rsidRPr="000C629F">
        <w:rPr>
          <w:rFonts w:cs="Arial"/>
        </w:rPr>
        <w:t xml:space="preserve">Savings </w:t>
      </w:r>
      <w:r w:rsidRPr="000C629F">
        <w:rPr>
          <w:rFonts w:cs="Arial"/>
        </w:rPr>
        <w:t>Goals</w:t>
      </w:r>
      <w:r w:rsidR="00CF5E5A" w:rsidRPr="000C629F">
        <w:rPr>
          <w:rFonts w:cs="Arial"/>
        </w:rPr>
        <w:t xml:space="preserve"> </w:t>
      </w:r>
      <w:r w:rsidR="00C75C51" w:rsidRPr="000C629F">
        <w:rPr>
          <w:rFonts w:cs="Arial"/>
        </w:rPr>
        <w:t xml:space="preserve">and Energy Targets </w:t>
      </w:r>
      <w:r w:rsidR="00CF5E5A" w:rsidRPr="000C629F">
        <w:rPr>
          <w:rFonts w:cs="Arial"/>
        </w:rPr>
        <w:t xml:space="preserve">(at </w:t>
      </w:r>
      <w:r w:rsidR="00E06180" w:rsidRPr="000C629F">
        <w:rPr>
          <w:rFonts w:cs="Arial"/>
        </w:rPr>
        <w:t>Meter</w:t>
      </w:r>
      <w:r w:rsidR="00CF5E5A" w:rsidRPr="000C629F">
        <w:rPr>
          <w:rFonts w:cs="Arial"/>
        </w:rPr>
        <w:t>)</w:t>
      </w:r>
    </w:p>
    <w:p w14:paraId="3E7BC64F" w14:textId="77777777" w:rsidR="000C629F" w:rsidRPr="000C629F" w:rsidRDefault="000C629F" w:rsidP="00911709">
      <w:pPr>
        <w:keepNext/>
        <w:keepLines/>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710"/>
        <w:gridCol w:w="1896"/>
        <w:gridCol w:w="2045"/>
        <w:gridCol w:w="2236"/>
      </w:tblGrid>
      <w:tr w:rsidR="001839D2" w:rsidRPr="000C629F" w14:paraId="497DD06A"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73952C" w14:textId="77777777" w:rsidR="001839D2" w:rsidRPr="003D2A67" w:rsidRDefault="001839D2" w:rsidP="00911709">
            <w:pPr>
              <w:jc w:val="center"/>
              <w:rPr>
                <w:rFonts w:ascii="Arial" w:hAnsi="Arial" w:cs="Arial"/>
              </w:rPr>
            </w:pPr>
            <w:r w:rsidRPr="003D2A67">
              <w:rPr>
                <w:rFonts w:ascii="Arial" w:hAnsi="Arial" w:cs="Arial"/>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62E95F8" w14:textId="77777777" w:rsidR="001839D2" w:rsidRPr="00E67D1C" w:rsidRDefault="001839D2" w:rsidP="00911709">
            <w:pPr>
              <w:jc w:val="center"/>
              <w:rPr>
                <w:rFonts w:ascii="Arial" w:hAnsi="Arial" w:cs="Arial"/>
              </w:rPr>
            </w:pPr>
            <w:r w:rsidRPr="00E67D1C">
              <w:rPr>
                <w:rFonts w:ascii="Arial" w:hAnsi="Arial" w:cs="Arial"/>
              </w:rPr>
              <w:t>Demand Goals (MW)</w:t>
            </w:r>
          </w:p>
        </w:tc>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3C34E5" w14:textId="77777777" w:rsidR="001839D2" w:rsidRPr="00C66C26" w:rsidRDefault="001839D2" w:rsidP="00911709">
            <w:pPr>
              <w:jc w:val="center"/>
              <w:rPr>
                <w:rFonts w:ascii="Arial" w:hAnsi="Arial" w:cs="Arial"/>
              </w:rPr>
            </w:pPr>
            <w:r w:rsidRPr="00C66C26">
              <w:rPr>
                <w:rFonts w:ascii="Arial" w:hAnsi="Arial" w:cs="Arial"/>
              </w:rPr>
              <w:t>Energy Targets (MWh)</w:t>
            </w:r>
          </w:p>
        </w:tc>
        <w:tc>
          <w:tcPr>
            <w:tcW w:w="2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C5FAF4" w14:textId="77777777" w:rsidR="001839D2" w:rsidRPr="008B73B8" w:rsidRDefault="001839D2" w:rsidP="00911709">
            <w:pPr>
              <w:jc w:val="center"/>
              <w:rPr>
                <w:rFonts w:ascii="Arial" w:hAnsi="Arial" w:cs="Arial"/>
              </w:rPr>
            </w:pPr>
            <w:r w:rsidRPr="008B73B8">
              <w:rPr>
                <w:rFonts w:ascii="Arial" w:hAnsi="Arial" w:cs="Arial"/>
              </w:rPr>
              <w:t>Actual Demand Reduction</w:t>
            </w:r>
          </w:p>
          <w:p w14:paraId="0A391A3E" w14:textId="77777777" w:rsidR="001839D2" w:rsidRPr="00297375" w:rsidRDefault="001839D2" w:rsidP="00911709">
            <w:pPr>
              <w:jc w:val="center"/>
              <w:rPr>
                <w:rFonts w:ascii="Arial" w:hAnsi="Arial" w:cs="Arial"/>
              </w:rPr>
            </w:pPr>
            <w:r w:rsidRPr="00297375">
              <w:rPr>
                <w:rFonts w:ascii="Arial" w:hAnsi="Arial" w:cs="Arial"/>
              </w:rPr>
              <w:t>(MW)</w:t>
            </w:r>
          </w:p>
        </w:tc>
        <w:tc>
          <w:tcPr>
            <w:tcW w:w="2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B06775" w14:textId="77777777" w:rsidR="001839D2" w:rsidRDefault="001839D2" w:rsidP="00911709">
            <w:pPr>
              <w:jc w:val="center"/>
              <w:rPr>
                <w:rFonts w:ascii="Arial" w:hAnsi="Arial" w:cs="Arial"/>
              </w:rPr>
            </w:pPr>
            <w:r w:rsidRPr="00297375">
              <w:rPr>
                <w:rFonts w:ascii="Arial" w:hAnsi="Arial" w:cs="Arial"/>
              </w:rPr>
              <w:t>Actual Energy Savings (MWh)</w:t>
            </w:r>
          </w:p>
        </w:tc>
      </w:tr>
      <w:tr w:rsidR="008F347C" w:rsidRPr="000C629F" w14:paraId="1DBEE3C0"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vAlign w:val="center"/>
          </w:tcPr>
          <w:p w14:paraId="7AB15556" w14:textId="5E0AE573" w:rsidR="008F347C" w:rsidRDefault="008F347C" w:rsidP="00911709">
            <w:pPr>
              <w:jc w:val="center"/>
              <w:rPr>
                <w:rFonts w:ascii="Arial" w:hAnsi="Arial" w:cs="Arial"/>
              </w:rPr>
            </w:pPr>
            <w:r>
              <w:rPr>
                <w:rFonts w:ascii="Arial" w:hAnsi="Arial" w:cs="Arial"/>
              </w:rPr>
              <w:t>201</w:t>
            </w:r>
            <w:r w:rsidR="005376A4">
              <w:rPr>
                <w:rFonts w:ascii="Arial" w:hAnsi="Arial" w:cs="Arial"/>
              </w:rPr>
              <w:t>7</w:t>
            </w:r>
            <w:r w:rsidR="0068165E" w:rsidRPr="0068165E">
              <w:rPr>
                <w:rStyle w:val="FootnoteReference"/>
                <w:rFonts w:ascii="Arial" w:hAnsi="Arial" w:cs="Arial"/>
                <w:b w:val="0"/>
              </w:rPr>
              <w:footnoteReference w:id="6"/>
            </w:r>
          </w:p>
        </w:tc>
        <w:tc>
          <w:tcPr>
            <w:tcW w:w="1710" w:type="dxa"/>
            <w:tcBorders>
              <w:top w:val="single" w:sz="4" w:space="0" w:color="auto"/>
              <w:left w:val="single" w:sz="4" w:space="0" w:color="auto"/>
              <w:bottom w:val="single" w:sz="4" w:space="0" w:color="auto"/>
              <w:right w:val="single" w:sz="4" w:space="0" w:color="auto"/>
            </w:tcBorders>
            <w:vAlign w:val="center"/>
          </w:tcPr>
          <w:p w14:paraId="0023B47D" w14:textId="77777777" w:rsidR="008F347C" w:rsidRDefault="008F347C" w:rsidP="00911709">
            <w:pPr>
              <w:jc w:val="center"/>
              <w:rPr>
                <w:rFonts w:ascii="Arial" w:hAnsi="Arial" w:cs="Arial"/>
                <w:b w:val="0"/>
              </w:rPr>
            </w:pPr>
            <w:r>
              <w:rPr>
                <w:rFonts w:ascii="Arial" w:hAnsi="Arial" w:cs="Arial"/>
                <w:b w:val="0"/>
              </w:rPr>
              <w:t>11.16</w:t>
            </w:r>
          </w:p>
        </w:tc>
        <w:tc>
          <w:tcPr>
            <w:tcW w:w="1896" w:type="dxa"/>
            <w:tcBorders>
              <w:top w:val="single" w:sz="4" w:space="0" w:color="auto"/>
              <w:left w:val="single" w:sz="4" w:space="0" w:color="auto"/>
              <w:bottom w:val="single" w:sz="4" w:space="0" w:color="auto"/>
              <w:right w:val="single" w:sz="4" w:space="0" w:color="auto"/>
            </w:tcBorders>
            <w:vAlign w:val="center"/>
          </w:tcPr>
          <w:p w14:paraId="74CFD6C7" w14:textId="77777777" w:rsidR="008F347C" w:rsidRDefault="008F347C" w:rsidP="00911709">
            <w:pPr>
              <w:jc w:val="center"/>
              <w:rPr>
                <w:rFonts w:ascii="Arial" w:hAnsi="Arial" w:cs="Arial"/>
                <w:b w:val="0"/>
              </w:rPr>
            </w:pPr>
            <w:r>
              <w:rPr>
                <w:rFonts w:ascii="Arial" w:hAnsi="Arial" w:cs="Arial"/>
                <w:b w:val="0"/>
              </w:rPr>
              <w:t>19,552</w:t>
            </w:r>
          </w:p>
        </w:tc>
        <w:tc>
          <w:tcPr>
            <w:tcW w:w="2045" w:type="dxa"/>
            <w:tcBorders>
              <w:top w:val="single" w:sz="4" w:space="0" w:color="auto"/>
              <w:left w:val="single" w:sz="4" w:space="0" w:color="auto"/>
              <w:bottom w:val="single" w:sz="4" w:space="0" w:color="auto"/>
              <w:right w:val="single" w:sz="4" w:space="0" w:color="auto"/>
            </w:tcBorders>
            <w:vAlign w:val="center"/>
          </w:tcPr>
          <w:p w14:paraId="646F9969" w14:textId="273EA944" w:rsidR="008F347C" w:rsidRPr="008F347C" w:rsidRDefault="002D5242" w:rsidP="00DE6F08">
            <w:pPr>
              <w:jc w:val="center"/>
              <w:rPr>
                <w:rFonts w:ascii="Arial" w:hAnsi="Arial" w:cs="Arial"/>
                <w:b w:val="0"/>
                <w:color w:val="000000"/>
              </w:rPr>
            </w:pPr>
            <w:r>
              <w:rPr>
                <w:rFonts w:ascii="Arial" w:hAnsi="Arial" w:cs="Arial"/>
                <w:b w:val="0"/>
                <w:color w:val="000000"/>
              </w:rPr>
              <w:t>15.119</w:t>
            </w:r>
          </w:p>
        </w:tc>
        <w:tc>
          <w:tcPr>
            <w:tcW w:w="2236" w:type="dxa"/>
            <w:tcBorders>
              <w:top w:val="single" w:sz="4" w:space="0" w:color="auto"/>
              <w:left w:val="single" w:sz="4" w:space="0" w:color="auto"/>
              <w:bottom w:val="single" w:sz="4" w:space="0" w:color="auto"/>
              <w:right w:val="single" w:sz="4" w:space="0" w:color="auto"/>
            </w:tcBorders>
            <w:vAlign w:val="center"/>
          </w:tcPr>
          <w:p w14:paraId="285D48CF" w14:textId="05089ACC" w:rsidR="008F347C" w:rsidRPr="008F347C" w:rsidRDefault="002D5242" w:rsidP="00B26AA7">
            <w:pPr>
              <w:jc w:val="center"/>
              <w:rPr>
                <w:rFonts w:ascii="Arial" w:hAnsi="Arial" w:cs="Arial"/>
                <w:b w:val="0"/>
                <w:color w:val="000000"/>
              </w:rPr>
            </w:pPr>
            <w:r>
              <w:rPr>
                <w:rFonts w:ascii="Arial" w:hAnsi="Arial" w:cs="Arial"/>
                <w:b w:val="0"/>
                <w:color w:val="000000"/>
              </w:rPr>
              <w:t>23,331</w:t>
            </w:r>
          </w:p>
        </w:tc>
      </w:tr>
      <w:tr w:rsidR="00820CCD" w:rsidRPr="000C629F" w14:paraId="76374F78"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vAlign w:val="center"/>
          </w:tcPr>
          <w:p w14:paraId="3F33F938" w14:textId="7206D59B" w:rsidR="00820CCD" w:rsidRDefault="00820CCD" w:rsidP="00911709">
            <w:pPr>
              <w:jc w:val="center"/>
              <w:rPr>
                <w:rFonts w:ascii="Arial" w:hAnsi="Arial" w:cs="Arial"/>
              </w:rPr>
            </w:pPr>
            <w:r>
              <w:rPr>
                <w:rFonts w:ascii="Arial" w:hAnsi="Arial" w:cs="Arial"/>
              </w:rPr>
              <w:t>201</w:t>
            </w:r>
            <w:r w:rsidR="005376A4">
              <w:rPr>
                <w:rFonts w:ascii="Arial" w:hAnsi="Arial" w:cs="Arial"/>
              </w:rPr>
              <w:t>6</w:t>
            </w:r>
            <w:r w:rsidRPr="0068165E">
              <w:rPr>
                <w:rStyle w:val="FootnoteReference"/>
                <w:rFonts w:ascii="Arial" w:hAnsi="Arial" w:cs="Arial"/>
                <w:b w:val="0"/>
              </w:rPr>
              <w:footnoteReference w:id="7"/>
            </w:r>
          </w:p>
        </w:tc>
        <w:tc>
          <w:tcPr>
            <w:tcW w:w="1710" w:type="dxa"/>
            <w:tcBorders>
              <w:top w:val="single" w:sz="4" w:space="0" w:color="auto"/>
              <w:left w:val="single" w:sz="4" w:space="0" w:color="auto"/>
              <w:bottom w:val="single" w:sz="4" w:space="0" w:color="auto"/>
              <w:right w:val="single" w:sz="4" w:space="0" w:color="auto"/>
            </w:tcBorders>
            <w:vAlign w:val="center"/>
          </w:tcPr>
          <w:p w14:paraId="47ECA339" w14:textId="77777777" w:rsidR="00820CCD" w:rsidRDefault="00820CCD" w:rsidP="00911709">
            <w:pPr>
              <w:jc w:val="center"/>
              <w:rPr>
                <w:rFonts w:ascii="Arial" w:hAnsi="Arial" w:cs="Arial"/>
                <w:b w:val="0"/>
              </w:rPr>
            </w:pPr>
            <w:r>
              <w:rPr>
                <w:rFonts w:ascii="Arial" w:hAnsi="Arial" w:cs="Arial"/>
                <w:b w:val="0"/>
              </w:rPr>
              <w:t>11.16</w:t>
            </w:r>
          </w:p>
        </w:tc>
        <w:tc>
          <w:tcPr>
            <w:tcW w:w="1896" w:type="dxa"/>
            <w:tcBorders>
              <w:top w:val="single" w:sz="4" w:space="0" w:color="auto"/>
              <w:left w:val="single" w:sz="4" w:space="0" w:color="auto"/>
              <w:bottom w:val="single" w:sz="4" w:space="0" w:color="auto"/>
              <w:right w:val="single" w:sz="4" w:space="0" w:color="auto"/>
            </w:tcBorders>
            <w:vAlign w:val="center"/>
          </w:tcPr>
          <w:p w14:paraId="5C3E9F4B" w14:textId="77777777" w:rsidR="00820CCD" w:rsidRDefault="00820CCD" w:rsidP="00911709">
            <w:pPr>
              <w:jc w:val="center"/>
              <w:rPr>
                <w:rFonts w:ascii="Arial" w:hAnsi="Arial" w:cs="Arial"/>
                <w:b w:val="0"/>
              </w:rPr>
            </w:pPr>
            <w:r>
              <w:rPr>
                <w:rFonts w:ascii="Arial" w:hAnsi="Arial" w:cs="Arial"/>
                <w:b w:val="0"/>
              </w:rPr>
              <w:t>19,552</w:t>
            </w:r>
          </w:p>
        </w:tc>
        <w:tc>
          <w:tcPr>
            <w:tcW w:w="2045" w:type="dxa"/>
            <w:tcBorders>
              <w:top w:val="single" w:sz="4" w:space="0" w:color="auto"/>
              <w:left w:val="single" w:sz="4" w:space="0" w:color="auto"/>
              <w:bottom w:val="single" w:sz="4" w:space="0" w:color="auto"/>
              <w:right w:val="single" w:sz="4" w:space="0" w:color="auto"/>
            </w:tcBorders>
            <w:vAlign w:val="center"/>
          </w:tcPr>
          <w:p w14:paraId="6971D510" w14:textId="0B3D8BEE" w:rsidR="00820CCD" w:rsidRDefault="005376A4" w:rsidP="00911709">
            <w:pPr>
              <w:jc w:val="center"/>
              <w:rPr>
                <w:rFonts w:ascii="Arial" w:hAnsi="Arial" w:cs="Arial"/>
                <w:b w:val="0"/>
              </w:rPr>
            </w:pPr>
            <w:r>
              <w:rPr>
                <w:rFonts w:ascii="Arial" w:hAnsi="Arial" w:cs="Arial"/>
                <w:b w:val="0"/>
                <w:color w:val="000000"/>
              </w:rPr>
              <w:t>12.790</w:t>
            </w:r>
          </w:p>
        </w:tc>
        <w:tc>
          <w:tcPr>
            <w:tcW w:w="2236" w:type="dxa"/>
            <w:tcBorders>
              <w:top w:val="single" w:sz="4" w:space="0" w:color="auto"/>
              <w:left w:val="single" w:sz="4" w:space="0" w:color="auto"/>
              <w:bottom w:val="single" w:sz="4" w:space="0" w:color="auto"/>
              <w:right w:val="single" w:sz="4" w:space="0" w:color="auto"/>
            </w:tcBorders>
            <w:vAlign w:val="center"/>
          </w:tcPr>
          <w:p w14:paraId="4F07B854" w14:textId="532DDD3C" w:rsidR="00820CCD" w:rsidRDefault="005376A4" w:rsidP="00911709">
            <w:pPr>
              <w:jc w:val="center"/>
              <w:rPr>
                <w:rFonts w:ascii="Arial" w:hAnsi="Arial" w:cs="Arial"/>
                <w:b w:val="0"/>
              </w:rPr>
            </w:pPr>
            <w:r>
              <w:rPr>
                <w:rFonts w:ascii="Arial" w:hAnsi="Arial" w:cs="Arial"/>
                <w:b w:val="0"/>
                <w:color w:val="000000"/>
              </w:rPr>
              <w:t>22,912</w:t>
            </w:r>
          </w:p>
        </w:tc>
      </w:tr>
      <w:tr w:rsidR="00820CCD" w:rsidRPr="000C629F" w14:paraId="70A10F0B"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vAlign w:val="center"/>
          </w:tcPr>
          <w:p w14:paraId="42F0B072" w14:textId="218D3458" w:rsidR="00820CCD" w:rsidRPr="000C629F" w:rsidRDefault="00820CCD" w:rsidP="00911709">
            <w:pPr>
              <w:jc w:val="center"/>
              <w:rPr>
                <w:rFonts w:ascii="Arial" w:hAnsi="Arial" w:cs="Arial"/>
              </w:rPr>
            </w:pPr>
            <w:r>
              <w:rPr>
                <w:rFonts w:ascii="Arial" w:hAnsi="Arial" w:cs="Arial"/>
              </w:rPr>
              <w:t>201</w:t>
            </w:r>
            <w:r w:rsidR="005376A4">
              <w:rPr>
                <w:rFonts w:ascii="Arial" w:hAnsi="Arial" w:cs="Arial"/>
              </w:rPr>
              <w:t>5</w:t>
            </w:r>
            <w:r w:rsidRPr="000C629F">
              <w:rPr>
                <w:rStyle w:val="FootnoteReference"/>
                <w:rFonts w:ascii="Arial" w:hAnsi="Arial" w:cs="Arial"/>
                <w:b w:val="0"/>
                <w:sz w:val="22"/>
                <w:szCs w:val="22"/>
              </w:rPr>
              <w:footnoteReference w:id="8"/>
            </w:r>
          </w:p>
        </w:tc>
        <w:tc>
          <w:tcPr>
            <w:tcW w:w="1710" w:type="dxa"/>
            <w:tcBorders>
              <w:top w:val="single" w:sz="4" w:space="0" w:color="auto"/>
              <w:left w:val="single" w:sz="4" w:space="0" w:color="auto"/>
              <w:bottom w:val="single" w:sz="4" w:space="0" w:color="auto"/>
              <w:right w:val="single" w:sz="4" w:space="0" w:color="auto"/>
            </w:tcBorders>
            <w:vAlign w:val="center"/>
          </w:tcPr>
          <w:p w14:paraId="26ADD703" w14:textId="77777777" w:rsidR="00820CCD" w:rsidRPr="000C629F" w:rsidRDefault="00820CCD" w:rsidP="00911709">
            <w:pPr>
              <w:jc w:val="center"/>
              <w:rPr>
                <w:rFonts w:ascii="Arial" w:hAnsi="Arial" w:cs="Arial"/>
                <w:b w:val="0"/>
              </w:rPr>
            </w:pPr>
            <w:r>
              <w:rPr>
                <w:rFonts w:ascii="Arial" w:hAnsi="Arial" w:cs="Arial"/>
                <w:b w:val="0"/>
              </w:rPr>
              <w:t>11.16</w:t>
            </w:r>
          </w:p>
        </w:tc>
        <w:tc>
          <w:tcPr>
            <w:tcW w:w="1896" w:type="dxa"/>
            <w:tcBorders>
              <w:top w:val="single" w:sz="4" w:space="0" w:color="auto"/>
              <w:left w:val="single" w:sz="4" w:space="0" w:color="auto"/>
              <w:bottom w:val="single" w:sz="4" w:space="0" w:color="auto"/>
              <w:right w:val="single" w:sz="4" w:space="0" w:color="auto"/>
            </w:tcBorders>
            <w:vAlign w:val="center"/>
          </w:tcPr>
          <w:p w14:paraId="761E6082" w14:textId="77777777" w:rsidR="00820CCD" w:rsidRPr="000C629F" w:rsidRDefault="00820CCD" w:rsidP="00911709">
            <w:pPr>
              <w:jc w:val="center"/>
              <w:rPr>
                <w:rFonts w:ascii="Arial" w:hAnsi="Arial" w:cs="Arial"/>
                <w:b w:val="0"/>
              </w:rPr>
            </w:pPr>
            <w:r>
              <w:rPr>
                <w:rFonts w:ascii="Arial" w:hAnsi="Arial" w:cs="Arial"/>
                <w:b w:val="0"/>
              </w:rPr>
              <w:t>19,552</w:t>
            </w:r>
          </w:p>
        </w:tc>
        <w:tc>
          <w:tcPr>
            <w:tcW w:w="2045" w:type="dxa"/>
            <w:tcBorders>
              <w:top w:val="single" w:sz="4" w:space="0" w:color="auto"/>
              <w:left w:val="single" w:sz="4" w:space="0" w:color="auto"/>
              <w:bottom w:val="single" w:sz="4" w:space="0" w:color="auto"/>
              <w:right w:val="single" w:sz="4" w:space="0" w:color="auto"/>
            </w:tcBorders>
            <w:vAlign w:val="center"/>
          </w:tcPr>
          <w:p w14:paraId="066953F1" w14:textId="411DDCE0" w:rsidR="00820CCD" w:rsidRPr="00BC0C59" w:rsidRDefault="00BC0C59" w:rsidP="00911709">
            <w:pPr>
              <w:jc w:val="center"/>
              <w:rPr>
                <w:rFonts w:ascii="Arial" w:hAnsi="Arial" w:cs="Arial"/>
                <w:b w:val="0"/>
              </w:rPr>
            </w:pPr>
            <w:r>
              <w:rPr>
                <w:rFonts w:ascii="Arial" w:hAnsi="Arial" w:cs="Arial"/>
                <w:b w:val="0"/>
              </w:rPr>
              <w:t>12.305</w:t>
            </w:r>
          </w:p>
        </w:tc>
        <w:tc>
          <w:tcPr>
            <w:tcW w:w="2236" w:type="dxa"/>
            <w:tcBorders>
              <w:top w:val="single" w:sz="4" w:space="0" w:color="auto"/>
              <w:left w:val="single" w:sz="4" w:space="0" w:color="auto"/>
              <w:bottom w:val="single" w:sz="4" w:space="0" w:color="auto"/>
              <w:right w:val="single" w:sz="4" w:space="0" w:color="auto"/>
            </w:tcBorders>
            <w:vAlign w:val="center"/>
          </w:tcPr>
          <w:p w14:paraId="11C5E9A5" w14:textId="31AF4D1A" w:rsidR="00820CCD" w:rsidRPr="00BC0C59" w:rsidRDefault="00BC0C59" w:rsidP="00911709">
            <w:pPr>
              <w:jc w:val="center"/>
              <w:rPr>
                <w:rFonts w:ascii="Arial" w:hAnsi="Arial" w:cs="Arial"/>
                <w:b w:val="0"/>
              </w:rPr>
            </w:pPr>
            <w:r>
              <w:rPr>
                <w:rFonts w:ascii="Arial" w:hAnsi="Arial" w:cs="Arial"/>
                <w:b w:val="0"/>
              </w:rPr>
              <w:t>22,283</w:t>
            </w:r>
          </w:p>
        </w:tc>
      </w:tr>
      <w:tr w:rsidR="00820CCD" w:rsidRPr="000C629F" w14:paraId="47632551"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vAlign w:val="center"/>
          </w:tcPr>
          <w:p w14:paraId="6DCB0A5C" w14:textId="2D2D9C1D" w:rsidR="00820CCD" w:rsidRPr="000C629F" w:rsidRDefault="00820CCD" w:rsidP="00911709">
            <w:pPr>
              <w:jc w:val="center"/>
              <w:rPr>
                <w:rFonts w:ascii="Arial" w:hAnsi="Arial" w:cs="Arial"/>
              </w:rPr>
            </w:pPr>
            <w:r>
              <w:rPr>
                <w:rFonts w:ascii="Arial" w:hAnsi="Arial" w:cs="Arial"/>
              </w:rPr>
              <w:t>201</w:t>
            </w:r>
            <w:r w:rsidR="005376A4">
              <w:rPr>
                <w:rFonts w:ascii="Arial" w:hAnsi="Arial" w:cs="Arial"/>
              </w:rPr>
              <w:t>4</w:t>
            </w:r>
            <w:r w:rsidRPr="000C629F">
              <w:rPr>
                <w:rStyle w:val="FootnoteReference"/>
                <w:rFonts w:ascii="Arial" w:hAnsi="Arial" w:cs="Arial"/>
                <w:b w:val="0"/>
                <w:sz w:val="22"/>
                <w:szCs w:val="22"/>
              </w:rPr>
              <w:footnoteReference w:id="9"/>
            </w:r>
          </w:p>
        </w:tc>
        <w:tc>
          <w:tcPr>
            <w:tcW w:w="1710" w:type="dxa"/>
            <w:tcBorders>
              <w:top w:val="single" w:sz="4" w:space="0" w:color="auto"/>
              <w:left w:val="single" w:sz="4" w:space="0" w:color="auto"/>
              <w:bottom w:val="single" w:sz="4" w:space="0" w:color="auto"/>
              <w:right w:val="single" w:sz="4" w:space="0" w:color="auto"/>
            </w:tcBorders>
            <w:vAlign w:val="center"/>
          </w:tcPr>
          <w:p w14:paraId="215964E2" w14:textId="77777777" w:rsidR="00820CCD" w:rsidRPr="000C629F" w:rsidRDefault="00820CCD" w:rsidP="00911709">
            <w:pPr>
              <w:jc w:val="center"/>
              <w:rPr>
                <w:rFonts w:ascii="Arial" w:hAnsi="Arial" w:cs="Arial"/>
                <w:b w:val="0"/>
              </w:rPr>
            </w:pPr>
            <w:r>
              <w:rPr>
                <w:rFonts w:ascii="Arial" w:hAnsi="Arial" w:cs="Arial"/>
                <w:b w:val="0"/>
              </w:rPr>
              <w:t>11.16</w:t>
            </w:r>
          </w:p>
        </w:tc>
        <w:tc>
          <w:tcPr>
            <w:tcW w:w="1896" w:type="dxa"/>
            <w:tcBorders>
              <w:top w:val="single" w:sz="4" w:space="0" w:color="auto"/>
              <w:left w:val="single" w:sz="4" w:space="0" w:color="auto"/>
              <w:bottom w:val="single" w:sz="4" w:space="0" w:color="auto"/>
              <w:right w:val="single" w:sz="4" w:space="0" w:color="auto"/>
            </w:tcBorders>
            <w:vAlign w:val="center"/>
          </w:tcPr>
          <w:p w14:paraId="7D7FF682" w14:textId="77777777" w:rsidR="00820CCD" w:rsidRPr="000C629F" w:rsidRDefault="00820CCD" w:rsidP="00911709">
            <w:pPr>
              <w:jc w:val="center"/>
              <w:rPr>
                <w:rFonts w:ascii="Arial" w:hAnsi="Arial" w:cs="Arial"/>
                <w:b w:val="0"/>
              </w:rPr>
            </w:pPr>
            <w:r>
              <w:rPr>
                <w:rFonts w:ascii="Arial" w:hAnsi="Arial" w:cs="Arial"/>
                <w:b w:val="0"/>
              </w:rPr>
              <w:t>19,552</w:t>
            </w:r>
          </w:p>
        </w:tc>
        <w:tc>
          <w:tcPr>
            <w:tcW w:w="2045" w:type="dxa"/>
            <w:tcBorders>
              <w:top w:val="single" w:sz="4" w:space="0" w:color="auto"/>
              <w:left w:val="single" w:sz="4" w:space="0" w:color="auto"/>
              <w:bottom w:val="single" w:sz="4" w:space="0" w:color="auto"/>
              <w:right w:val="single" w:sz="4" w:space="0" w:color="auto"/>
            </w:tcBorders>
            <w:vAlign w:val="center"/>
          </w:tcPr>
          <w:p w14:paraId="3120D336" w14:textId="49CACAD1" w:rsidR="00820CCD" w:rsidRPr="00BC0C59" w:rsidRDefault="00BC0C59" w:rsidP="00911709">
            <w:pPr>
              <w:jc w:val="center"/>
              <w:rPr>
                <w:rFonts w:ascii="Arial" w:hAnsi="Arial" w:cs="Arial"/>
                <w:b w:val="0"/>
              </w:rPr>
            </w:pPr>
            <w:r>
              <w:rPr>
                <w:rFonts w:ascii="Arial" w:hAnsi="Arial" w:cs="Arial"/>
                <w:b w:val="0"/>
              </w:rPr>
              <w:t>13.389</w:t>
            </w:r>
          </w:p>
        </w:tc>
        <w:tc>
          <w:tcPr>
            <w:tcW w:w="2236" w:type="dxa"/>
            <w:tcBorders>
              <w:top w:val="single" w:sz="4" w:space="0" w:color="auto"/>
              <w:left w:val="single" w:sz="4" w:space="0" w:color="auto"/>
              <w:bottom w:val="single" w:sz="4" w:space="0" w:color="auto"/>
              <w:right w:val="single" w:sz="4" w:space="0" w:color="auto"/>
            </w:tcBorders>
            <w:vAlign w:val="center"/>
          </w:tcPr>
          <w:p w14:paraId="53538D5E" w14:textId="03D39C4E" w:rsidR="00820CCD" w:rsidRPr="00BC0C59" w:rsidRDefault="00BC0C59" w:rsidP="00911709">
            <w:pPr>
              <w:jc w:val="center"/>
              <w:rPr>
                <w:rFonts w:ascii="Arial" w:hAnsi="Arial" w:cs="Arial"/>
                <w:b w:val="0"/>
              </w:rPr>
            </w:pPr>
            <w:r>
              <w:rPr>
                <w:rFonts w:ascii="Arial" w:hAnsi="Arial" w:cs="Arial"/>
                <w:b w:val="0"/>
              </w:rPr>
              <w:t>22,118</w:t>
            </w:r>
          </w:p>
        </w:tc>
      </w:tr>
      <w:tr w:rsidR="00820CCD" w:rsidRPr="000C629F" w14:paraId="11BA49AF" w14:textId="77777777" w:rsidTr="00FA5F0D">
        <w:trPr>
          <w:trHeight w:val="458"/>
          <w:jc w:val="center"/>
        </w:trPr>
        <w:tc>
          <w:tcPr>
            <w:tcW w:w="1869" w:type="dxa"/>
            <w:tcBorders>
              <w:top w:val="single" w:sz="4" w:space="0" w:color="auto"/>
              <w:left w:val="single" w:sz="4" w:space="0" w:color="auto"/>
              <w:bottom w:val="single" w:sz="4" w:space="0" w:color="auto"/>
              <w:right w:val="single" w:sz="4" w:space="0" w:color="auto"/>
            </w:tcBorders>
            <w:vAlign w:val="center"/>
          </w:tcPr>
          <w:p w14:paraId="419B69EB" w14:textId="682010C9" w:rsidR="00820CCD" w:rsidRPr="000C629F" w:rsidRDefault="00820CCD" w:rsidP="00911709">
            <w:pPr>
              <w:jc w:val="center"/>
              <w:rPr>
                <w:rFonts w:ascii="Arial" w:hAnsi="Arial" w:cs="Arial"/>
              </w:rPr>
            </w:pPr>
            <w:r w:rsidRPr="000C629F">
              <w:rPr>
                <w:rFonts w:ascii="Arial" w:hAnsi="Arial" w:cs="Arial"/>
              </w:rPr>
              <w:t>201</w:t>
            </w:r>
            <w:r w:rsidR="005376A4">
              <w:rPr>
                <w:rFonts w:ascii="Arial" w:hAnsi="Arial" w:cs="Arial"/>
              </w:rPr>
              <w:t>3</w:t>
            </w:r>
            <w:r w:rsidRPr="000C629F">
              <w:rPr>
                <w:rStyle w:val="FootnoteReference"/>
                <w:rFonts w:ascii="Arial" w:hAnsi="Arial" w:cs="Arial"/>
                <w:b w:val="0"/>
                <w:sz w:val="22"/>
                <w:szCs w:val="22"/>
              </w:rPr>
              <w:footnoteReference w:id="10"/>
            </w:r>
          </w:p>
        </w:tc>
        <w:tc>
          <w:tcPr>
            <w:tcW w:w="1710" w:type="dxa"/>
            <w:tcBorders>
              <w:top w:val="single" w:sz="4" w:space="0" w:color="auto"/>
              <w:left w:val="single" w:sz="4" w:space="0" w:color="auto"/>
              <w:bottom w:val="single" w:sz="4" w:space="0" w:color="auto"/>
              <w:right w:val="single" w:sz="4" w:space="0" w:color="auto"/>
            </w:tcBorders>
            <w:vAlign w:val="center"/>
          </w:tcPr>
          <w:p w14:paraId="023B3FE1" w14:textId="77777777" w:rsidR="00820CCD" w:rsidRPr="000C629F" w:rsidRDefault="00820CCD" w:rsidP="00911709">
            <w:pPr>
              <w:jc w:val="center"/>
              <w:rPr>
                <w:rFonts w:ascii="Arial" w:hAnsi="Arial" w:cs="Arial"/>
                <w:b w:val="0"/>
              </w:rPr>
            </w:pPr>
            <w:r w:rsidRPr="000C629F">
              <w:rPr>
                <w:rFonts w:ascii="Arial" w:hAnsi="Arial" w:cs="Arial"/>
                <w:b w:val="0"/>
              </w:rPr>
              <w:t>11.16</w:t>
            </w:r>
          </w:p>
        </w:tc>
        <w:tc>
          <w:tcPr>
            <w:tcW w:w="1896" w:type="dxa"/>
            <w:tcBorders>
              <w:top w:val="single" w:sz="4" w:space="0" w:color="auto"/>
              <w:left w:val="single" w:sz="4" w:space="0" w:color="auto"/>
              <w:bottom w:val="single" w:sz="4" w:space="0" w:color="auto"/>
              <w:right w:val="single" w:sz="4" w:space="0" w:color="auto"/>
            </w:tcBorders>
            <w:vAlign w:val="center"/>
          </w:tcPr>
          <w:p w14:paraId="360E569B" w14:textId="77777777" w:rsidR="00820CCD" w:rsidRPr="000C629F" w:rsidRDefault="00820CCD" w:rsidP="00911709">
            <w:pPr>
              <w:jc w:val="center"/>
              <w:rPr>
                <w:rFonts w:ascii="Arial" w:hAnsi="Arial" w:cs="Arial"/>
                <w:b w:val="0"/>
              </w:rPr>
            </w:pPr>
            <w:r w:rsidRPr="000C629F">
              <w:rPr>
                <w:rFonts w:ascii="Arial" w:hAnsi="Arial" w:cs="Arial"/>
                <w:b w:val="0"/>
              </w:rPr>
              <w:t>19,552</w:t>
            </w:r>
          </w:p>
        </w:tc>
        <w:tc>
          <w:tcPr>
            <w:tcW w:w="2045" w:type="dxa"/>
            <w:tcBorders>
              <w:top w:val="single" w:sz="4" w:space="0" w:color="auto"/>
              <w:left w:val="single" w:sz="4" w:space="0" w:color="auto"/>
              <w:bottom w:val="single" w:sz="4" w:space="0" w:color="auto"/>
              <w:right w:val="single" w:sz="4" w:space="0" w:color="auto"/>
            </w:tcBorders>
            <w:vAlign w:val="center"/>
          </w:tcPr>
          <w:p w14:paraId="5F1D572B" w14:textId="3130CE8E" w:rsidR="00820CCD" w:rsidRPr="00BC0C59" w:rsidRDefault="00BC0C59" w:rsidP="00911709">
            <w:pPr>
              <w:jc w:val="center"/>
              <w:rPr>
                <w:rFonts w:ascii="Arial" w:hAnsi="Arial" w:cs="Arial"/>
                <w:b w:val="0"/>
              </w:rPr>
            </w:pPr>
            <w:r>
              <w:rPr>
                <w:rFonts w:ascii="Arial" w:hAnsi="Arial" w:cs="Arial"/>
                <w:b w:val="0"/>
              </w:rPr>
              <w:t>14.188</w:t>
            </w:r>
          </w:p>
        </w:tc>
        <w:tc>
          <w:tcPr>
            <w:tcW w:w="2236" w:type="dxa"/>
            <w:tcBorders>
              <w:top w:val="single" w:sz="4" w:space="0" w:color="auto"/>
              <w:left w:val="single" w:sz="4" w:space="0" w:color="auto"/>
              <w:bottom w:val="single" w:sz="4" w:space="0" w:color="auto"/>
              <w:right w:val="single" w:sz="4" w:space="0" w:color="auto"/>
            </w:tcBorders>
            <w:vAlign w:val="center"/>
          </w:tcPr>
          <w:p w14:paraId="03A5FBD2" w14:textId="3870E7C4" w:rsidR="00820CCD" w:rsidRPr="00BC0C59" w:rsidRDefault="00BC0C59" w:rsidP="00911709">
            <w:pPr>
              <w:jc w:val="center"/>
              <w:rPr>
                <w:rFonts w:ascii="Arial" w:hAnsi="Arial" w:cs="Arial"/>
                <w:b w:val="0"/>
              </w:rPr>
            </w:pPr>
            <w:r>
              <w:rPr>
                <w:rFonts w:ascii="Arial" w:hAnsi="Arial" w:cs="Arial"/>
                <w:b w:val="0"/>
              </w:rPr>
              <w:t>23,394</w:t>
            </w:r>
          </w:p>
        </w:tc>
      </w:tr>
    </w:tbl>
    <w:p w14:paraId="32A9805D" w14:textId="77777777" w:rsidR="000C629F" w:rsidRDefault="000C629F" w:rsidP="00911709"/>
    <w:p w14:paraId="2BAE35B2" w14:textId="77777777" w:rsidR="004F54CE" w:rsidRPr="000C629F" w:rsidRDefault="004F54CE" w:rsidP="00911709">
      <w:pPr>
        <w:rPr>
          <w:rFonts w:ascii="Arial" w:hAnsi="Arial" w:cs="Arial"/>
          <w:highlight w:val="yellow"/>
        </w:rPr>
      </w:pPr>
      <w:bookmarkStart w:id="35" w:name="_Ref192401235"/>
      <w:r w:rsidRPr="000C629F">
        <w:rPr>
          <w:rFonts w:ascii="Arial" w:hAnsi="Arial" w:cs="Arial"/>
          <w:highlight w:val="yellow"/>
        </w:rPr>
        <w:br w:type="page"/>
      </w:r>
    </w:p>
    <w:p w14:paraId="5EB2FEC4" w14:textId="77777777" w:rsidR="00E332CD" w:rsidRDefault="00EB576D" w:rsidP="00AC6FF0">
      <w:pPr>
        <w:pStyle w:val="Heading1"/>
        <w:spacing w:after="120"/>
        <w:rPr>
          <w:sz w:val="27"/>
          <w:szCs w:val="27"/>
        </w:rPr>
      </w:pPr>
      <w:bookmarkStart w:id="36" w:name="_Toc509500763"/>
      <w:bookmarkStart w:id="37" w:name="_Ref197158148"/>
      <w:bookmarkStart w:id="38" w:name="_Ref225598179"/>
      <w:r w:rsidRPr="00354DA7">
        <w:rPr>
          <w:sz w:val="27"/>
          <w:szCs w:val="27"/>
        </w:rPr>
        <w:lastRenderedPageBreak/>
        <w:t>Projected, Reported and Verified Demand and Energy Savings</w:t>
      </w:r>
      <w:bookmarkEnd w:id="36"/>
    </w:p>
    <w:p w14:paraId="4ECF1DE9" w14:textId="165266D2" w:rsidR="00AF12E8" w:rsidRPr="00AF12E8" w:rsidRDefault="00AF12E8" w:rsidP="00AF12E8">
      <w:pPr>
        <w:tabs>
          <w:tab w:val="left" w:pos="1929"/>
        </w:tabs>
      </w:pPr>
      <w:r>
        <w:tab/>
      </w:r>
      <w:r w:rsidRPr="00AF12E8">
        <w:rPr>
          <w:noProof/>
        </w:rPr>
        <w:drawing>
          <wp:inline distT="0" distB="0" distL="0" distR="0" wp14:anchorId="593A6ACC" wp14:editId="19E58CAC">
            <wp:extent cx="6228080" cy="67805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8080" cy="6780530"/>
                    </a:xfrm>
                    <a:prstGeom prst="rect">
                      <a:avLst/>
                    </a:prstGeom>
                    <a:noFill/>
                    <a:ln>
                      <a:noFill/>
                    </a:ln>
                  </pic:spPr>
                </pic:pic>
              </a:graphicData>
            </a:graphic>
          </wp:inline>
        </w:drawing>
      </w:r>
    </w:p>
    <w:p w14:paraId="1D4437E1" w14:textId="77777777" w:rsidR="00DF59AF" w:rsidRPr="00AC6FF0" w:rsidRDefault="00DF59AF" w:rsidP="00AC6FF0">
      <w:pPr>
        <w:pStyle w:val="BodyText"/>
        <w:spacing w:after="0"/>
        <w:rPr>
          <w:sz w:val="16"/>
          <w:szCs w:val="16"/>
        </w:rPr>
      </w:pPr>
    </w:p>
    <w:bookmarkEnd w:id="35"/>
    <w:bookmarkEnd w:id="37"/>
    <w:bookmarkEnd w:id="38"/>
    <w:p w14:paraId="4B0CA621" w14:textId="723F52F0" w:rsidR="00070414" w:rsidRDefault="00070414" w:rsidP="001B39E1">
      <w:pPr>
        <w:pStyle w:val="BodyText"/>
        <w:spacing w:before="0" w:after="0" w:line="240" w:lineRule="auto"/>
        <w:jc w:val="center"/>
        <w:sectPr w:rsidR="00070414" w:rsidSect="0076766A">
          <w:footerReference w:type="first" r:id="rId25"/>
          <w:pgSz w:w="12240" w:h="15840" w:code="1"/>
          <w:pgMar w:top="576" w:right="1008" w:bottom="720" w:left="1152" w:header="720" w:footer="720" w:gutter="0"/>
          <w:cols w:space="720"/>
          <w:titlePg/>
        </w:sectPr>
      </w:pPr>
    </w:p>
    <w:p w14:paraId="1BAE55CB" w14:textId="77777777" w:rsidR="00C30FC1" w:rsidRDefault="00922397" w:rsidP="00911709">
      <w:pPr>
        <w:pStyle w:val="Heading1"/>
        <w:spacing w:before="0" w:after="0"/>
      </w:pPr>
      <w:bookmarkStart w:id="39" w:name="_Toc509500764"/>
      <w:r w:rsidRPr="00420A52">
        <w:lastRenderedPageBreak/>
        <w:t>Historical Program Expenditures</w:t>
      </w:r>
      <w:bookmarkEnd w:id="39"/>
    </w:p>
    <w:p w14:paraId="0A1E022C" w14:textId="77777777" w:rsidR="00F82D2C" w:rsidRPr="00F82D2C" w:rsidRDefault="00F82D2C" w:rsidP="00911709">
      <w:pPr>
        <w:spacing w:line="120" w:lineRule="auto"/>
      </w:pPr>
    </w:p>
    <w:p w14:paraId="3C461904" w14:textId="2AE5D067" w:rsidR="00F82D2C" w:rsidRDefault="00922397" w:rsidP="0076766A">
      <w:pPr>
        <w:pStyle w:val="Caption"/>
        <w:keepNext/>
        <w:keepLines/>
        <w:spacing w:before="0" w:after="0"/>
        <w:ind w:left="720"/>
        <w:jc w:val="both"/>
        <w:rPr>
          <w:b w:val="0"/>
        </w:rPr>
      </w:pPr>
      <w:r w:rsidRPr="00C40141">
        <w:rPr>
          <w:b w:val="0"/>
        </w:rPr>
        <w:t>T</w:t>
      </w:r>
      <w:r w:rsidR="004F54CE">
        <w:rPr>
          <w:b w:val="0"/>
        </w:rPr>
        <w:t xml:space="preserve">able </w:t>
      </w:r>
      <w:r w:rsidR="00D77C35">
        <w:rPr>
          <w:b w:val="0"/>
        </w:rPr>
        <w:t>9</w:t>
      </w:r>
      <w:r w:rsidR="00D77C35" w:rsidRPr="00C40141">
        <w:rPr>
          <w:b w:val="0"/>
        </w:rPr>
        <w:t xml:space="preserve"> </w:t>
      </w:r>
      <w:r w:rsidRPr="00C40141">
        <w:rPr>
          <w:b w:val="0"/>
        </w:rPr>
        <w:t xml:space="preserve">documents </w:t>
      </w:r>
      <w:r w:rsidR="00D53580" w:rsidRPr="00C40141">
        <w:rPr>
          <w:b w:val="0"/>
        </w:rPr>
        <w:t>EPE</w:t>
      </w:r>
      <w:r w:rsidR="00CD6042">
        <w:rPr>
          <w:b w:val="0"/>
        </w:rPr>
        <w:t>'</w:t>
      </w:r>
      <w:r w:rsidRPr="00C40141">
        <w:rPr>
          <w:b w:val="0"/>
        </w:rPr>
        <w:t>s incentive and administration expenditures for the previous five years (</w:t>
      </w:r>
      <w:r w:rsidR="00693020">
        <w:rPr>
          <w:b w:val="0"/>
        </w:rPr>
        <w:t>201</w:t>
      </w:r>
      <w:r w:rsidR="00A20F90">
        <w:rPr>
          <w:b w:val="0"/>
        </w:rPr>
        <w:t>3</w:t>
      </w:r>
      <w:r w:rsidR="00517600">
        <w:rPr>
          <w:b w:val="0"/>
        </w:rPr>
        <w:t>-</w:t>
      </w:r>
      <w:r w:rsidR="00693020">
        <w:rPr>
          <w:b w:val="0"/>
        </w:rPr>
        <w:t>201</w:t>
      </w:r>
      <w:r w:rsidR="00A20F90">
        <w:rPr>
          <w:b w:val="0"/>
        </w:rPr>
        <w:t>7</w:t>
      </w:r>
      <w:r w:rsidRPr="00C40141">
        <w:rPr>
          <w:b w:val="0"/>
        </w:rPr>
        <w:t>) by program for each customer class.</w:t>
      </w:r>
      <w:r w:rsidR="003906D6" w:rsidRPr="00C40141">
        <w:rPr>
          <w:b w:val="0"/>
        </w:rPr>
        <w:t xml:space="preserve"> Note that this table does not </w:t>
      </w:r>
      <w:r w:rsidR="00555748">
        <w:rPr>
          <w:b w:val="0"/>
        </w:rPr>
        <w:t>include</w:t>
      </w:r>
      <w:r w:rsidR="003906D6" w:rsidRPr="00C40141">
        <w:rPr>
          <w:b w:val="0"/>
        </w:rPr>
        <w:t xml:space="preserve"> </w:t>
      </w:r>
      <w:r w:rsidR="004554AA">
        <w:rPr>
          <w:b w:val="0"/>
        </w:rPr>
        <w:t xml:space="preserve">R&amp;D </w:t>
      </w:r>
      <w:r w:rsidR="003906D6" w:rsidRPr="00C40141">
        <w:rPr>
          <w:b w:val="0"/>
        </w:rPr>
        <w:t>expenditures</w:t>
      </w:r>
      <w:r w:rsidR="00555748">
        <w:rPr>
          <w:b w:val="0"/>
        </w:rPr>
        <w:t>, EM&amp;V expenditures</w:t>
      </w:r>
      <w:r w:rsidR="00D21711">
        <w:rPr>
          <w:b w:val="0"/>
        </w:rPr>
        <w:t>,</w:t>
      </w:r>
      <w:r w:rsidR="00B13B45" w:rsidRPr="00C40141">
        <w:rPr>
          <w:b w:val="0"/>
        </w:rPr>
        <w:t xml:space="preserve"> and administration costs not allocated to particular programs</w:t>
      </w:r>
      <w:r w:rsidR="003906D6" w:rsidRPr="00C40141">
        <w:rPr>
          <w:b w:val="0"/>
        </w:rPr>
        <w:t>. R&amp;D expenditures</w:t>
      </w:r>
      <w:r w:rsidR="00555748">
        <w:rPr>
          <w:b w:val="0"/>
        </w:rPr>
        <w:t>, EM&amp;V expenditures</w:t>
      </w:r>
      <w:r w:rsidR="00D21711">
        <w:rPr>
          <w:b w:val="0"/>
        </w:rPr>
        <w:t>,</w:t>
      </w:r>
      <w:r w:rsidR="003906D6" w:rsidRPr="00C40141">
        <w:rPr>
          <w:b w:val="0"/>
        </w:rPr>
        <w:t xml:space="preserve"> </w:t>
      </w:r>
      <w:r w:rsidR="00B13B45" w:rsidRPr="00C40141">
        <w:rPr>
          <w:b w:val="0"/>
        </w:rPr>
        <w:t xml:space="preserve">and administration costs not associated with particular programs </w:t>
      </w:r>
      <w:r w:rsidR="003906D6" w:rsidRPr="00C40141">
        <w:rPr>
          <w:b w:val="0"/>
        </w:rPr>
        <w:t xml:space="preserve">for </w:t>
      </w:r>
      <w:r w:rsidR="00693020">
        <w:rPr>
          <w:b w:val="0"/>
        </w:rPr>
        <w:t>201</w:t>
      </w:r>
      <w:r w:rsidR="00A20F90">
        <w:rPr>
          <w:b w:val="0"/>
        </w:rPr>
        <w:t>7</w:t>
      </w:r>
      <w:r w:rsidR="00693020" w:rsidRPr="00C40141">
        <w:rPr>
          <w:b w:val="0"/>
        </w:rPr>
        <w:t xml:space="preserve"> </w:t>
      </w:r>
      <w:r w:rsidR="003906D6" w:rsidRPr="00C40141">
        <w:rPr>
          <w:b w:val="0"/>
        </w:rPr>
        <w:t xml:space="preserve">can be found in </w:t>
      </w:r>
      <w:r w:rsidR="002564D6" w:rsidRPr="002564D6">
        <w:rPr>
          <w:b w:val="0"/>
        </w:rPr>
        <w:t xml:space="preserve">Table </w:t>
      </w:r>
      <w:r w:rsidR="00D77C35">
        <w:rPr>
          <w:b w:val="0"/>
        </w:rPr>
        <w:t>10</w:t>
      </w:r>
      <w:r w:rsidR="003906D6" w:rsidRPr="00C40141">
        <w:rPr>
          <w:b w:val="0"/>
        </w:rPr>
        <w:t>.</w:t>
      </w:r>
    </w:p>
    <w:p w14:paraId="683A8FC8" w14:textId="70255CBE" w:rsidR="00C30FC1" w:rsidRDefault="00922397" w:rsidP="00911709">
      <w:pPr>
        <w:pStyle w:val="Caption"/>
        <w:keepNext/>
        <w:keepLines/>
        <w:spacing w:before="120"/>
        <w:jc w:val="both"/>
      </w:pPr>
      <w:r w:rsidRPr="007C7765">
        <w:t xml:space="preserve">Table </w:t>
      </w:r>
      <w:r w:rsidR="00D77C35">
        <w:t>9</w:t>
      </w:r>
      <w:r w:rsidRPr="007C7765">
        <w:t xml:space="preserve">: Historical Program </w:t>
      </w:r>
      <w:r w:rsidR="00DD71E1">
        <w:t>Incentive and Administration</w:t>
      </w:r>
      <w:r w:rsidR="002A2429" w:rsidRPr="007C7765">
        <w:t xml:space="preserve"> </w:t>
      </w:r>
      <w:r w:rsidRPr="007C7765">
        <w:t xml:space="preserve">Expenditures </w:t>
      </w:r>
      <w:r w:rsidR="00AA3452" w:rsidRPr="007C7765">
        <w:t xml:space="preserve">for </w:t>
      </w:r>
      <w:r w:rsidR="001D42E1">
        <w:t>2013</w:t>
      </w:r>
      <w:r w:rsidR="001D42E1" w:rsidRPr="007C7765">
        <w:t xml:space="preserve"> </w:t>
      </w:r>
      <w:r w:rsidR="00AA3452" w:rsidRPr="007C7765">
        <w:t>through</w:t>
      </w:r>
      <w:r w:rsidRPr="007C7765">
        <w:t xml:space="preserve"> </w:t>
      </w:r>
      <w:r w:rsidR="001D42E1">
        <w:t>2017</w:t>
      </w:r>
      <w:r w:rsidR="008A3B9E" w:rsidRPr="00FF3ABF">
        <w:rPr>
          <w:rStyle w:val="FootnoteReference"/>
        </w:rPr>
        <w:footnoteReference w:id="11"/>
      </w:r>
      <w:r w:rsidR="00AC2C24">
        <w:t xml:space="preserve"> </w:t>
      </w:r>
    </w:p>
    <w:p w14:paraId="1CDF4BD4" w14:textId="365B4ABF" w:rsidR="00F16016" w:rsidRDefault="00F76B9B" w:rsidP="00911709">
      <w:r w:rsidRPr="00F76B9B">
        <w:rPr>
          <w:noProof/>
        </w:rPr>
        <w:drawing>
          <wp:inline distT="0" distB="0" distL="0" distR="0" wp14:anchorId="0F0F1621" wp14:editId="75B1AF40">
            <wp:extent cx="9235440" cy="3333377"/>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5440" cy="3333377"/>
                    </a:xfrm>
                    <a:prstGeom prst="rect">
                      <a:avLst/>
                    </a:prstGeom>
                    <a:noFill/>
                    <a:ln>
                      <a:noFill/>
                    </a:ln>
                  </pic:spPr>
                </pic:pic>
              </a:graphicData>
            </a:graphic>
          </wp:inline>
        </w:drawing>
      </w:r>
    </w:p>
    <w:p w14:paraId="3D6CD158" w14:textId="69B5581B" w:rsidR="001A0500" w:rsidRDefault="001A0500" w:rsidP="001A0500">
      <w:pPr>
        <w:jc w:val="center"/>
      </w:pPr>
    </w:p>
    <w:p w14:paraId="2A689524" w14:textId="10FE3C14" w:rsidR="001A0500" w:rsidRDefault="001A0500" w:rsidP="001A0500"/>
    <w:p w14:paraId="519E7D80" w14:textId="0B67FE14" w:rsidR="001A0500" w:rsidRDefault="001A0500" w:rsidP="001A0500"/>
    <w:p w14:paraId="147767D2" w14:textId="49D93096" w:rsidR="001A0500" w:rsidRDefault="001A0500" w:rsidP="001A0500">
      <w:pPr>
        <w:tabs>
          <w:tab w:val="left" w:pos="4455"/>
        </w:tabs>
      </w:pPr>
      <w:r>
        <w:tab/>
      </w:r>
    </w:p>
    <w:p w14:paraId="1A880D32" w14:textId="706F0157" w:rsidR="001A0500" w:rsidRDefault="001A0500" w:rsidP="001A0500"/>
    <w:p w14:paraId="6D936010" w14:textId="77777777" w:rsidR="00FC305A" w:rsidRPr="001A0500" w:rsidRDefault="00FC305A" w:rsidP="001A0500">
      <w:pPr>
        <w:sectPr w:rsidR="00FC305A" w:rsidRPr="001A0500" w:rsidSect="0076766A">
          <w:pgSz w:w="15840" w:h="12240" w:orient="landscape" w:code="1"/>
          <w:pgMar w:top="1152" w:right="576" w:bottom="1008" w:left="720" w:header="720" w:footer="720" w:gutter="0"/>
          <w:cols w:space="720"/>
          <w:titlePg/>
        </w:sectPr>
      </w:pPr>
    </w:p>
    <w:p w14:paraId="12A7E1D5" w14:textId="1D1795B0" w:rsidR="00C30FC1" w:rsidRPr="00EC1390" w:rsidRDefault="00922397" w:rsidP="00911709">
      <w:pPr>
        <w:pStyle w:val="Heading1"/>
        <w:keepNext w:val="0"/>
        <w:spacing w:before="0" w:after="0"/>
        <w:rPr>
          <w:rFonts w:cs="Arial"/>
          <w:spacing w:val="0"/>
        </w:rPr>
      </w:pPr>
      <w:bookmarkStart w:id="40" w:name="_Toc509500765"/>
      <w:r w:rsidRPr="00EC1390">
        <w:rPr>
          <w:rFonts w:cs="Arial"/>
          <w:spacing w:val="0"/>
        </w:rPr>
        <w:lastRenderedPageBreak/>
        <w:t>Program Funding</w:t>
      </w:r>
      <w:r w:rsidR="00AB2C9F">
        <w:rPr>
          <w:rFonts w:cs="Arial"/>
          <w:spacing w:val="0"/>
        </w:rPr>
        <w:t xml:space="preserve"> </w:t>
      </w:r>
      <w:r w:rsidR="00B3786A">
        <w:rPr>
          <w:rFonts w:cs="Arial"/>
          <w:spacing w:val="0"/>
        </w:rPr>
        <w:t>and</w:t>
      </w:r>
      <w:r w:rsidR="00AB2C9F">
        <w:rPr>
          <w:rFonts w:cs="Arial"/>
          <w:spacing w:val="0"/>
        </w:rPr>
        <w:t xml:space="preserve"> Explanation of Administration Costs</w:t>
      </w:r>
      <w:r w:rsidRPr="00EC1390">
        <w:rPr>
          <w:rFonts w:cs="Arial"/>
          <w:spacing w:val="0"/>
        </w:rPr>
        <w:t xml:space="preserve"> for Calendar Year </w:t>
      </w:r>
      <w:r w:rsidR="00693020">
        <w:rPr>
          <w:rFonts w:cs="Arial"/>
          <w:spacing w:val="0"/>
        </w:rPr>
        <w:t>201</w:t>
      </w:r>
      <w:r w:rsidR="00A20F90">
        <w:rPr>
          <w:rFonts w:cs="Arial"/>
          <w:spacing w:val="0"/>
        </w:rPr>
        <w:t>7</w:t>
      </w:r>
      <w:bookmarkEnd w:id="40"/>
    </w:p>
    <w:p w14:paraId="4D8F5915" w14:textId="77777777" w:rsidR="00EC1390" w:rsidRDefault="00EC1390" w:rsidP="00911709">
      <w:pPr>
        <w:pStyle w:val="BodyText"/>
        <w:spacing w:before="0" w:after="0" w:line="240" w:lineRule="auto"/>
        <w:rPr>
          <w:rFonts w:cs="Arial"/>
          <w:b w:val="0"/>
        </w:rPr>
      </w:pPr>
    </w:p>
    <w:p w14:paraId="0F595705" w14:textId="5555C336" w:rsidR="00B3786A" w:rsidRPr="00951B9D" w:rsidRDefault="00B15CB9" w:rsidP="00911709">
      <w:pPr>
        <w:pStyle w:val="BodyText"/>
        <w:spacing w:before="0" w:after="0" w:line="240" w:lineRule="auto"/>
        <w:rPr>
          <w:rFonts w:cs="Arial"/>
          <w:b w:val="0"/>
        </w:rPr>
      </w:pPr>
      <w:r w:rsidRPr="00C25838">
        <w:rPr>
          <w:rFonts w:cs="Arial"/>
          <w:b w:val="0"/>
        </w:rPr>
        <w:t xml:space="preserve">As shown </w:t>
      </w:r>
      <w:r w:rsidR="00AA3452" w:rsidRPr="00C25838">
        <w:rPr>
          <w:rFonts w:cs="Arial"/>
          <w:b w:val="0"/>
        </w:rPr>
        <w:t>in</w:t>
      </w:r>
      <w:r w:rsidR="007531CD" w:rsidRPr="00C25838">
        <w:rPr>
          <w:rFonts w:cs="Arial"/>
          <w:b w:val="0"/>
        </w:rPr>
        <w:t xml:space="preserve"> </w:t>
      </w:r>
      <w:r w:rsidR="00747464" w:rsidRPr="00C25838">
        <w:rPr>
          <w:rFonts w:cs="Arial"/>
          <w:b w:val="0"/>
        </w:rPr>
        <w:t>the subtotal</w:t>
      </w:r>
      <w:r w:rsidR="006D7002">
        <w:rPr>
          <w:rFonts w:cs="Arial"/>
          <w:b w:val="0"/>
        </w:rPr>
        <w:t xml:space="preserve"> for the “Total Funds Expended” column</w:t>
      </w:r>
      <w:r w:rsidR="00747464" w:rsidRPr="00C25838">
        <w:rPr>
          <w:rFonts w:cs="Arial"/>
          <w:b w:val="0"/>
        </w:rPr>
        <w:t xml:space="preserve"> of </w:t>
      </w:r>
      <w:r w:rsidR="007531CD" w:rsidRPr="00C25838">
        <w:rPr>
          <w:rFonts w:cs="Arial"/>
          <w:b w:val="0"/>
        </w:rPr>
        <w:t>Table 10</w:t>
      </w:r>
      <w:r w:rsidR="00922397" w:rsidRPr="00266F2D">
        <w:rPr>
          <w:rFonts w:cs="Arial"/>
          <w:b w:val="0"/>
        </w:rPr>
        <w:t xml:space="preserve">, </w:t>
      </w:r>
      <w:r w:rsidR="00D53580" w:rsidRPr="00C22D33">
        <w:rPr>
          <w:rFonts w:cs="Arial"/>
          <w:b w:val="0"/>
        </w:rPr>
        <w:t>EPE</w:t>
      </w:r>
      <w:r w:rsidR="00922397" w:rsidRPr="00C22D33">
        <w:rPr>
          <w:rFonts w:cs="Arial"/>
          <w:b w:val="0"/>
        </w:rPr>
        <w:t xml:space="preserve"> </w:t>
      </w:r>
      <w:r w:rsidR="00922397" w:rsidRPr="00476CEC">
        <w:rPr>
          <w:rFonts w:cs="Arial"/>
          <w:b w:val="0"/>
        </w:rPr>
        <w:t xml:space="preserve">spent </w:t>
      </w:r>
      <w:r w:rsidR="00397CE8" w:rsidRPr="00476CEC">
        <w:rPr>
          <w:rFonts w:cs="Arial"/>
          <w:b w:val="0"/>
        </w:rPr>
        <w:t>$4,</w:t>
      </w:r>
      <w:r w:rsidR="00951B9D">
        <w:rPr>
          <w:rFonts w:cs="Arial"/>
          <w:b w:val="0"/>
        </w:rPr>
        <w:t>079,381</w:t>
      </w:r>
      <w:r w:rsidR="00747464" w:rsidRPr="00476CEC">
        <w:rPr>
          <w:rFonts w:cs="Arial"/>
          <w:b w:val="0"/>
        </w:rPr>
        <w:t xml:space="preserve"> </w:t>
      </w:r>
      <w:r w:rsidR="00DD6A97" w:rsidRPr="00476CEC">
        <w:rPr>
          <w:rFonts w:cs="Arial"/>
          <w:b w:val="0"/>
        </w:rPr>
        <w:t xml:space="preserve">on program expenses </w:t>
      </w:r>
      <w:r w:rsidR="00747464" w:rsidRPr="00476CEC">
        <w:rPr>
          <w:rFonts w:cs="Arial"/>
          <w:b w:val="0"/>
        </w:rPr>
        <w:t>(excluding EM&amp;V</w:t>
      </w:r>
      <w:r w:rsidR="00C25838" w:rsidRPr="00476CEC">
        <w:rPr>
          <w:rFonts w:cs="Arial"/>
          <w:b w:val="0"/>
        </w:rPr>
        <w:t xml:space="preserve"> and EECRF Proceeding Expenses</w:t>
      </w:r>
      <w:r w:rsidR="00747464" w:rsidRPr="00476CEC">
        <w:rPr>
          <w:rFonts w:cs="Arial"/>
          <w:b w:val="0"/>
        </w:rPr>
        <w:t>)</w:t>
      </w:r>
      <w:r w:rsidR="005472C4" w:rsidRPr="00476CEC">
        <w:rPr>
          <w:rFonts w:cs="Arial"/>
          <w:b w:val="0"/>
        </w:rPr>
        <w:t xml:space="preserve"> </w:t>
      </w:r>
      <w:r w:rsidR="00DD6A97" w:rsidRPr="00476CEC">
        <w:rPr>
          <w:rFonts w:cs="Arial"/>
          <w:b w:val="0"/>
        </w:rPr>
        <w:t xml:space="preserve">for </w:t>
      </w:r>
      <w:r w:rsidR="00A3296B" w:rsidRPr="00476CEC">
        <w:rPr>
          <w:rFonts w:cs="Arial"/>
          <w:b w:val="0"/>
        </w:rPr>
        <w:t>its</w:t>
      </w:r>
      <w:r w:rsidR="00922397" w:rsidRPr="00476CEC">
        <w:rPr>
          <w:rFonts w:cs="Arial"/>
          <w:b w:val="0"/>
        </w:rPr>
        <w:t xml:space="preserve"> </w:t>
      </w:r>
      <w:r w:rsidR="00F13AFB" w:rsidRPr="00476CEC">
        <w:rPr>
          <w:rFonts w:cs="Arial"/>
          <w:b w:val="0"/>
        </w:rPr>
        <w:t>PUCT</w:t>
      </w:r>
      <w:r w:rsidR="00A557F5" w:rsidRPr="00476CEC">
        <w:rPr>
          <w:rFonts w:cs="Arial"/>
          <w:b w:val="0"/>
        </w:rPr>
        <w:t>-</w:t>
      </w:r>
      <w:r w:rsidR="00F13AFB" w:rsidRPr="00476CEC">
        <w:rPr>
          <w:rFonts w:cs="Arial"/>
          <w:b w:val="0"/>
        </w:rPr>
        <w:t>appro</w:t>
      </w:r>
      <w:r w:rsidR="00F13AFB" w:rsidRPr="00C22D33">
        <w:rPr>
          <w:rFonts w:cs="Arial"/>
          <w:b w:val="0"/>
        </w:rPr>
        <w:t xml:space="preserve">ved </w:t>
      </w:r>
      <w:r w:rsidR="00922397" w:rsidRPr="00C22D33">
        <w:rPr>
          <w:rFonts w:cs="Arial"/>
          <w:b w:val="0"/>
        </w:rPr>
        <w:t>en</w:t>
      </w:r>
      <w:r w:rsidR="009444A7" w:rsidRPr="00C22D33">
        <w:rPr>
          <w:rFonts w:cs="Arial"/>
          <w:b w:val="0"/>
        </w:rPr>
        <w:t xml:space="preserve">ergy efficiency </w:t>
      </w:r>
      <w:r w:rsidR="009444A7" w:rsidRPr="00951B9D">
        <w:rPr>
          <w:rFonts w:cs="Arial"/>
          <w:b w:val="0"/>
        </w:rPr>
        <w:t xml:space="preserve">programs in </w:t>
      </w:r>
      <w:r w:rsidR="00693020" w:rsidRPr="00951B9D">
        <w:rPr>
          <w:rFonts w:cs="Arial"/>
          <w:b w:val="0"/>
        </w:rPr>
        <w:t>201</w:t>
      </w:r>
      <w:r w:rsidR="00A20F90" w:rsidRPr="00951B9D">
        <w:rPr>
          <w:rFonts w:cs="Arial"/>
          <w:b w:val="0"/>
        </w:rPr>
        <w:t>7</w:t>
      </w:r>
      <w:r w:rsidR="00A557F5" w:rsidRPr="00951B9D">
        <w:rPr>
          <w:rFonts w:cs="Arial"/>
          <w:b w:val="0"/>
        </w:rPr>
        <w:t>.</w:t>
      </w:r>
      <w:r w:rsidR="00693020" w:rsidRPr="00951B9D">
        <w:rPr>
          <w:rFonts w:cs="Arial"/>
          <w:b w:val="0"/>
        </w:rPr>
        <w:t xml:space="preserve"> </w:t>
      </w:r>
      <w:r w:rsidR="00A557F5" w:rsidRPr="00951B9D">
        <w:rPr>
          <w:rFonts w:cs="Arial"/>
          <w:b w:val="0"/>
        </w:rPr>
        <w:t>T</w:t>
      </w:r>
      <w:r w:rsidR="00F81CFD" w:rsidRPr="00951B9D">
        <w:rPr>
          <w:rFonts w:cs="Arial"/>
          <w:b w:val="0"/>
        </w:rPr>
        <w:t>hese programs were</w:t>
      </w:r>
      <w:r w:rsidR="00540365" w:rsidRPr="00951B9D">
        <w:rPr>
          <w:rFonts w:cs="Arial"/>
          <w:b w:val="0"/>
        </w:rPr>
        <w:t xml:space="preserve"> funded by EPE’s </w:t>
      </w:r>
      <w:r w:rsidR="00693020" w:rsidRPr="00951B9D">
        <w:rPr>
          <w:rFonts w:cs="Arial"/>
          <w:b w:val="0"/>
        </w:rPr>
        <w:t>201</w:t>
      </w:r>
      <w:r w:rsidR="00A20F90" w:rsidRPr="00951B9D">
        <w:rPr>
          <w:rFonts w:cs="Arial"/>
          <w:b w:val="0"/>
        </w:rPr>
        <w:t>7</w:t>
      </w:r>
      <w:r w:rsidR="00693020" w:rsidRPr="00951B9D">
        <w:rPr>
          <w:rFonts w:cs="Arial"/>
          <w:b w:val="0"/>
        </w:rPr>
        <w:t xml:space="preserve"> </w:t>
      </w:r>
      <w:r w:rsidR="00540365" w:rsidRPr="00951B9D">
        <w:rPr>
          <w:rFonts w:cs="Arial"/>
          <w:b w:val="0"/>
        </w:rPr>
        <w:t>EECRF</w:t>
      </w:r>
      <w:r w:rsidR="00747464" w:rsidRPr="00951B9D">
        <w:rPr>
          <w:rFonts w:cs="Arial"/>
          <w:b w:val="0"/>
        </w:rPr>
        <w:t>.</w:t>
      </w:r>
      <w:r w:rsidR="00684D29" w:rsidRPr="00951B9D">
        <w:rPr>
          <w:rFonts w:cs="Arial"/>
          <w:b w:val="0"/>
        </w:rPr>
        <w:t xml:space="preserve"> </w:t>
      </w:r>
      <w:r w:rsidR="00747464" w:rsidRPr="00951B9D">
        <w:rPr>
          <w:rFonts w:cs="Arial"/>
          <w:b w:val="0"/>
        </w:rPr>
        <w:t xml:space="preserve">These expenses account for </w:t>
      </w:r>
      <w:r w:rsidR="00397CE8" w:rsidRPr="00951B9D">
        <w:rPr>
          <w:rFonts w:cs="Arial"/>
          <w:b w:val="0"/>
        </w:rPr>
        <w:t>92.</w:t>
      </w:r>
      <w:r w:rsidR="00951B9D">
        <w:rPr>
          <w:rFonts w:cs="Arial"/>
          <w:b w:val="0"/>
        </w:rPr>
        <w:t>8</w:t>
      </w:r>
      <w:r w:rsidR="00A531F5" w:rsidRPr="00951B9D">
        <w:rPr>
          <w:rFonts w:cs="Arial"/>
          <w:b w:val="0"/>
        </w:rPr>
        <w:t>%</w:t>
      </w:r>
      <w:r w:rsidR="00684D29" w:rsidRPr="00951B9D">
        <w:rPr>
          <w:rFonts w:cs="Arial"/>
          <w:b w:val="0"/>
        </w:rPr>
        <w:t xml:space="preserve"> </w:t>
      </w:r>
      <w:r w:rsidR="005472C4" w:rsidRPr="00951B9D">
        <w:rPr>
          <w:rFonts w:cs="Arial"/>
          <w:b w:val="0"/>
        </w:rPr>
        <w:t>of</w:t>
      </w:r>
      <w:r w:rsidR="00922397" w:rsidRPr="00951B9D">
        <w:rPr>
          <w:rFonts w:cs="Arial"/>
          <w:b w:val="0"/>
        </w:rPr>
        <w:t xml:space="preserve"> </w:t>
      </w:r>
      <w:r w:rsidR="00684D29" w:rsidRPr="00951B9D">
        <w:rPr>
          <w:rFonts w:cs="Arial"/>
          <w:b w:val="0"/>
        </w:rPr>
        <w:t>t</w:t>
      </w:r>
      <w:r w:rsidR="00922397" w:rsidRPr="00951B9D">
        <w:rPr>
          <w:rFonts w:cs="Arial"/>
          <w:b w:val="0"/>
        </w:rPr>
        <w:t xml:space="preserve">he total forecasted </w:t>
      </w:r>
      <w:r w:rsidR="00DD6A97" w:rsidRPr="00951B9D">
        <w:rPr>
          <w:rFonts w:cs="Arial"/>
          <w:b w:val="0"/>
        </w:rPr>
        <w:t xml:space="preserve">program </w:t>
      </w:r>
      <w:r w:rsidR="00922397" w:rsidRPr="00951B9D">
        <w:rPr>
          <w:rFonts w:cs="Arial"/>
          <w:b w:val="0"/>
        </w:rPr>
        <w:t xml:space="preserve">budget for </w:t>
      </w:r>
      <w:r w:rsidR="00693020" w:rsidRPr="00951B9D">
        <w:rPr>
          <w:rFonts w:cs="Arial"/>
          <w:b w:val="0"/>
        </w:rPr>
        <w:t>201</w:t>
      </w:r>
      <w:r w:rsidR="00A20F90" w:rsidRPr="00951B9D">
        <w:rPr>
          <w:rFonts w:cs="Arial"/>
          <w:b w:val="0"/>
        </w:rPr>
        <w:t>7</w:t>
      </w:r>
      <w:r w:rsidR="00693020" w:rsidRPr="00951B9D">
        <w:rPr>
          <w:rFonts w:cs="Arial"/>
          <w:b w:val="0"/>
        </w:rPr>
        <w:t xml:space="preserve"> </w:t>
      </w:r>
      <w:r w:rsidR="00684D29" w:rsidRPr="00951B9D">
        <w:rPr>
          <w:rFonts w:cs="Arial"/>
          <w:b w:val="0"/>
        </w:rPr>
        <w:t xml:space="preserve">of </w:t>
      </w:r>
      <w:r w:rsidR="00A20F90" w:rsidRPr="00951B9D">
        <w:rPr>
          <w:rFonts w:cs="Arial"/>
          <w:b w:val="0"/>
        </w:rPr>
        <w:t>$4,</w:t>
      </w:r>
      <w:r w:rsidR="00C22D33" w:rsidRPr="00951B9D">
        <w:rPr>
          <w:rFonts w:cs="Arial"/>
          <w:b w:val="0"/>
        </w:rPr>
        <w:t>394,650</w:t>
      </w:r>
      <w:r w:rsidR="00EA2FF8" w:rsidRPr="00951B9D">
        <w:rPr>
          <w:rFonts w:cs="Arial"/>
          <w:b w:val="0"/>
        </w:rPr>
        <w:t xml:space="preserve">. </w:t>
      </w:r>
      <w:r w:rsidR="004F4293" w:rsidRPr="00951B9D">
        <w:rPr>
          <w:rFonts w:cs="Arial"/>
          <w:b w:val="0"/>
        </w:rPr>
        <w:t xml:space="preserve">Actual program funding levels are shown in Table 10 and Table 11. </w:t>
      </w:r>
    </w:p>
    <w:p w14:paraId="716C0CDE" w14:textId="77777777" w:rsidR="00AB2C9F" w:rsidRPr="00951B9D" w:rsidRDefault="00AB2C9F" w:rsidP="00911709">
      <w:pPr>
        <w:pStyle w:val="BodyText"/>
        <w:spacing w:before="0" w:after="0" w:line="240" w:lineRule="auto"/>
        <w:rPr>
          <w:rFonts w:cs="Arial"/>
          <w:b w:val="0"/>
        </w:rPr>
      </w:pPr>
    </w:p>
    <w:p w14:paraId="59368760" w14:textId="069DAEF4" w:rsidR="00AB2C9F" w:rsidRDefault="00AD082E" w:rsidP="00911709">
      <w:pPr>
        <w:pStyle w:val="BodyText"/>
        <w:spacing w:before="0" w:after="0" w:line="240" w:lineRule="auto"/>
        <w:rPr>
          <w:rFonts w:cs="Arial"/>
          <w:b w:val="0"/>
        </w:rPr>
      </w:pPr>
      <w:r w:rsidRPr="00951B9D">
        <w:rPr>
          <w:rFonts w:cs="Arial"/>
          <w:b w:val="0"/>
        </w:rPr>
        <w:t>The a</w:t>
      </w:r>
      <w:r w:rsidR="00AB2C9F" w:rsidRPr="00951B9D">
        <w:rPr>
          <w:rFonts w:cs="Arial"/>
          <w:b w:val="0"/>
        </w:rPr>
        <w:t>dministrati</w:t>
      </w:r>
      <w:r w:rsidR="00F11733" w:rsidRPr="00951B9D">
        <w:rPr>
          <w:rFonts w:cs="Arial"/>
          <w:b w:val="0"/>
        </w:rPr>
        <w:t>on</w:t>
      </w:r>
      <w:r w:rsidR="00AB2C9F" w:rsidRPr="00951B9D">
        <w:rPr>
          <w:rFonts w:cs="Arial"/>
          <w:b w:val="0"/>
        </w:rPr>
        <w:t xml:space="preserve"> </w:t>
      </w:r>
      <w:r w:rsidR="00261745" w:rsidRPr="00951B9D">
        <w:rPr>
          <w:rFonts w:cs="Arial"/>
          <w:b w:val="0"/>
        </w:rPr>
        <w:t>expenses</w:t>
      </w:r>
      <w:r w:rsidR="00985561" w:rsidRPr="00951B9D">
        <w:rPr>
          <w:rFonts w:cs="Arial"/>
          <w:b w:val="0"/>
        </w:rPr>
        <w:t xml:space="preserve"> shown in Table 10</w:t>
      </w:r>
      <w:r w:rsidR="00AB2C9F" w:rsidRPr="00951B9D">
        <w:rPr>
          <w:rFonts w:cs="Arial"/>
          <w:b w:val="0"/>
        </w:rPr>
        <w:t xml:space="preserve"> </w:t>
      </w:r>
      <w:r w:rsidR="00420145" w:rsidRPr="00951B9D">
        <w:rPr>
          <w:rFonts w:cs="Arial"/>
          <w:b w:val="0"/>
        </w:rPr>
        <w:t>benefit</w:t>
      </w:r>
      <w:r w:rsidR="00261745" w:rsidRPr="00951B9D">
        <w:rPr>
          <w:rFonts w:cs="Arial"/>
          <w:b w:val="0"/>
        </w:rPr>
        <w:t>ed</w:t>
      </w:r>
      <w:r w:rsidR="00420145" w:rsidRPr="00951B9D">
        <w:rPr>
          <w:rFonts w:cs="Arial"/>
          <w:b w:val="0"/>
        </w:rPr>
        <w:t xml:space="preserve"> the entire portfolio</w:t>
      </w:r>
      <w:r w:rsidR="00985561" w:rsidRPr="00951B9D">
        <w:rPr>
          <w:rFonts w:cs="Arial"/>
          <w:b w:val="0"/>
        </w:rPr>
        <w:t xml:space="preserve"> of programs</w:t>
      </w:r>
      <w:r w:rsidR="007A048F" w:rsidRPr="00951B9D">
        <w:rPr>
          <w:rFonts w:cs="Arial"/>
          <w:b w:val="0"/>
        </w:rPr>
        <w:t>.</w:t>
      </w:r>
      <w:r w:rsidR="00420145" w:rsidRPr="00951B9D">
        <w:rPr>
          <w:rFonts w:cs="Arial"/>
          <w:b w:val="0"/>
        </w:rPr>
        <w:t xml:space="preserve"> </w:t>
      </w:r>
      <w:r w:rsidR="007A048F" w:rsidRPr="00951B9D">
        <w:rPr>
          <w:rFonts w:cs="Arial"/>
          <w:b w:val="0"/>
        </w:rPr>
        <w:t xml:space="preserve">These expenses </w:t>
      </w:r>
      <w:r w:rsidR="00AB2C9F" w:rsidRPr="00951B9D">
        <w:rPr>
          <w:rFonts w:cs="Arial"/>
          <w:b w:val="0"/>
        </w:rPr>
        <w:t xml:space="preserve">include, but </w:t>
      </w:r>
      <w:r w:rsidR="00486318" w:rsidRPr="00951B9D">
        <w:rPr>
          <w:rFonts w:cs="Arial"/>
          <w:b w:val="0"/>
        </w:rPr>
        <w:t>were</w:t>
      </w:r>
      <w:r w:rsidR="00AB2C9F" w:rsidRPr="00951B9D">
        <w:rPr>
          <w:rFonts w:cs="Arial"/>
          <w:b w:val="0"/>
        </w:rPr>
        <w:t xml:space="preserve"> not limited to, outsourced program administration, marketing (i.e. website maintenance</w:t>
      </w:r>
      <w:r w:rsidR="00AB2C9F">
        <w:rPr>
          <w:rFonts w:cs="Arial"/>
          <w:b w:val="0"/>
        </w:rPr>
        <w:t xml:space="preserve"> and promotional items), </w:t>
      </w:r>
      <w:r w:rsidR="00261745">
        <w:rPr>
          <w:rFonts w:cs="Arial"/>
          <w:b w:val="0"/>
        </w:rPr>
        <w:t>Electric Utility Marketing Managers of Texas (</w:t>
      </w:r>
      <w:r w:rsidR="00AB2C9F">
        <w:rPr>
          <w:rFonts w:cs="Arial"/>
          <w:b w:val="0"/>
        </w:rPr>
        <w:t>EUMMOT</w:t>
      </w:r>
      <w:r w:rsidR="00261745">
        <w:rPr>
          <w:rFonts w:cs="Arial"/>
          <w:b w:val="0"/>
        </w:rPr>
        <w:t>) expenses</w:t>
      </w:r>
      <w:r w:rsidR="00AB2C9F">
        <w:rPr>
          <w:rFonts w:cs="Arial"/>
          <w:b w:val="0"/>
        </w:rPr>
        <w:t>, costs associated with regulatory filings</w:t>
      </w:r>
      <w:r w:rsidR="00DD71E1">
        <w:rPr>
          <w:rFonts w:cs="Arial"/>
          <w:b w:val="0"/>
        </w:rPr>
        <w:t>, and EM&amp;V administration</w:t>
      </w:r>
      <w:r w:rsidR="00AE133E">
        <w:rPr>
          <w:rFonts w:cs="Arial"/>
          <w:b w:val="0"/>
        </w:rPr>
        <w:t xml:space="preserve"> expenses outside of those associated with the PUCT-appointed EM&amp;V contractor. </w:t>
      </w:r>
    </w:p>
    <w:p w14:paraId="1BF448EA" w14:textId="77777777" w:rsidR="009256DE" w:rsidRPr="00723CF9" w:rsidRDefault="009256DE" w:rsidP="00911709">
      <w:pPr>
        <w:pStyle w:val="ListBullet"/>
        <w:spacing w:before="0" w:after="0" w:line="240" w:lineRule="auto"/>
        <w:rPr>
          <w:rFonts w:ascii="Arial" w:hAnsi="Arial" w:cs="Arial"/>
          <w:sz w:val="22"/>
          <w:szCs w:val="22"/>
        </w:rPr>
      </w:pPr>
    </w:p>
    <w:p w14:paraId="059E0716" w14:textId="77777777" w:rsidR="00B135E1" w:rsidRPr="00723CF9" w:rsidRDefault="00B135E1" w:rsidP="00911709">
      <w:pPr>
        <w:pStyle w:val="ListBullet"/>
        <w:spacing w:before="0" w:after="0" w:line="240" w:lineRule="auto"/>
        <w:jc w:val="both"/>
        <w:rPr>
          <w:rFonts w:ascii="Arial" w:hAnsi="Arial" w:cs="Arial"/>
          <w:b w:val="0"/>
          <w:sz w:val="22"/>
          <w:szCs w:val="22"/>
        </w:rPr>
      </w:pPr>
      <w:bookmarkStart w:id="41" w:name="_Ref192401252"/>
    </w:p>
    <w:p w14:paraId="1A8294D0" w14:textId="77777777" w:rsidR="00544ADC" w:rsidRPr="00EC1390" w:rsidRDefault="00544ADC" w:rsidP="00911709">
      <w:pPr>
        <w:pStyle w:val="Caption"/>
        <w:spacing w:before="0" w:after="0"/>
        <w:rPr>
          <w:rFonts w:cs="Arial"/>
          <w:color w:val="FF0000"/>
        </w:rPr>
        <w:sectPr w:rsidR="00544ADC" w:rsidRPr="00EC1390" w:rsidSect="0076766A">
          <w:footerReference w:type="first" r:id="rId27"/>
          <w:pgSz w:w="12240" w:h="15840" w:code="1"/>
          <w:pgMar w:top="576" w:right="1008" w:bottom="720" w:left="1152" w:header="720" w:footer="720" w:gutter="0"/>
          <w:cols w:space="720"/>
          <w:titlePg/>
        </w:sectPr>
      </w:pPr>
    </w:p>
    <w:p w14:paraId="0CC4F9FF" w14:textId="3275FA2C" w:rsidR="001C5F67" w:rsidRDefault="00922397" w:rsidP="00397CE8">
      <w:pPr>
        <w:pStyle w:val="Caption"/>
        <w:keepNext/>
        <w:keepLines/>
        <w:spacing w:before="0" w:after="0"/>
      </w:pPr>
      <w:bookmarkStart w:id="42" w:name="_Ref225585439"/>
      <w:r w:rsidRPr="002E471D">
        <w:lastRenderedPageBreak/>
        <w:t xml:space="preserve">Table </w:t>
      </w:r>
      <w:bookmarkEnd w:id="41"/>
      <w:bookmarkEnd w:id="42"/>
      <w:r w:rsidR="00D77C35">
        <w:t>10</w:t>
      </w:r>
      <w:r w:rsidRPr="002E471D">
        <w:t xml:space="preserve">: </w:t>
      </w:r>
      <w:r w:rsidR="00544ADC">
        <w:t xml:space="preserve"> </w:t>
      </w:r>
      <w:r w:rsidRPr="002E471D">
        <w:t xml:space="preserve">Program Funding for Calendar Year </w:t>
      </w:r>
      <w:r w:rsidR="00693020">
        <w:t>201</w:t>
      </w:r>
      <w:r w:rsidR="00D21711">
        <w:t>7</w:t>
      </w:r>
    </w:p>
    <w:p w14:paraId="655A365D" w14:textId="77777777" w:rsidR="00397CE8" w:rsidRPr="00397CE8" w:rsidRDefault="00397CE8" w:rsidP="00397CE8"/>
    <w:p w14:paraId="7BB76ADF" w14:textId="7D30D685" w:rsidR="001C5F67" w:rsidRDefault="00397CE8" w:rsidP="00911709">
      <w:pPr>
        <w:rPr>
          <w:b w:val="0"/>
          <w:sz w:val="20"/>
          <w:szCs w:val="20"/>
        </w:rPr>
      </w:pPr>
      <w:r w:rsidRPr="00397CE8">
        <w:rPr>
          <w:noProof/>
        </w:rPr>
        <w:drawing>
          <wp:inline distT="0" distB="0" distL="0" distR="0" wp14:anchorId="53731F57" wp14:editId="35A1045B">
            <wp:extent cx="8452485" cy="4946015"/>
            <wp:effectExtent l="0" t="0" r="571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52485" cy="4946015"/>
                    </a:xfrm>
                    <a:prstGeom prst="rect">
                      <a:avLst/>
                    </a:prstGeom>
                    <a:noFill/>
                    <a:ln>
                      <a:noFill/>
                    </a:ln>
                  </pic:spPr>
                </pic:pic>
              </a:graphicData>
            </a:graphic>
          </wp:inline>
        </w:drawing>
      </w:r>
    </w:p>
    <w:p w14:paraId="2423186C" w14:textId="77777777" w:rsidR="00FD2093" w:rsidRDefault="00FD2093" w:rsidP="00FD2093">
      <w:pPr>
        <w:pStyle w:val="BodyText"/>
        <w:spacing w:before="0" w:after="0" w:line="240" w:lineRule="auto"/>
        <w:rPr>
          <w:rFonts w:cs="Arial"/>
          <w:b w:val="0"/>
          <w:sz w:val="18"/>
          <w:szCs w:val="18"/>
        </w:rPr>
      </w:pPr>
    </w:p>
    <w:p w14:paraId="7E231D2C" w14:textId="41FD5136" w:rsidR="00FD2093" w:rsidRPr="00AB6B4C" w:rsidRDefault="00FD2093" w:rsidP="00FD2093">
      <w:pPr>
        <w:pStyle w:val="BodyText"/>
        <w:spacing w:before="0" w:after="0" w:line="240" w:lineRule="auto"/>
        <w:rPr>
          <w:rFonts w:cs="Arial"/>
          <w:b w:val="0"/>
          <w:sz w:val="18"/>
          <w:szCs w:val="18"/>
        </w:rPr>
      </w:pPr>
      <w:r>
        <w:rPr>
          <w:rFonts w:cs="Arial"/>
          <w:b w:val="0"/>
          <w:sz w:val="18"/>
          <w:szCs w:val="18"/>
        </w:rPr>
        <w:t>*Actual EECRF proceeding expenses of $124,718 consists of $108,017.12 in EPE proceeding expenses and $16,700.69 in municipal proceeding expenses.</w:t>
      </w:r>
    </w:p>
    <w:p w14:paraId="468BF8E7" w14:textId="77777777" w:rsidR="001C5F67" w:rsidRPr="00E53E72" w:rsidRDefault="001C5F67" w:rsidP="00911709">
      <w:pPr>
        <w:rPr>
          <w:b w:val="0"/>
          <w:sz w:val="20"/>
          <w:szCs w:val="20"/>
        </w:rPr>
      </w:pPr>
    </w:p>
    <w:p w14:paraId="02D8948E" w14:textId="2E215E28" w:rsidR="0088233F" w:rsidRDefault="00A42AE5" w:rsidP="007265D8">
      <w:r>
        <w:br w:type="page"/>
      </w:r>
      <w:r w:rsidR="0088233F" w:rsidRPr="002E471D">
        <w:lastRenderedPageBreak/>
        <w:t xml:space="preserve">Table </w:t>
      </w:r>
      <w:r w:rsidR="00D77C35">
        <w:t>11</w:t>
      </w:r>
      <w:r w:rsidR="0088233F" w:rsidRPr="002E471D">
        <w:t xml:space="preserve">: </w:t>
      </w:r>
      <w:r w:rsidR="0088233F">
        <w:t xml:space="preserve"> </w:t>
      </w:r>
      <w:r w:rsidR="0088233F" w:rsidRPr="002E471D">
        <w:t xml:space="preserve">Program </w:t>
      </w:r>
      <w:r w:rsidR="002C5271">
        <w:t>Comparison –</w:t>
      </w:r>
      <w:r w:rsidR="006D1B4B">
        <w:t xml:space="preserve"> </w:t>
      </w:r>
      <w:r w:rsidR="002C5271">
        <w:t>Budget to Actual Expenditures</w:t>
      </w:r>
    </w:p>
    <w:p w14:paraId="171149BD" w14:textId="77777777" w:rsidR="0048680F" w:rsidRDefault="0048680F" w:rsidP="007265D8"/>
    <w:p w14:paraId="70F8A24D" w14:textId="77777777" w:rsidR="00A42AE5" w:rsidRDefault="00A42AE5" w:rsidP="007265D8"/>
    <w:p w14:paraId="11581F34" w14:textId="391C3D49" w:rsidR="007E4021" w:rsidRDefault="00F76B9B" w:rsidP="00911709">
      <w:pPr>
        <w:rPr>
          <w:highlight w:val="yellow"/>
        </w:rPr>
      </w:pPr>
      <w:r w:rsidRPr="00D960E3">
        <w:rPr>
          <w:noProof/>
        </w:rPr>
        <w:drawing>
          <wp:inline distT="0" distB="0" distL="0" distR="0" wp14:anchorId="72D80C3F" wp14:editId="080EC15A">
            <wp:extent cx="8835390" cy="44551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5390" cy="4455160"/>
                    </a:xfrm>
                    <a:prstGeom prst="rect">
                      <a:avLst/>
                    </a:prstGeom>
                    <a:noFill/>
                    <a:ln>
                      <a:noFill/>
                    </a:ln>
                  </pic:spPr>
                </pic:pic>
              </a:graphicData>
            </a:graphic>
          </wp:inline>
        </w:drawing>
      </w:r>
      <w:bookmarkStart w:id="43" w:name="_GoBack"/>
      <w:bookmarkEnd w:id="43"/>
    </w:p>
    <w:p w14:paraId="42D0047C" w14:textId="77777777" w:rsidR="0048680F" w:rsidRDefault="0048680F" w:rsidP="00911709">
      <w:pPr>
        <w:rPr>
          <w:highlight w:val="yellow"/>
        </w:rPr>
      </w:pPr>
    </w:p>
    <w:p w14:paraId="7CB1BE5E" w14:textId="07D29295" w:rsidR="00544ADC" w:rsidRDefault="00544ADC" w:rsidP="00911709">
      <w:pPr>
        <w:rPr>
          <w:highlight w:val="yellow"/>
        </w:rPr>
        <w:sectPr w:rsidR="00544ADC" w:rsidSect="00B8096C">
          <w:headerReference w:type="default" r:id="rId30"/>
          <w:footerReference w:type="default" r:id="rId31"/>
          <w:headerReference w:type="first" r:id="rId32"/>
          <w:footerReference w:type="first" r:id="rId33"/>
          <w:pgSz w:w="15840" w:h="12240" w:orient="landscape" w:code="1"/>
          <w:pgMar w:top="1152" w:right="576" w:bottom="1008" w:left="720" w:header="720" w:footer="720" w:gutter="0"/>
          <w:cols w:space="720"/>
          <w:titlePg/>
          <w:docGrid w:linePitch="328"/>
        </w:sectPr>
      </w:pPr>
    </w:p>
    <w:p w14:paraId="49E109FE" w14:textId="51969D93" w:rsidR="00C30FC1" w:rsidRPr="000B6FC1" w:rsidRDefault="00B47E25" w:rsidP="00911709">
      <w:pPr>
        <w:pStyle w:val="Heading1"/>
        <w:keepNext w:val="0"/>
        <w:tabs>
          <w:tab w:val="clear" w:pos="360"/>
          <w:tab w:val="num" w:pos="720"/>
        </w:tabs>
        <w:spacing w:before="0" w:after="0"/>
        <w:rPr>
          <w:rFonts w:cs="Arial"/>
          <w:spacing w:val="0"/>
        </w:rPr>
      </w:pPr>
      <w:bookmarkStart w:id="44" w:name="_Toc509500766"/>
      <w:r w:rsidRPr="000B6FC1">
        <w:rPr>
          <w:rFonts w:cs="Arial"/>
          <w:spacing w:val="0"/>
        </w:rPr>
        <w:lastRenderedPageBreak/>
        <w:t>Program</w:t>
      </w:r>
      <w:r w:rsidR="006A7A1C" w:rsidRPr="000B6FC1">
        <w:rPr>
          <w:rFonts w:cs="Arial"/>
          <w:spacing w:val="0"/>
        </w:rPr>
        <w:t xml:space="preserve"> Results</w:t>
      </w:r>
      <w:r w:rsidR="00D55C3D">
        <w:rPr>
          <w:rFonts w:cs="Arial"/>
          <w:spacing w:val="0"/>
        </w:rPr>
        <w:t xml:space="preserve"> for MTPs</w:t>
      </w:r>
      <w:bookmarkEnd w:id="44"/>
      <w:r w:rsidR="00D55C3D">
        <w:rPr>
          <w:rFonts w:cs="Arial"/>
          <w:spacing w:val="0"/>
        </w:rPr>
        <w:t xml:space="preserve"> </w:t>
      </w:r>
    </w:p>
    <w:p w14:paraId="59493A33" w14:textId="77777777" w:rsidR="00466E30" w:rsidRPr="00981D9E" w:rsidRDefault="00466E30" w:rsidP="00911709"/>
    <w:p w14:paraId="694AAA11" w14:textId="77777777" w:rsidR="00466E30" w:rsidRPr="00E02468" w:rsidRDefault="00466E30" w:rsidP="00911709">
      <w:pPr>
        <w:pStyle w:val="Heading2"/>
        <w:keepNext w:val="0"/>
        <w:tabs>
          <w:tab w:val="num" w:pos="0"/>
        </w:tabs>
        <w:spacing w:before="0"/>
        <w:rPr>
          <w:rFonts w:cs="Arial"/>
          <w:spacing w:val="0"/>
        </w:rPr>
      </w:pPr>
      <w:bookmarkStart w:id="45" w:name="_Toc509500767"/>
      <w:r w:rsidRPr="00E02468">
        <w:rPr>
          <w:rFonts w:cs="Arial"/>
          <w:spacing w:val="0"/>
        </w:rPr>
        <w:t>Market Transformation</w:t>
      </w:r>
      <w:r w:rsidR="00D55C3D">
        <w:rPr>
          <w:rFonts w:cs="Arial"/>
          <w:spacing w:val="0"/>
        </w:rPr>
        <w:t xml:space="preserve"> Programs</w:t>
      </w:r>
      <w:bookmarkEnd w:id="45"/>
    </w:p>
    <w:p w14:paraId="706B2B75" w14:textId="77777777" w:rsidR="00141FD7" w:rsidRPr="000B6FC1" w:rsidRDefault="00141FD7" w:rsidP="00911709">
      <w:pPr>
        <w:pStyle w:val="Heading3"/>
        <w:keepNext w:val="0"/>
        <w:spacing w:before="0" w:after="0"/>
        <w:rPr>
          <w:rFonts w:cs="Arial"/>
        </w:rPr>
      </w:pPr>
      <w:r w:rsidRPr="000B6FC1">
        <w:rPr>
          <w:rFonts w:cs="Arial"/>
        </w:rPr>
        <w:t>Small Commercial Solutions MTP</w:t>
      </w:r>
    </w:p>
    <w:p w14:paraId="5A6F2D2D" w14:textId="77777777" w:rsidR="00141FD7" w:rsidRPr="000B6FC1" w:rsidRDefault="00141FD7" w:rsidP="00911709">
      <w:pPr>
        <w:pStyle w:val="BodyText"/>
        <w:spacing w:before="0" w:after="0" w:line="240" w:lineRule="auto"/>
        <w:rPr>
          <w:rFonts w:cs="Arial"/>
          <w:b w:val="0"/>
        </w:rPr>
      </w:pPr>
    </w:p>
    <w:p w14:paraId="7624F2FB" w14:textId="7B37B39E" w:rsidR="00626241" w:rsidRDefault="00A332B1" w:rsidP="00911709">
      <w:pPr>
        <w:pStyle w:val="BodyText"/>
        <w:spacing w:before="0" w:after="0" w:line="240" w:lineRule="auto"/>
        <w:rPr>
          <w:rFonts w:cs="Arial"/>
          <w:b w:val="0"/>
        </w:rPr>
      </w:pPr>
      <w:r>
        <w:rPr>
          <w:rFonts w:cs="Arial"/>
          <w:b w:val="0"/>
        </w:rPr>
        <w:t xml:space="preserve">In </w:t>
      </w:r>
      <w:r w:rsidR="00693020">
        <w:rPr>
          <w:rFonts w:cs="Arial"/>
          <w:b w:val="0"/>
        </w:rPr>
        <w:t>201</w:t>
      </w:r>
      <w:r w:rsidR="00E8504D">
        <w:rPr>
          <w:rFonts w:cs="Arial"/>
          <w:b w:val="0"/>
        </w:rPr>
        <w:t>7</w:t>
      </w:r>
      <w:r>
        <w:rPr>
          <w:rFonts w:cs="Arial"/>
          <w:b w:val="0"/>
        </w:rPr>
        <w:t>, the Small Commercial Solutions MTP provided customers</w:t>
      </w:r>
      <w:r w:rsidR="006524D8">
        <w:rPr>
          <w:rFonts w:cs="Arial"/>
          <w:b w:val="0"/>
        </w:rPr>
        <w:t xml:space="preserve"> and participating contractors wit</w:t>
      </w:r>
      <w:r w:rsidR="00626241">
        <w:rPr>
          <w:rFonts w:cs="Arial"/>
          <w:b w:val="0"/>
        </w:rPr>
        <w:t>h cash and non-cash incentives. This program target</w:t>
      </w:r>
      <w:r w:rsidR="00A4460F">
        <w:rPr>
          <w:rFonts w:cs="Arial"/>
          <w:b w:val="0"/>
        </w:rPr>
        <w:t>ed</w:t>
      </w:r>
      <w:r w:rsidR="00626241">
        <w:rPr>
          <w:rFonts w:cs="Arial"/>
          <w:b w:val="0"/>
        </w:rPr>
        <w:t xml:space="preserve"> commercial customers with a demand of less than 100 kW. This program focuse</w:t>
      </w:r>
      <w:r w:rsidR="00A4460F">
        <w:rPr>
          <w:rFonts w:cs="Arial"/>
          <w:b w:val="0"/>
        </w:rPr>
        <w:t>d</w:t>
      </w:r>
      <w:r w:rsidR="00626241">
        <w:rPr>
          <w:rFonts w:cs="Arial"/>
          <w:b w:val="0"/>
        </w:rPr>
        <w:t xml:space="preserve"> on improving the energy efficiency of small commercial facilities, as well as improving the installation practices of participating contractors.  </w:t>
      </w:r>
      <w:r w:rsidR="006524D8">
        <w:rPr>
          <w:rFonts w:cs="Arial"/>
          <w:b w:val="0"/>
        </w:rPr>
        <w:t xml:space="preserve">EPE contracted with a third-party program implementer to provide </w:t>
      </w:r>
      <w:r w:rsidR="00626241">
        <w:rPr>
          <w:rFonts w:cs="Arial"/>
          <w:b w:val="0"/>
        </w:rPr>
        <w:t xml:space="preserve">the </w:t>
      </w:r>
      <w:r w:rsidR="006524D8">
        <w:rPr>
          <w:rFonts w:cs="Arial"/>
          <w:b w:val="0"/>
        </w:rPr>
        <w:t xml:space="preserve">non-cash incentives such as </w:t>
      </w:r>
      <w:r w:rsidR="006524D8" w:rsidRPr="00981D9E">
        <w:rPr>
          <w:rFonts w:cs="Arial"/>
          <w:b w:val="0"/>
        </w:rPr>
        <w:t xml:space="preserve">technical assistance, </w:t>
      </w:r>
      <w:r w:rsidR="006524D8" w:rsidRPr="00A963D1">
        <w:rPr>
          <w:rFonts w:cs="Arial"/>
          <w:b w:val="0"/>
        </w:rPr>
        <w:t xml:space="preserve">education on energy efficiency projects, and communications services to participating customers and contractors. </w:t>
      </w:r>
    </w:p>
    <w:p w14:paraId="028A8D02" w14:textId="77777777" w:rsidR="00626241" w:rsidRDefault="00626241" w:rsidP="00911709">
      <w:pPr>
        <w:pStyle w:val="BodyText"/>
        <w:spacing w:before="0" w:after="0" w:line="240" w:lineRule="auto"/>
        <w:rPr>
          <w:rFonts w:cs="Arial"/>
          <w:b w:val="0"/>
        </w:rPr>
      </w:pPr>
    </w:p>
    <w:p w14:paraId="18504917" w14:textId="622246FD" w:rsidR="00141FD7" w:rsidRPr="00B853B2" w:rsidRDefault="004032D5" w:rsidP="00911709">
      <w:pPr>
        <w:pStyle w:val="BodyText"/>
        <w:spacing w:before="0" w:after="0" w:line="240" w:lineRule="auto"/>
        <w:rPr>
          <w:rFonts w:cs="Arial"/>
          <w:b w:val="0"/>
        </w:rPr>
      </w:pPr>
      <w:r w:rsidRPr="00605BFC">
        <w:rPr>
          <w:rFonts w:cs="Arial"/>
          <w:b w:val="0"/>
        </w:rPr>
        <w:t xml:space="preserve">The </w:t>
      </w:r>
      <w:r w:rsidR="00637512" w:rsidRPr="00605BFC">
        <w:rPr>
          <w:rFonts w:cs="Arial"/>
          <w:b w:val="0"/>
        </w:rPr>
        <w:t>201</w:t>
      </w:r>
      <w:r w:rsidR="00E8504D" w:rsidRPr="00605BFC">
        <w:rPr>
          <w:rFonts w:cs="Arial"/>
          <w:b w:val="0"/>
        </w:rPr>
        <w:t>7</w:t>
      </w:r>
      <w:r w:rsidR="00637512" w:rsidRPr="00605BFC">
        <w:rPr>
          <w:rFonts w:cs="Arial"/>
          <w:b w:val="0"/>
        </w:rPr>
        <w:t xml:space="preserve"> </w:t>
      </w:r>
      <w:r w:rsidR="00753768" w:rsidRPr="00605BFC">
        <w:rPr>
          <w:rFonts w:cs="Arial"/>
          <w:b w:val="0"/>
        </w:rPr>
        <w:t>projected savings</w:t>
      </w:r>
      <w:r w:rsidRPr="00605BFC">
        <w:rPr>
          <w:rFonts w:cs="Arial"/>
          <w:b w:val="0"/>
        </w:rPr>
        <w:t xml:space="preserve"> for this program was 7</w:t>
      </w:r>
      <w:r w:rsidR="00A83759" w:rsidRPr="00605BFC">
        <w:rPr>
          <w:rFonts w:cs="Arial"/>
          <w:b w:val="0"/>
        </w:rPr>
        <w:t>3</w:t>
      </w:r>
      <w:r w:rsidR="004420FF" w:rsidRPr="00605BFC">
        <w:rPr>
          <w:rFonts w:cs="Arial"/>
          <w:b w:val="0"/>
        </w:rPr>
        <w:t>0</w:t>
      </w:r>
      <w:r w:rsidRPr="00605BFC">
        <w:rPr>
          <w:rFonts w:cs="Arial"/>
          <w:b w:val="0"/>
        </w:rPr>
        <w:t xml:space="preserve"> kW.</w:t>
      </w:r>
      <w:r w:rsidRPr="00615B1C">
        <w:rPr>
          <w:rFonts w:cs="Arial"/>
          <w:b w:val="0"/>
        </w:rPr>
        <w:t xml:space="preserve"> </w:t>
      </w:r>
      <w:r w:rsidR="00613164" w:rsidRPr="00615B1C">
        <w:rPr>
          <w:rFonts w:cs="Arial"/>
          <w:b w:val="0"/>
        </w:rPr>
        <w:t>T</w:t>
      </w:r>
      <w:r w:rsidR="00613164" w:rsidRPr="00B853B2">
        <w:rPr>
          <w:rFonts w:cs="Arial"/>
          <w:b w:val="0"/>
        </w:rPr>
        <w:t xml:space="preserve">here were </w:t>
      </w:r>
      <w:r w:rsidR="0048680F" w:rsidRPr="00B853B2">
        <w:rPr>
          <w:rFonts w:cs="Arial"/>
          <w:b w:val="0"/>
        </w:rPr>
        <w:t>350</w:t>
      </w:r>
      <w:r w:rsidR="00613164" w:rsidRPr="00B853B2">
        <w:rPr>
          <w:rFonts w:cs="Arial"/>
          <w:b w:val="0"/>
        </w:rPr>
        <w:t xml:space="preserve"> projects completed in th</w:t>
      </w:r>
      <w:r w:rsidR="00A332B1" w:rsidRPr="00B853B2">
        <w:rPr>
          <w:rFonts w:cs="Arial"/>
          <w:b w:val="0"/>
        </w:rPr>
        <w:t xml:space="preserve">e Small Commercial Solutions MTP during </w:t>
      </w:r>
      <w:r w:rsidR="00637512" w:rsidRPr="00B853B2">
        <w:rPr>
          <w:rFonts w:cs="Arial"/>
          <w:b w:val="0"/>
        </w:rPr>
        <w:t>201</w:t>
      </w:r>
      <w:r w:rsidR="00E8504D" w:rsidRPr="00B853B2">
        <w:rPr>
          <w:rFonts w:cs="Arial"/>
          <w:b w:val="0"/>
        </w:rPr>
        <w:t>7</w:t>
      </w:r>
      <w:r w:rsidR="00A332B1" w:rsidRPr="00B853B2">
        <w:rPr>
          <w:rFonts w:cs="Arial"/>
          <w:b w:val="0"/>
        </w:rPr>
        <w:t>.  These projects</w:t>
      </w:r>
      <w:r w:rsidR="00141FD7" w:rsidRPr="00B853B2">
        <w:rPr>
          <w:rFonts w:cs="Arial"/>
          <w:b w:val="0"/>
        </w:rPr>
        <w:t xml:space="preserve"> reduced demand by </w:t>
      </w:r>
      <w:r w:rsidR="00971824" w:rsidRPr="00B853B2">
        <w:rPr>
          <w:rFonts w:cs="Arial"/>
          <w:b w:val="0"/>
        </w:rPr>
        <w:t>746</w:t>
      </w:r>
      <w:r w:rsidR="001F66C1" w:rsidRPr="00B853B2">
        <w:rPr>
          <w:rFonts w:cs="Arial"/>
          <w:b w:val="0"/>
        </w:rPr>
        <w:t xml:space="preserve"> </w:t>
      </w:r>
      <w:r w:rsidR="00141FD7" w:rsidRPr="00B853B2">
        <w:rPr>
          <w:rFonts w:cs="Arial"/>
          <w:b w:val="0"/>
        </w:rPr>
        <w:t xml:space="preserve">kW and saved </w:t>
      </w:r>
      <w:r w:rsidR="00B853B2" w:rsidRPr="00B853B2">
        <w:rPr>
          <w:rFonts w:cs="Arial"/>
          <w:b w:val="0"/>
        </w:rPr>
        <w:t>3,687,641</w:t>
      </w:r>
      <w:r w:rsidR="00F7107D" w:rsidRPr="00B853B2">
        <w:rPr>
          <w:rFonts w:cs="Arial"/>
          <w:b w:val="0"/>
        </w:rPr>
        <w:t xml:space="preserve"> </w:t>
      </w:r>
      <w:r w:rsidR="00141FD7" w:rsidRPr="00B853B2">
        <w:rPr>
          <w:rFonts w:cs="Arial"/>
          <w:b w:val="0"/>
        </w:rPr>
        <w:t>kWh</w:t>
      </w:r>
      <w:r w:rsidR="006524D8" w:rsidRPr="00B853B2">
        <w:rPr>
          <w:rFonts w:cs="Arial"/>
          <w:b w:val="0"/>
        </w:rPr>
        <w:t xml:space="preserve"> in energy</w:t>
      </w:r>
      <w:r w:rsidR="00141FD7" w:rsidRPr="00B853B2">
        <w:rPr>
          <w:rFonts w:cs="Arial"/>
          <w:b w:val="0"/>
        </w:rPr>
        <w:t xml:space="preserve">. </w:t>
      </w:r>
    </w:p>
    <w:p w14:paraId="5B10B625" w14:textId="77777777" w:rsidR="00E02468" w:rsidRPr="00B853B2" w:rsidRDefault="00E02468" w:rsidP="00911709">
      <w:pPr>
        <w:pStyle w:val="BodyText"/>
        <w:spacing w:before="0" w:after="0" w:line="240" w:lineRule="auto"/>
        <w:rPr>
          <w:rFonts w:cs="Arial"/>
          <w:b w:val="0"/>
        </w:rPr>
      </w:pPr>
    </w:p>
    <w:p w14:paraId="2B28A287" w14:textId="77777777" w:rsidR="00C30FC1" w:rsidRPr="00B853B2" w:rsidRDefault="00821EC6" w:rsidP="00911709">
      <w:pPr>
        <w:pStyle w:val="Heading3"/>
        <w:keepNext w:val="0"/>
        <w:spacing w:before="0" w:after="0"/>
        <w:rPr>
          <w:rFonts w:cs="Arial"/>
        </w:rPr>
      </w:pPr>
      <w:r w:rsidRPr="00B853B2">
        <w:rPr>
          <w:rFonts w:cs="Arial"/>
        </w:rPr>
        <w:t xml:space="preserve">Large </w:t>
      </w:r>
      <w:r w:rsidR="00F7107D" w:rsidRPr="00B853B2">
        <w:rPr>
          <w:rFonts w:cs="Arial"/>
        </w:rPr>
        <w:t xml:space="preserve">C&amp;I </w:t>
      </w:r>
      <w:r w:rsidRPr="00B853B2">
        <w:rPr>
          <w:rFonts w:cs="Arial"/>
        </w:rPr>
        <w:t xml:space="preserve">Solutions </w:t>
      </w:r>
      <w:r w:rsidR="00697BA8" w:rsidRPr="00B853B2">
        <w:rPr>
          <w:rFonts w:cs="Arial"/>
        </w:rPr>
        <w:t>MTP</w:t>
      </w:r>
    </w:p>
    <w:p w14:paraId="50EFDCE6" w14:textId="77777777" w:rsidR="000D3596" w:rsidRPr="00B853B2" w:rsidRDefault="000D3596" w:rsidP="00911709">
      <w:pPr>
        <w:pStyle w:val="BodyText"/>
        <w:spacing w:before="0" w:after="0" w:line="240" w:lineRule="auto"/>
        <w:rPr>
          <w:rFonts w:cs="Arial"/>
          <w:b w:val="0"/>
        </w:rPr>
      </w:pPr>
    </w:p>
    <w:p w14:paraId="1CFA44D0" w14:textId="36C6CFF6" w:rsidR="004677B4" w:rsidRPr="00B853B2" w:rsidRDefault="00C07192" w:rsidP="00911709">
      <w:pPr>
        <w:pStyle w:val="BodyText"/>
        <w:spacing w:before="0" w:after="0" w:line="240" w:lineRule="auto"/>
        <w:rPr>
          <w:rFonts w:cs="Arial"/>
          <w:b w:val="0"/>
        </w:rPr>
      </w:pPr>
      <w:r w:rsidRPr="00B853B2">
        <w:rPr>
          <w:rFonts w:cs="Arial"/>
          <w:b w:val="0"/>
        </w:rPr>
        <w:t>T</w:t>
      </w:r>
      <w:r w:rsidR="004677B4" w:rsidRPr="00B853B2">
        <w:rPr>
          <w:rFonts w:cs="Arial"/>
          <w:b w:val="0"/>
        </w:rPr>
        <w:t>he Large C</w:t>
      </w:r>
      <w:r w:rsidR="00F7107D" w:rsidRPr="00B853B2">
        <w:rPr>
          <w:rFonts w:cs="Arial"/>
          <w:b w:val="0"/>
        </w:rPr>
        <w:t>&amp;I</w:t>
      </w:r>
      <w:r w:rsidR="004677B4" w:rsidRPr="00B853B2">
        <w:rPr>
          <w:rFonts w:cs="Arial"/>
          <w:b w:val="0"/>
        </w:rPr>
        <w:t xml:space="preserve"> Solutions MTP was established to test a solutions-based approach toward garnering peak kW savings among large commercial customers. </w:t>
      </w:r>
      <w:r w:rsidR="00243932" w:rsidRPr="00B853B2">
        <w:rPr>
          <w:rFonts w:cs="Arial"/>
          <w:b w:val="0"/>
        </w:rPr>
        <w:t xml:space="preserve">This program targeted commercial customers with a demand of equal to or greater than 100 kW. </w:t>
      </w:r>
      <w:r w:rsidR="004677B4" w:rsidRPr="00B853B2">
        <w:rPr>
          <w:rFonts w:cs="Arial"/>
          <w:b w:val="0"/>
        </w:rPr>
        <w:t xml:space="preserve">Key components of the “solutions” approach include: EPE acting as a third-party unbiased player to assist </w:t>
      </w:r>
      <w:r w:rsidR="00243932" w:rsidRPr="00B853B2">
        <w:rPr>
          <w:rFonts w:cs="Arial"/>
          <w:b w:val="0"/>
        </w:rPr>
        <w:t xml:space="preserve">commercial </w:t>
      </w:r>
      <w:r w:rsidR="004677B4" w:rsidRPr="00B853B2">
        <w:rPr>
          <w:rFonts w:cs="Arial"/>
          <w:b w:val="0"/>
        </w:rPr>
        <w:t xml:space="preserve">customers in identifying energy efficiency opportunities, realizing the financial benefits associated with such opportunities, </w:t>
      </w:r>
      <w:r w:rsidR="00243932" w:rsidRPr="00B853B2">
        <w:rPr>
          <w:rFonts w:cs="Arial"/>
          <w:b w:val="0"/>
        </w:rPr>
        <w:t xml:space="preserve">assisting with the </w:t>
      </w:r>
      <w:r w:rsidR="004677B4" w:rsidRPr="00B853B2">
        <w:rPr>
          <w:rFonts w:cs="Arial"/>
          <w:b w:val="0"/>
        </w:rPr>
        <w:t>evaluati</w:t>
      </w:r>
      <w:r w:rsidR="00243932" w:rsidRPr="00B853B2">
        <w:rPr>
          <w:rFonts w:cs="Arial"/>
          <w:b w:val="0"/>
        </w:rPr>
        <w:t>on of</w:t>
      </w:r>
      <w:r w:rsidR="004677B4" w:rsidRPr="00B853B2">
        <w:rPr>
          <w:rFonts w:cs="Arial"/>
          <w:b w:val="0"/>
        </w:rPr>
        <w:t xml:space="preserve"> contractor bids, and conveying the social and financial benefits by way of internal and communit</w:t>
      </w:r>
      <w:r w:rsidR="00D32F20" w:rsidRPr="00B853B2">
        <w:rPr>
          <w:rFonts w:cs="Arial"/>
          <w:b w:val="0"/>
        </w:rPr>
        <w:t xml:space="preserve">y-wide communications efforts. </w:t>
      </w:r>
      <w:r w:rsidR="004677B4" w:rsidRPr="00B853B2">
        <w:rPr>
          <w:rFonts w:cs="Arial"/>
          <w:b w:val="0"/>
        </w:rPr>
        <w:t>Besides peak demand reduction,</w:t>
      </w:r>
      <w:r w:rsidR="00D32F20" w:rsidRPr="00B853B2">
        <w:rPr>
          <w:rFonts w:cs="Arial"/>
          <w:b w:val="0"/>
        </w:rPr>
        <w:t xml:space="preserve"> this program</w:t>
      </w:r>
      <w:r w:rsidR="004677B4" w:rsidRPr="00B853B2">
        <w:rPr>
          <w:rFonts w:cs="Arial"/>
          <w:b w:val="0"/>
        </w:rPr>
        <w:t xml:space="preserve"> has also </w:t>
      </w:r>
      <w:r w:rsidR="00243932" w:rsidRPr="00B853B2">
        <w:rPr>
          <w:rFonts w:cs="Arial"/>
          <w:b w:val="0"/>
        </w:rPr>
        <w:t xml:space="preserve">had </w:t>
      </w:r>
      <w:r w:rsidR="004677B4" w:rsidRPr="00B853B2">
        <w:rPr>
          <w:rFonts w:cs="Arial"/>
          <w:b w:val="0"/>
        </w:rPr>
        <w:t>success in reaching out to the contracting community, including affiliated architectural and engineering firms.</w:t>
      </w:r>
    </w:p>
    <w:p w14:paraId="482EB08F" w14:textId="77777777" w:rsidR="004677B4" w:rsidRPr="00B853B2" w:rsidRDefault="004677B4" w:rsidP="00911709">
      <w:pPr>
        <w:pStyle w:val="BodyText"/>
        <w:spacing w:before="0" w:after="0" w:line="240" w:lineRule="auto"/>
        <w:rPr>
          <w:rFonts w:cs="Arial"/>
          <w:b w:val="0"/>
        </w:rPr>
      </w:pPr>
    </w:p>
    <w:p w14:paraId="4238455A" w14:textId="159317EF" w:rsidR="004032D5" w:rsidRPr="00B853B2" w:rsidRDefault="004677B4" w:rsidP="00911709">
      <w:pPr>
        <w:pStyle w:val="BodyText"/>
        <w:spacing w:before="0" w:after="0" w:line="240" w:lineRule="auto"/>
        <w:rPr>
          <w:rFonts w:cs="Arial"/>
          <w:b w:val="0"/>
        </w:rPr>
      </w:pPr>
      <w:r w:rsidRPr="00B853B2">
        <w:rPr>
          <w:rFonts w:cs="Arial"/>
          <w:b w:val="0"/>
        </w:rPr>
        <w:t xml:space="preserve">In </w:t>
      </w:r>
      <w:r w:rsidR="006B01A2" w:rsidRPr="00B853B2">
        <w:rPr>
          <w:rFonts w:cs="Arial"/>
          <w:b w:val="0"/>
        </w:rPr>
        <w:t>201</w:t>
      </w:r>
      <w:r w:rsidR="00E8504D" w:rsidRPr="00B853B2">
        <w:rPr>
          <w:rFonts w:cs="Arial"/>
          <w:b w:val="0"/>
        </w:rPr>
        <w:t>7</w:t>
      </w:r>
      <w:r w:rsidRPr="00B853B2">
        <w:rPr>
          <w:rFonts w:cs="Arial"/>
          <w:b w:val="0"/>
        </w:rPr>
        <w:t>, the Large C</w:t>
      </w:r>
      <w:r w:rsidR="00F7107D" w:rsidRPr="00B853B2">
        <w:rPr>
          <w:rFonts w:cs="Arial"/>
          <w:b w:val="0"/>
        </w:rPr>
        <w:t>&amp;I</w:t>
      </w:r>
      <w:r w:rsidRPr="00B853B2">
        <w:rPr>
          <w:rFonts w:cs="Arial"/>
          <w:b w:val="0"/>
        </w:rPr>
        <w:t xml:space="preserve"> Solutions MTP provided customers with cash and non-cash incentives. As with the Small Commercial Solutions MTP, EPE contracted with a third-party program implementer to provide non-cash incentives such as technical assistance, education on energy efficiency projects, measurement and verification, and communications services to participating customers. </w:t>
      </w:r>
    </w:p>
    <w:p w14:paraId="03C95AA7" w14:textId="77777777" w:rsidR="004032D5" w:rsidRPr="00B853B2" w:rsidRDefault="004032D5" w:rsidP="00911709">
      <w:pPr>
        <w:pStyle w:val="BodyText"/>
        <w:spacing w:before="0" w:after="0" w:line="240" w:lineRule="auto"/>
        <w:rPr>
          <w:rFonts w:cs="Arial"/>
          <w:b w:val="0"/>
        </w:rPr>
      </w:pPr>
    </w:p>
    <w:p w14:paraId="5EA75AAF" w14:textId="3244FF2C" w:rsidR="004677B4" w:rsidRPr="00B853B2" w:rsidRDefault="004032D5" w:rsidP="00911709">
      <w:pPr>
        <w:pStyle w:val="BodyText"/>
        <w:spacing w:before="0" w:after="0" w:line="240" w:lineRule="auto"/>
        <w:rPr>
          <w:rFonts w:cs="Arial"/>
          <w:b w:val="0"/>
        </w:rPr>
      </w:pPr>
      <w:r w:rsidRPr="00B853B2">
        <w:rPr>
          <w:rFonts w:cs="Arial"/>
          <w:b w:val="0"/>
        </w:rPr>
        <w:t xml:space="preserve">The </w:t>
      </w:r>
      <w:r w:rsidR="006B01A2" w:rsidRPr="00B853B2">
        <w:rPr>
          <w:rFonts w:cs="Arial"/>
          <w:b w:val="0"/>
        </w:rPr>
        <w:t>201</w:t>
      </w:r>
      <w:r w:rsidR="00E8504D" w:rsidRPr="00B853B2">
        <w:rPr>
          <w:rFonts w:cs="Arial"/>
          <w:b w:val="0"/>
        </w:rPr>
        <w:t>7</w:t>
      </w:r>
      <w:r w:rsidR="006B01A2" w:rsidRPr="00B853B2">
        <w:rPr>
          <w:rFonts w:cs="Arial"/>
          <w:b w:val="0"/>
        </w:rPr>
        <w:t xml:space="preserve"> </w:t>
      </w:r>
      <w:r w:rsidR="00971824" w:rsidRPr="00B853B2">
        <w:rPr>
          <w:rFonts w:cs="Arial"/>
          <w:b w:val="0"/>
        </w:rPr>
        <w:t>projected savings</w:t>
      </w:r>
      <w:r w:rsidRPr="00B853B2">
        <w:rPr>
          <w:rFonts w:cs="Arial"/>
          <w:b w:val="0"/>
        </w:rPr>
        <w:t xml:space="preserve"> for this program was </w:t>
      </w:r>
      <w:r w:rsidR="00B77C08" w:rsidRPr="00B853B2">
        <w:rPr>
          <w:rFonts w:cs="Arial"/>
          <w:b w:val="0"/>
        </w:rPr>
        <w:t>2,011</w:t>
      </w:r>
      <w:r w:rsidRPr="00B853B2">
        <w:rPr>
          <w:rFonts w:cs="Arial"/>
          <w:b w:val="0"/>
        </w:rPr>
        <w:t xml:space="preserve"> kW. </w:t>
      </w:r>
      <w:r w:rsidR="00613164" w:rsidRPr="00B853B2">
        <w:rPr>
          <w:rFonts w:cs="Arial"/>
          <w:b w:val="0"/>
        </w:rPr>
        <w:t xml:space="preserve">There were </w:t>
      </w:r>
      <w:r w:rsidR="0048680F" w:rsidRPr="00B853B2">
        <w:rPr>
          <w:rFonts w:cs="Arial"/>
          <w:b w:val="0"/>
        </w:rPr>
        <w:t>210</w:t>
      </w:r>
      <w:r w:rsidR="00613164" w:rsidRPr="00B853B2">
        <w:rPr>
          <w:rFonts w:cs="Arial"/>
          <w:b w:val="0"/>
        </w:rPr>
        <w:t xml:space="preserve"> projects completed in t</w:t>
      </w:r>
      <w:r w:rsidR="004677B4" w:rsidRPr="00B853B2">
        <w:rPr>
          <w:rFonts w:cs="Arial"/>
          <w:b w:val="0"/>
        </w:rPr>
        <w:t xml:space="preserve">he </w:t>
      </w:r>
      <w:r w:rsidR="00F7107D" w:rsidRPr="00B853B2">
        <w:rPr>
          <w:rFonts w:cs="Arial"/>
          <w:b w:val="0"/>
        </w:rPr>
        <w:t>Large C&amp;I</w:t>
      </w:r>
      <w:r w:rsidR="004677B4" w:rsidRPr="00B853B2">
        <w:rPr>
          <w:rFonts w:cs="Arial"/>
          <w:b w:val="0"/>
        </w:rPr>
        <w:t xml:space="preserve"> Solutions MTP during </w:t>
      </w:r>
      <w:r w:rsidR="006B01A2" w:rsidRPr="00B853B2">
        <w:rPr>
          <w:rFonts w:cs="Arial"/>
          <w:b w:val="0"/>
        </w:rPr>
        <w:t>201</w:t>
      </w:r>
      <w:r w:rsidR="00E8504D" w:rsidRPr="00B853B2">
        <w:rPr>
          <w:rFonts w:cs="Arial"/>
          <w:b w:val="0"/>
        </w:rPr>
        <w:t>7</w:t>
      </w:r>
      <w:r w:rsidR="006B01A2" w:rsidRPr="00B853B2">
        <w:rPr>
          <w:rFonts w:cs="Arial"/>
          <w:b w:val="0"/>
        </w:rPr>
        <w:t xml:space="preserve"> </w:t>
      </w:r>
      <w:r w:rsidR="00F7107D" w:rsidRPr="00B853B2">
        <w:rPr>
          <w:rFonts w:cs="Arial"/>
          <w:b w:val="0"/>
        </w:rPr>
        <w:t>that</w:t>
      </w:r>
      <w:r w:rsidR="004677B4" w:rsidRPr="00B853B2">
        <w:rPr>
          <w:rFonts w:cs="Arial"/>
          <w:b w:val="0"/>
        </w:rPr>
        <w:t xml:space="preserve"> reduced demand by </w:t>
      </w:r>
      <w:r w:rsidR="0048680F" w:rsidRPr="00B853B2">
        <w:rPr>
          <w:rFonts w:cs="Arial"/>
          <w:b w:val="0"/>
        </w:rPr>
        <w:t>2,073</w:t>
      </w:r>
      <w:r w:rsidR="004677B4" w:rsidRPr="00B853B2">
        <w:rPr>
          <w:rFonts w:cs="Arial"/>
          <w:b w:val="0"/>
        </w:rPr>
        <w:t xml:space="preserve"> kW and saved </w:t>
      </w:r>
      <w:r w:rsidR="0048680F" w:rsidRPr="00B853B2">
        <w:rPr>
          <w:rFonts w:cs="Arial"/>
          <w:b w:val="0"/>
        </w:rPr>
        <w:t>11,230,30</w:t>
      </w:r>
      <w:r w:rsidR="00B853B2" w:rsidRPr="00B853B2">
        <w:rPr>
          <w:rFonts w:cs="Arial"/>
          <w:b w:val="0"/>
        </w:rPr>
        <w:t>7</w:t>
      </w:r>
      <w:r w:rsidR="004677B4" w:rsidRPr="00B853B2">
        <w:rPr>
          <w:rFonts w:cs="Arial"/>
          <w:b w:val="0"/>
        </w:rPr>
        <w:t xml:space="preserve"> kWh in energy.</w:t>
      </w:r>
      <w:r w:rsidRPr="00B853B2">
        <w:rPr>
          <w:rFonts w:cs="Arial"/>
          <w:b w:val="0"/>
        </w:rPr>
        <w:t xml:space="preserve"> </w:t>
      </w:r>
    </w:p>
    <w:p w14:paraId="554ED73F" w14:textId="77777777" w:rsidR="00C30FC1" w:rsidRPr="00B853B2" w:rsidRDefault="00C30FC1" w:rsidP="00911709">
      <w:pPr>
        <w:pStyle w:val="BodyText"/>
        <w:spacing w:before="0" w:after="0" w:line="240" w:lineRule="auto"/>
        <w:rPr>
          <w:rFonts w:cs="Arial"/>
          <w:b w:val="0"/>
        </w:rPr>
      </w:pPr>
    </w:p>
    <w:p w14:paraId="4CA46666" w14:textId="77777777" w:rsidR="008545CC" w:rsidRPr="000B6FC1" w:rsidRDefault="008545CC" w:rsidP="00911709">
      <w:pPr>
        <w:pStyle w:val="Heading3"/>
        <w:spacing w:before="0" w:after="0"/>
      </w:pPr>
      <w:r w:rsidRPr="00B853B2">
        <w:t>Texas SCORE MTP</w:t>
      </w:r>
      <w:r w:rsidRPr="000B6FC1">
        <w:t xml:space="preserve"> </w:t>
      </w:r>
    </w:p>
    <w:p w14:paraId="59F94114" w14:textId="77777777" w:rsidR="008545CC" w:rsidRDefault="008545CC" w:rsidP="00911709">
      <w:pPr>
        <w:pStyle w:val="BodyText"/>
        <w:spacing w:before="0" w:after="0" w:line="240" w:lineRule="auto"/>
        <w:rPr>
          <w:rFonts w:cs="Arial"/>
          <w:b w:val="0"/>
        </w:rPr>
      </w:pPr>
    </w:p>
    <w:p w14:paraId="4A4276EE" w14:textId="0D4D11B8" w:rsidR="00B85661" w:rsidRDefault="00E327CA" w:rsidP="00911709">
      <w:pPr>
        <w:pStyle w:val="BodyText"/>
        <w:spacing w:before="0" w:after="0" w:line="240" w:lineRule="auto"/>
        <w:rPr>
          <w:rFonts w:cs="Arial"/>
          <w:b w:val="0"/>
        </w:rPr>
      </w:pPr>
      <w:r>
        <w:rPr>
          <w:rFonts w:cs="Arial"/>
          <w:b w:val="0"/>
        </w:rPr>
        <w:t>As with the previous programs, t</w:t>
      </w:r>
      <w:r w:rsidR="008545CC">
        <w:rPr>
          <w:rFonts w:cs="Arial"/>
          <w:b w:val="0"/>
        </w:rPr>
        <w:t xml:space="preserve">he </w:t>
      </w:r>
      <w:r w:rsidR="006B01A2">
        <w:rPr>
          <w:rFonts w:cs="Arial"/>
          <w:b w:val="0"/>
        </w:rPr>
        <w:t>201</w:t>
      </w:r>
      <w:r w:rsidR="00E8504D">
        <w:rPr>
          <w:rFonts w:cs="Arial"/>
          <w:b w:val="0"/>
        </w:rPr>
        <w:t>7</w:t>
      </w:r>
      <w:r w:rsidR="006B01A2">
        <w:rPr>
          <w:rFonts w:cs="Arial"/>
          <w:b w:val="0"/>
        </w:rPr>
        <w:t xml:space="preserve"> </w:t>
      </w:r>
      <w:r w:rsidR="008545CC" w:rsidRPr="000B6FC1">
        <w:rPr>
          <w:rFonts w:cs="Arial"/>
          <w:b w:val="0"/>
        </w:rPr>
        <w:t xml:space="preserve">Texas SCORE MTP </w:t>
      </w:r>
      <w:r>
        <w:rPr>
          <w:rFonts w:cs="Arial"/>
          <w:b w:val="0"/>
        </w:rPr>
        <w:t xml:space="preserve">provided customers with cash and non-cash incentives. </w:t>
      </w:r>
      <w:r w:rsidR="001B73B3">
        <w:rPr>
          <w:rFonts w:cs="Arial"/>
          <w:b w:val="0"/>
        </w:rPr>
        <w:t>This program target</w:t>
      </w:r>
      <w:r w:rsidR="00A4460F">
        <w:rPr>
          <w:rFonts w:cs="Arial"/>
          <w:b w:val="0"/>
        </w:rPr>
        <w:t>ed</w:t>
      </w:r>
      <w:r w:rsidR="001B73B3">
        <w:rPr>
          <w:rFonts w:cs="Arial"/>
          <w:b w:val="0"/>
        </w:rPr>
        <w:t xml:space="preserve"> schools</w:t>
      </w:r>
      <w:r w:rsidR="00A4460F">
        <w:rPr>
          <w:rFonts w:cs="Arial"/>
          <w:b w:val="0"/>
        </w:rPr>
        <w:t xml:space="preserve"> districts, higher educational facilities</w:t>
      </w:r>
      <w:r w:rsidR="001B73B3">
        <w:rPr>
          <w:rFonts w:cs="Arial"/>
          <w:b w:val="0"/>
        </w:rPr>
        <w:t xml:space="preserve"> and local governmental entities. </w:t>
      </w:r>
      <w:r w:rsidR="00D32F20">
        <w:rPr>
          <w:rFonts w:cs="Arial"/>
          <w:b w:val="0"/>
        </w:rPr>
        <w:t xml:space="preserve">EPE recognized that </w:t>
      </w:r>
      <w:r w:rsidR="00745128">
        <w:rPr>
          <w:rFonts w:cs="Arial"/>
          <w:b w:val="0"/>
        </w:rPr>
        <w:t>many</w:t>
      </w:r>
      <w:r w:rsidR="00D32F20">
        <w:rPr>
          <w:rFonts w:cs="Arial"/>
          <w:b w:val="0"/>
        </w:rPr>
        <w:t xml:space="preserve"> school districts and local governments lack the technical knowledge, first-hand experience, and management decision-making processes that are necessary for identifying, prioritizing and completing projects that improve their facilities’ energy performance and reduce operating costs</w:t>
      </w:r>
      <w:r w:rsidR="00A4460F">
        <w:rPr>
          <w:rFonts w:cs="Arial"/>
          <w:b w:val="0"/>
        </w:rPr>
        <w:t xml:space="preserve">. This program helped these customers identify, prioritize, budget, and complete energy efficiency projects. </w:t>
      </w:r>
      <w:r>
        <w:rPr>
          <w:rFonts w:cs="Arial"/>
          <w:b w:val="0"/>
        </w:rPr>
        <w:t xml:space="preserve">EPE contracted with a third-party program implementer to provide non-cash incentives such as benchmarking, </w:t>
      </w:r>
      <w:r w:rsidRPr="00981D9E">
        <w:rPr>
          <w:rFonts w:cs="Arial"/>
          <w:b w:val="0"/>
        </w:rPr>
        <w:t xml:space="preserve">technical assistance, education on energy efficiency projects, </w:t>
      </w:r>
      <w:r>
        <w:rPr>
          <w:rFonts w:cs="Arial"/>
          <w:b w:val="0"/>
        </w:rPr>
        <w:t>and</w:t>
      </w:r>
      <w:r w:rsidRPr="00981D9E">
        <w:rPr>
          <w:rFonts w:cs="Arial"/>
          <w:b w:val="0"/>
        </w:rPr>
        <w:t xml:space="preserve"> communications services</w:t>
      </w:r>
      <w:r>
        <w:rPr>
          <w:rFonts w:cs="Arial"/>
          <w:b w:val="0"/>
        </w:rPr>
        <w:t xml:space="preserve"> to participating customers. </w:t>
      </w:r>
    </w:p>
    <w:p w14:paraId="72D95A0E" w14:textId="77777777" w:rsidR="00B85661" w:rsidRDefault="00B85661" w:rsidP="00911709">
      <w:pPr>
        <w:pStyle w:val="BodyText"/>
        <w:spacing w:before="0" w:after="0" w:line="240" w:lineRule="auto"/>
        <w:rPr>
          <w:rFonts w:cs="Arial"/>
          <w:b w:val="0"/>
        </w:rPr>
      </w:pPr>
    </w:p>
    <w:p w14:paraId="1760C3E0" w14:textId="2BD241E7" w:rsidR="008545CC" w:rsidRDefault="00B85661" w:rsidP="00911709">
      <w:pPr>
        <w:pStyle w:val="BodyText"/>
        <w:spacing w:before="0" w:after="0" w:line="240" w:lineRule="auto"/>
        <w:rPr>
          <w:rFonts w:cs="Arial"/>
          <w:b w:val="0"/>
        </w:rPr>
      </w:pPr>
      <w:r w:rsidRPr="00615B1C">
        <w:rPr>
          <w:rFonts w:cs="Arial"/>
          <w:b w:val="0"/>
        </w:rPr>
        <w:t xml:space="preserve">The </w:t>
      </w:r>
      <w:r w:rsidR="006B01A2" w:rsidRPr="00615B1C">
        <w:rPr>
          <w:rFonts w:cs="Arial"/>
          <w:b w:val="0"/>
        </w:rPr>
        <w:t>201</w:t>
      </w:r>
      <w:r w:rsidR="00E8504D">
        <w:rPr>
          <w:rFonts w:cs="Arial"/>
          <w:b w:val="0"/>
        </w:rPr>
        <w:t>7</w:t>
      </w:r>
      <w:r w:rsidR="006B01A2" w:rsidRPr="00615B1C">
        <w:rPr>
          <w:rFonts w:cs="Arial"/>
          <w:b w:val="0"/>
        </w:rPr>
        <w:t xml:space="preserve"> </w:t>
      </w:r>
      <w:r w:rsidR="00971824">
        <w:rPr>
          <w:rFonts w:cs="Arial"/>
          <w:b w:val="0"/>
        </w:rPr>
        <w:t>projected savings</w:t>
      </w:r>
      <w:r w:rsidRPr="00615B1C">
        <w:rPr>
          <w:rFonts w:cs="Arial"/>
          <w:b w:val="0"/>
        </w:rPr>
        <w:t xml:space="preserve"> for this program </w:t>
      </w:r>
      <w:r w:rsidRPr="00B853B2">
        <w:rPr>
          <w:rFonts w:cs="Arial"/>
          <w:b w:val="0"/>
        </w:rPr>
        <w:t xml:space="preserve">was </w:t>
      </w:r>
      <w:r w:rsidR="0048680F" w:rsidRPr="00B853B2">
        <w:rPr>
          <w:rFonts w:cs="Arial"/>
          <w:b w:val="0"/>
        </w:rPr>
        <w:t>75</w:t>
      </w:r>
      <w:r w:rsidR="00B77C08" w:rsidRPr="00B853B2">
        <w:rPr>
          <w:rFonts w:cs="Arial"/>
          <w:b w:val="0"/>
        </w:rPr>
        <w:t>0</w:t>
      </w:r>
      <w:r w:rsidRPr="00B853B2">
        <w:rPr>
          <w:rFonts w:cs="Arial"/>
          <w:b w:val="0"/>
        </w:rPr>
        <w:t xml:space="preserve"> kW.  </w:t>
      </w:r>
      <w:r w:rsidR="00DA2BBC" w:rsidRPr="00B853B2">
        <w:rPr>
          <w:rFonts w:cs="Arial"/>
          <w:b w:val="0"/>
        </w:rPr>
        <w:t xml:space="preserve">This program </w:t>
      </w:r>
      <w:r w:rsidR="008545CC" w:rsidRPr="00B853B2">
        <w:rPr>
          <w:rFonts w:cs="Arial"/>
          <w:b w:val="0"/>
        </w:rPr>
        <w:t xml:space="preserve">had </w:t>
      </w:r>
      <w:r w:rsidR="0048680F" w:rsidRPr="00B853B2">
        <w:rPr>
          <w:rFonts w:cs="Arial"/>
          <w:b w:val="0"/>
        </w:rPr>
        <w:t>108</w:t>
      </w:r>
      <w:r w:rsidR="00AF4741" w:rsidRPr="00B853B2">
        <w:rPr>
          <w:rFonts w:cs="Arial"/>
          <w:b w:val="0"/>
        </w:rPr>
        <w:t xml:space="preserve"> </w:t>
      </w:r>
      <w:r w:rsidR="008545CC" w:rsidRPr="00B853B2">
        <w:rPr>
          <w:rFonts w:cs="Arial"/>
          <w:b w:val="0"/>
        </w:rPr>
        <w:t xml:space="preserve">projects </w:t>
      </w:r>
      <w:r w:rsidR="00DA2BBC" w:rsidRPr="00B853B2">
        <w:rPr>
          <w:rFonts w:cs="Arial"/>
          <w:b w:val="0"/>
        </w:rPr>
        <w:t xml:space="preserve">from </w:t>
      </w:r>
      <w:r w:rsidR="008545CC" w:rsidRPr="00B853B2">
        <w:rPr>
          <w:rFonts w:cs="Arial"/>
          <w:b w:val="0"/>
        </w:rPr>
        <w:t xml:space="preserve">participating </w:t>
      </w:r>
      <w:r w:rsidR="00DA2BBC" w:rsidRPr="00B853B2">
        <w:rPr>
          <w:rFonts w:cs="Arial"/>
          <w:b w:val="0"/>
        </w:rPr>
        <w:t xml:space="preserve">schools </w:t>
      </w:r>
      <w:r w:rsidR="008545CC" w:rsidRPr="00B853B2">
        <w:rPr>
          <w:rFonts w:cs="Arial"/>
          <w:b w:val="0"/>
        </w:rPr>
        <w:t xml:space="preserve">and local government </w:t>
      </w:r>
      <w:r w:rsidRPr="00B853B2">
        <w:rPr>
          <w:rFonts w:cs="Arial"/>
          <w:b w:val="0"/>
        </w:rPr>
        <w:t>entities</w:t>
      </w:r>
      <w:r w:rsidR="008545CC" w:rsidRPr="00B853B2">
        <w:rPr>
          <w:rFonts w:cs="Arial"/>
          <w:b w:val="0"/>
        </w:rPr>
        <w:t xml:space="preserve"> in the EPE service territory</w:t>
      </w:r>
      <w:r w:rsidR="00DA2BBC" w:rsidRPr="00B853B2">
        <w:rPr>
          <w:rFonts w:cs="Arial"/>
          <w:b w:val="0"/>
        </w:rPr>
        <w:t xml:space="preserve">. These projects reduced demand by </w:t>
      </w:r>
      <w:r w:rsidR="0048680F" w:rsidRPr="00B853B2">
        <w:rPr>
          <w:rFonts w:cs="Arial"/>
          <w:b w:val="0"/>
        </w:rPr>
        <w:t>871</w:t>
      </w:r>
      <w:r w:rsidR="00DA2BBC" w:rsidRPr="00B853B2">
        <w:rPr>
          <w:rFonts w:cs="Arial"/>
          <w:b w:val="0"/>
        </w:rPr>
        <w:t xml:space="preserve"> kW and saved </w:t>
      </w:r>
      <w:r w:rsidR="0048680F" w:rsidRPr="00B853B2">
        <w:rPr>
          <w:rFonts w:cs="Arial"/>
          <w:b w:val="0"/>
        </w:rPr>
        <w:t>4,401,389</w:t>
      </w:r>
      <w:r w:rsidR="00F3629E" w:rsidRPr="00B853B2">
        <w:rPr>
          <w:rFonts w:cs="Arial"/>
          <w:b w:val="0"/>
        </w:rPr>
        <w:t xml:space="preserve"> k</w:t>
      </w:r>
      <w:r w:rsidR="0084747D" w:rsidRPr="00B853B2">
        <w:rPr>
          <w:rFonts w:cs="Arial"/>
          <w:b w:val="0"/>
        </w:rPr>
        <w:t>Wh</w:t>
      </w:r>
      <w:r w:rsidR="00F3629E" w:rsidRPr="00B853B2">
        <w:rPr>
          <w:rFonts w:cs="Arial"/>
          <w:b w:val="0"/>
        </w:rPr>
        <w:t xml:space="preserve"> i</w:t>
      </w:r>
      <w:r w:rsidR="00F3629E" w:rsidRPr="00615B1C">
        <w:rPr>
          <w:rFonts w:cs="Arial"/>
          <w:b w:val="0"/>
        </w:rPr>
        <w:t>n energy</w:t>
      </w:r>
      <w:r w:rsidR="00DA2BBC" w:rsidRPr="00615B1C">
        <w:rPr>
          <w:rFonts w:cs="Arial"/>
          <w:b w:val="0"/>
        </w:rPr>
        <w:t>.</w:t>
      </w:r>
      <w:r w:rsidR="00DA2BBC">
        <w:rPr>
          <w:rFonts w:cs="Arial"/>
          <w:b w:val="0"/>
        </w:rPr>
        <w:t xml:space="preserve">  </w:t>
      </w:r>
    </w:p>
    <w:p w14:paraId="7647145B" w14:textId="77777777" w:rsidR="00E02468" w:rsidRPr="000B6FC1" w:rsidRDefault="00E02468" w:rsidP="00911709">
      <w:pPr>
        <w:pStyle w:val="BodyText"/>
        <w:spacing w:before="0" w:after="0" w:line="240" w:lineRule="auto"/>
        <w:rPr>
          <w:rFonts w:cs="Arial"/>
          <w:b w:val="0"/>
        </w:rPr>
      </w:pPr>
    </w:p>
    <w:p w14:paraId="1FE4D8CD" w14:textId="77777777" w:rsidR="001245C7" w:rsidRPr="000B6FC1" w:rsidRDefault="001245C7" w:rsidP="00911709">
      <w:pPr>
        <w:pStyle w:val="Heading3"/>
        <w:keepLines/>
        <w:spacing w:before="0" w:after="0"/>
        <w:rPr>
          <w:rFonts w:cs="Arial"/>
        </w:rPr>
      </w:pPr>
      <w:r w:rsidRPr="000B6FC1">
        <w:rPr>
          <w:rFonts w:cs="Arial"/>
        </w:rPr>
        <w:t>Residential Solutions MTP</w:t>
      </w:r>
    </w:p>
    <w:p w14:paraId="295E0020" w14:textId="77777777" w:rsidR="000D3596" w:rsidRDefault="000D3596" w:rsidP="00911709">
      <w:pPr>
        <w:pStyle w:val="BodyText"/>
        <w:keepNext/>
        <w:keepLines/>
        <w:spacing w:before="0" w:after="0" w:line="240" w:lineRule="auto"/>
        <w:rPr>
          <w:rFonts w:cs="Arial"/>
          <w:b w:val="0"/>
        </w:rPr>
      </w:pPr>
    </w:p>
    <w:p w14:paraId="16378253" w14:textId="78114F43" w:rsidR="00514C9C" w:rsidRDefault="00B85661" w:rsidP="00911709">
      <w:pPr>
        <w:pStyle w:val="BodyText"/>
        <w:spacing w:before="0" w:after="0" w:line="240" w:lineRule="auto"/>
        <w:rPr>
          <w:rFonts w:cs="Arial"/>
          <w:b w:val="0"/>
        </w:rPr>
      </w:pPr>
      <w:r>
        <w:rPr>
          <w:rFonts w:cs="Arial"/>
          <w:b w:val="0"/>
        </w:rPr>
        <w:t xml:space="preserve">In </w:t>
      </w:r>
      <w:r w:rsidR="006B01A2">
        <w:rPr>
          <w:rFonts w:cs="Arial"/>
          <w:b w:val="0"/>
        </w:rPr>
        <w:t>201</w:t>
      </w:r>
      <w:r w:rsidR="00E8504D">
        <w:rPr>
          <w:rFonts w:cs="Arial"/>
          <w:b w:val="0"/>
        </w:rPr>
        <w:t>7</w:t>
      </w:r>
      <w:r>
        <w:rPr>
          <w:rFonts w:cs="Arial"/>
          <w:b w:val="0"/>
        </w:rPr>
        <w:t xml:space="preserve">, the Residential Solutions MTP offered residential customers, through the use of participating contractors, incentives for making energy </w:t>
      </w:r>
      <w:r w:rsidR="00514C9C">
        <w:rPr>
          <w:rFonts w:cs="Arial"/>
          <w:b w:val="0"/>
        </w:rPr>
        <w:t>efficient</w:t>
      </w:r>
      <w:r>
        <w:rPr>
          <w:rFonts w:cs="Arial"/>
          <w:b w:val="0"/>
        </w:rPr>
        <w:t xml:space="preserve"> improvements to their homes. </w:t>
      </w:r>
      <w:r w:rsidR="00514C9C">
        <w:rPr>
          <w:rFonts w:cs="Arial"/>
          <w:b w:val="0"/>
        </w:rPr>
        <w:t>This program focuse</w:t>
      </w:r>
      <w:r w:rsidR="00A4460F">
        <w:rPr>
          <w:rFonts w:cs="Arial"/>
          <w:b w:val="0"/>
        </w:rPr>
        <w:t>d</w:t>
      </w:r>
      <w:r w:rsidR="00514C9C">
        <w:rPr>
          <w:rFonts w:cs="Arial"/>
          <w:b w:val="0"/>
        </w:rPr>
        <w:t xml:space="preserve"> on improving the energy efficiency of residential buildings, as well as improving the installation practices of the participating contractors.</w:t>
      </w:r>
      <w:r w:rsidR="00514C9C" w:rsidRPr="00514C9C">
        <w:rPr>
          <w:rFonts w:cs="Arial"/>
          <w:b w:val="0"/>
        </w:rPr>
        <w:t xml:space="preserve"> </w:t>
      </w:r>
      <w:r w:rsidR="00514C9C">
        <w:rPr>
          <w:rFonts w:cs="Arial"/>
          <w:b w:val="0"/>
        </w:rPr>
        <w:t xml:space="preserve">EPE </w:t>
      </w:r>
      <w:r w:rsidR="00514C9C" w:rsidRPr="003B2D0A">
        <w:rPr>
          <w:rFonts w:cs="Arial"/>
          <w:b w:val="0"/>
        </w:rPr>
        <w:t>contracted with a third-party implementer to administer the Residential Solutions MTP.</w:t>
      </w:r>
    </w:p>
    <w:p w14:paraId="6A8F748E" w14:textId="77777777" w:rsidR="00514C9C" w:rsidRDefault="00514C9C" w:rsidP="00911709">
      <w:pPr>
        <w:pStyle w:val="BodyText"/>
        <w:spacing w:before="0" w:after="0" w:line="240" w:lineRule="auto"/>
        <w:rPr>
          <w:rFonts w:cs="Arial"/>
          <w:b w:val="0"/>
        </w:rPr>
      </w:pPr>
    </w:p>
    <w:p w14:paraId="1C775397" w14:textId="25EB01C2" w:rsidR="006F6AED" w:rsidRDefault="00514C9C" w:rsidP="00911709">
      <w:pPr>
        <w:pStyle w:val="BodyText"/>
        <w:spacing w:before="0" w:after="0" w:line="240" w:lineRule="auto"/>
        <w:rPr>
          <w:rFonts w:cs="Arial"/>
          <w:b w:val="0"/>
        </w:rPr>
      </w:pPr>
      <w:r w:rsidRPr="00615B1C">
        <w:rPr>
          <w:rFonts w:cs="Arial"/>
          <w:b w:val="0"/>
        </w:rPr>
        <w:t xml:space="preserve">The </w:t>
      </w:r>
      <w:r w:rsidR="00AB63BA" w:rsidRPr="00615B1C">
        <w:rPr>
          <w:rFonts w:cs="Arial"/>
          <w:b w:val="0"/>
        </w:rPr>
        <w:t>201</w:t>
      </w:r>
      <w:r w:rsidR="00E8504D">
        <w:rPr>
          <w:rFonts w:cs="Arial"/>
          <w:b w:val="0"/>
        </w:rPr>
        <w:t>7</w:t>
      </w:r>
      <w:r w:rsidR="00AB63BA" w:rsidRPr="00615B1C">
        <w:rPr>
          <w:rFonts w:cs="Arial"/>
          <w:b w:val="0"/>
        </w:rPr>
        <w:t xml:space="preserve"> </w:t>
      </w:r>
      <w:r w:rsidR="00971824">
        <w:rPr>
          <w:rFonts w:cs="Arial"/>
          <w:b w:val="0"/>
        </w:rPr>
        <w:t>projected savings</w:t>
      </w:r>
      <w:r w:rsidRPr="00615B1C">
        <w:rPr>
          <w:rFonts w:cs="Arial"/>
          <w:b w:val="0"/>
        </w:rPr>
        <w:t xml:space="preserve"> for this program w</w:t>
      </w:r>
      <w:r w:rsidRPr="00B853B2">
        <w:rPr>
          <w:rFonts w:cs="Arial"/>
          <w:b w:val="0"/>
        </w:rPr>
        <w:t xml:space="preserve">as </w:t>
      </w:r>
      <w:r w:rsidR="0039426F" w:rsidRPr="00B853B2">
        <w:rPr>
          <w:rFonts w:cs="Arial"/>
          <w:b w:val="0"/>
        </w:rPr>
        <w:t>418</w:t>
      </w:r>
      <w:r w:rsidRPr="00B853B2">
        <w:rPr>
          <w:rFonts w:cs="Arial"/>
          <w:b w:val="0"/>
        </w:rPr>
        <w:t xml:space="preserve"> kW.</w:t>
      </w:r>
      <w:r w:rsidR="00067118" w:rsidRPr="00B853B2">
        <w:rPr>
          <w:rFonts w:cs="Arial"/>
          <w:b w:val="0"/>
        </w:rPr>
        <w:t xml:space="preserve"> </w:t>
      </w:r>
      <w:r w:rsidR="00A67C69" w:rsidRPr="00B853B2">
        <w:rPr>
          <w:rFonts w:cs="Arial"/>
          <w:b w:val="0"/>
        </w:rPr>
        <w:t xml:space="preserve">There were </w:t>
      </w:r>
      <w:r w:rsidR="0048680F" w:rsidRPr="00B853B2">
        <w:rPr>
          <w:rFonts w:cs="Arial"/>
          <w:b w:val="0"/>
        </w:rPr>
        <w:t>3,141</w:t>
      </w:r>
      <w:r w:rsidR="00AF4741" w:rsidRPr="00B853B2">
        <w:rPr>
          <w:rFonts w:cs="Arial"/>
          <w:b w:val="0"/>
        </w:rPr>
        <w:t xml:space="preserve"> </w:t>
      </w:r>
      <w:r w:rsidR="00A67C69" w:rsidRPr="00B853B2">
        <w:rPr>
          <w:rFonts w:cs="Arial"/>
          <w:b w:val="0"/>
        </w:rPr>
        <w:t>participants that r</w:t>
      </w:r>
      <w:r w:rsidR="00067118" w:rsidRPr="00B853B2">
        <w:rPr>
          <w:rFonts w:cs="Arial"/>
          <w:b w:val="0"/>
        </w:rPr>
        <w:t xml:space="preserve">educed demand by </w:t>
      </w:r>
      <w:r w:rsidR="00A67C69" w:rsidRPr="00B853B2">
        <w:rPr>
          <w:rFonts w:cs="Arial"/>
          <w:b w:val="0"/>
        </w:rPr>
        <w:t xml:space="preserve">approximately </w:t>
      </w:r>
      <w:r w:rsidR="0048680F" w:rsidRPr="00B853B2">
        <w:rPr>
          <w:rFonts w:cs="Arial"/>
          <w:b w:val="0"/>
        </w:rPr>
        <w:t>429</w:t>
      </w:r>
      <w:r w:rsidR="001F66C1" w:rsidRPr="00B853B2">
        <w:rPr>
          <w:rFonts w:cs="Arial"/>
          <w:b w:val="0"/>
        </w:rPr>
        <w:t xml:space="preserve"> </w:t>
      </w:r>
      <w:r w:rsidR="00067118" w:rsidRPr="00B853B2">
        <w:rPr>
          <w:rFonts w:cs="Arial"/>
          <w:b w:val="0"/>
        </w:rPr>
        <w:t xml:space="preserve">kW and saved </w:t>
      </w:r>
      <w:r w:rsidR="0048680F" w:rsidRPr="00B853B2">
        <w:rPr>
          <w:rFonts w:cs="Arial"/>
          <w:b w:val="0"/>
        </w:rPr>
        <w:t>870,851</w:t>
      </w:r>
      <w:r w:rsidR="00067118" w:rsidRPr="00B853B2">
        <w:rPr>
          <w:rFonts w:cs="Arial"/>
          <w:b w:val="0"/>
        </w:rPr>
        <w:t xml:space="preserve"> kWh</w:t>
      </w:r>
      <w:r w:rsidR="003F6CB8" w:rsidRPr="00B853B2">
        <w:rPr>
          <w:rFonts w:cs="Arial"/>
          <w:b w:val="0"/>
        </w:rPr>
        <w:t xml:space="preserve"> in energy</w:t>
      </w:r>
      <w:r w:rsidR="00067118" w:rsidRPr="00B853B2">
        <w:rPr>
          <w:rFonts w:cs="Arial"/>
          <w:b w:val="0"/>
        </w:rPr>
        <w:t>.</w:t>
      </w:r>
      <w:r w:rsidR="001245C7" w:rsidRPr="000B6FC1">
        <w:rPr>
          <w:rFonts w:cs="Arial"/>
          <w:b w:val="0"/>
        </w:rPr>
        <w:t xml:space="preserve"> </w:t>
      </w:r>
    </w:p>
    <w:p w14:paraId="28CE7FD4" w14:textId="77777777" w:rsidR="000D3596" w:rsidRPr="000B6FC1" w:rsidRDefault="000D3596" w:rsidP="00911709">
      <w:pPr>
        <w:pStyle w:val="BodyText"/>
        <w:spacing w:before="0" w:after="0" w:line="240" w:lineRule="auto"/>
        <w:rPr>
          <w:rFonts w:cs="Arial"/>
          <w:b w:val="0"/>
        </w:rPr>
      </w:pPr>
    </w:p>
    <w:p w14:paraId="150AB5CB" w14:textId="77777777" w:rsidR="00C30FC1" w:rsidRPr="000B6FC1" w:rsidRDefault="00ED0A9B" w:rsidP="00911709">
      <w:pPr>
        <w:pStyle w:val="Heading3"/>
        <w:keepLines/>
        <w:spacing w:before="0" w:after="0"/>
        <w:rPr>
          <w:rFonts w:cs="Arial"/>
        </w:rPr>
      </w:pPr>
      <w:r w:rsidRPr="000B6FC1">
        <w:rPr>
          <w:rFonts w:cs="Arial"/>
        </w:rPr>
        <w:t>LivingWise</w:t>
      </w:r>
      <w:r w:rsidR="002A0192" w:rsidRPr="001F061D">
        <w:rPr>
          <w:b w:val="0"/>
          <w:vertAlign w:val="superscript"/>
        </w:rPr>
        <w:t>®</w:t>
      </w:r>
      <w:r w:rsidR="00856E8E" w:rsidRPr="000B6FC1">
        <w:rPr>
          <w:rFonts w:cs="Arial"/>
        </w:rPr>
        <w:t xml:space="preserve"> </w:t>
      </w:r>
      <w:r w:rsidR="0024108A" w:rsidRPr="000B6FC1">
        <w:rPr>
          <w:rFonts w:cs="Arial"/>
        </w:rPr>
        <w:t>MTP</w:t>
      </w:r>
    </w:p>
    <w:p w14:paraId="56ECF50D" w14:textId="77777777" w:rsidR="00391680" w:rsidRDefault="00391680" w:rsidP="00911709">
      <w:pPr>
        <w:pStyle w:val="BodyText"/>
        <w:spacing w:before="0" w:after="0" w:line="240" w:lineRule="auto"/>
        <w:rPr>
          <w:rFonts w:cs="Arial"/>
          <w:b w:val="0"/>
        </w:rPr>
      </w:pPr>
    </w:p>
    <w:p w14:paraId="5B81D86D" w14:textId="59BB8847" w:rsidR="00514C9C" w:rsidRDefault="003F10D8" w:rsidP="00911709">
      <w:pPr>
        <w:pStyle w:val="BodyText"/>
        <w:spacing w:before="0" w:after="0" w:line="240" w:lineRule="auto"/>
        <w:rPr>
          <w:rFonts w:cs="Arial"/>
          <w:b w:val="0"/>
        </w:rPr>
      </w:pPr>
      <w:r>
        <w:rPr>
          <w:rFonts w:cs="Arial"/>
          <w:b w:val="0"/>
        </w:rPr>
        <w:t xml:space="preserve">The </w:t>
      </w:r>
      <w:r w:rsidRPr="000B6FC1">
        <w:rPr>
          <w:rFonts w:cs="Arial"/>
          <w:b w:val="0"/>
        </w:rPr>
        <w:t>LivingWise</w:t>
      </w:r>
      <w:r w:rsidRPr="001F061D">
        <w:rPr>
          <w:b w:val="0"/>
          <w:vertAlign w:val="superscript"/>
        </w:rPr>
        <w:t>®</w:t>
      </w:r>
      <w:r w:rsidRPr="000B6FC1">
        <w:rPr>
          <w:rFonts w:cs="Arial"/>
          <w:b w:val="0"/>
        </w:rPr>
        <w:t xml:space="preserve"> </w:t>
      </w:r>
      <w:r>
        <w:rPr>
          <w:rFonts w:cs="Arial"/>
          <w:b w:val="0"/>
        </w:rPr>
        <w:t xml:space="preserve">MTP is an educational program that uses a school-based method that builds student knowledge, provides high energy efficiency devices to families and serves as an effective community outreach program. </w:t>
      </w:r>
      <w:r w:rsidR="00DA6092">
        <w:rPr>
          <w:rFonts w:cs="Arial"/>
          <w:b w:val="0"/>
        </w:rPr>
        <w:t xml:space="preserve">In </w:t>
      </w:r>
      <w:r w:rsidR="00AB63BA">
        <w:rPr>
          <w:rFonts w:cs="Arial"/>
          <w:b w:val="0"/>
        </w:rPr>
        <w:t>201</w:t>
      </w:r>
      <w:r w:rsidR="00E8504D">
        <w:rPr>
          <w:rFonts w:cs="Arial"/>
          <w:b w:val="0"/>
        </w:rPr>
        <w:t>7</w:t>
      </w:r>
      <w:r w:rsidR="00DA6092">
        <w:rPr>
          <w:rFonts w:cs="Arial"/>
          <w:b w:val="0"/>
        </w:rPr>
        <w:t>, e</w:t>
      </w:r>
      <w:r w:rsidR="00B35CF0">
        <w:rPr>
          <w:rFonts w:cs="Arial"/>
          <w:b w:val="0"/>
        </w:rPr>
        <w:t>ach participant receive</w:t>
      </w:r>
      <w:r w:rsidR="00DA6092">
        <w:rPr>
          <w:rFonts w:cs="Arial"/>
          <w:b w:val="0"/>
        </w:rPr>
        <w:t>d</w:t>
      </w:r>
      <w:r w:rsidR="00B35CF0">
        <w:rPr>
          <w:rFonts w:cs="Arial"/>
          <w:b w:val="0"/>
        </w:rPr>
        <w:t xml:space="preserve"> a kit that contain</w:t>
      </w:r>
      <w:r w:rsidR="00DA6092">
        <w:rPr>
          <w:rFonts w:cs="Arial"/>
          <w:b w:val="0"/>
        </w:rPr>
        <w:t>ed</w:t>
      </w:r>
      <w:r w:rsidR="00B35CF0">
        <w:rPr>
          <w:rFonts w:cs="Arial"/>
          <w:b w:val="0"/>
        </w:rPr>
        <w:t xml:space="preserve"> </w:t>
      </w:r>
      <w:r w:rsidR="00B35CF0" w:rsidRPr="00F9073D">
        <w:rPr>
          <w:rFonts w:cs="Arial"/>
          <w:b w:val="0"/>
          <w:szCs w:val="22"/>
        </w:rPr>
        <w:t xml:space="preserve">energy saving devices </w:t>
      </w:r>
      <w:r w:rsidR="00B35CF0">
        <w:rPr>
          <w:rFonts w:cs="Arial"/>
          <w:b w:val="0"/>
          <w:szCs w:val="22"/>
        </w:rPr>
        <w:t>to be installed in their homes, as well as</w:t>
      </w:r>
      <w:r w:rsidR="00B35CF0" w:rsidRPr="00F9073D">
        <w:rPr>
          <w:rFonts w:cs="Arial"/>
          <w:b w:val="0"/>
          <w:szCs w:val="22"/>
        </w:rPr>
        <w:t xml:space="preserve"> energy efficiency educational materials</w:t>
      </w:r>
      <w:r w:rsidR="00B35CF0">
        <w:rPr>
          <w:rFonts w:cs="Arial"/>
          <w:b w:val="0"/>
          <w:szCs w:val="22"/>
        </w:rPr>
        <w:t>.</w:t>
      </w:r>
    </w:p>
    <w:p w14:paraId="1F58AC3C" w14:textId="77777777" w:rsidR="00514C9C" w:rsidRDefault="00514C9C" w:rsidP="00911709">
      <w:pPr>
        <w:pStyle w:val="BodyText"/>
        <w:spacing w:before="0" w:after="0" w:line="240" w:lineRule="auto"/>
        <w:rPr>
          <w:rFonts w:cs="Arial"/>
          <w:b w:val="0"/>
        </w:rPr>
      </w:pPr>
    </w:p>
    <w:p w14:paraId="27D43D16" w14:textId="32582B3E" w:rsidR="00391680" w:rsidRDefault="00514C9C" w:rsidP="00911709">
      <w:pPr>
        <w:pStyle w:val="BodyText"/>
        <w:spacing w:before="0" w:after="0" w:line="240" w:lineRule="auto"/>
        <w:rPr>
          <w:rFonts w:cs="Arial"/>
          <w:b w:val="0"/>
        </w:rPr>
      </w:pPr>
      <w:r w:rsidRPr="00B853B2">
        <w:rPr>
          <w:rFonts w:cs="Arial"/>
          <w:b w:val="0"/>
        </w:rPr>
        <w:t xml:space="preserve">The </w:t>
      </w:r>
      <w:r w:rsidR="00AB63BA" w:rsidRPr="00B853B2">
        <w:rPr>
          <w:rFonts w:cs="Arial"/>
          <w:b w:val="0"/>
        </w:rPr>
        <w:t>201</w:t>
      </w:r>
      <w:r w:rsidR="00E8504D" w:rsidRPr="00B853B2">
        <w:rPr>
          <w:rFonts w:cs="Arial"/>
          <w:b w:val="0"/>
        </w:rPr>
        <w:t>7</w:t>
      </w:r>
      <w:r w:rsidR="00AB63BA" w:rsidRPr="00B853B2">
        <w:rPr>
          <w:rFonts w:cs="Arial"/>
          <w:b w:val="0"/>
        </w:rPr>
        <w:t xml:space="preserve"> </w:t>
      </w:r>
      <w:r w:rsidR="00971824" w:rsidRPr="00B853B2">
        <w:rPr>
          <w:rFonts w:cs="Arial"/>
          <w:b w:val="0"/>
        </w:rPr>
        <w:t>projected savings</w:t>
      </w:r>
      <w:r w:rsidRPr="00B853B2">
        <w:rPr>
          <w:rFonts w:cs="Arial"/>
          <w:b w:val="0"/>
        </w:rPr>
        <w:t xml:space="preserve"> for this program was </w:t>
      </w:r>
      <w:r w:rsidR="0048680F" w:rsidRPr="00B853B2">
        <w:rPr>
          <w:rFonts w:cs="Arial"/>
          <w:b w:val="0"/>
        </w:rPr>
        <w:t>200</w:t>
      </w:r>
      <w:r w:rsidRPr="00B853B2">
        <w:rPr>
          <w:rFonts w:cs="Arial"/>
          <w:b w:val="0"/>
        </w:rPr>
        <w:t xml:space="preserve"> kW. </w:t>
      </w:r>
      <w:r w:rsidR="003F10D8" w:rsidRPr="00B853B2">
        <w:rPr>
          <w:rFonts w:cs="Arial"/>
          <w:b w:val="0"/>
        </w:rPr>
        <w:t xml:space="preserve"> In </w:t>
      </w:r>
      <w:r w:rsidR="00AB63BA" w:rsidRPr="00B853B2">
        <w:rPr>
          <w:rFonts w:cs="Arial"/>
          <w:b w:val="0"/>
        </w:rPr>
        <w:t>201</w:t>
      </w:r>
      <w:r w:rsidR="00E8504D" w:rsidRPr="00B853B2">
        <w:rPr>
          <w:rFonts w:cs="Arial"/>
          <w:b w:val="0"/>
        </w:rPr>
        <w:t>7</w:t>
      </w:r>
      <w:r w:rsidR="003F10D8" w:rsidRPr="00B853B2">
        <w:rPr>
          <w:rFonts w:cs="Arial"/>
          <w:b w:val="0"/>
        </w:rPr>
        <w:t>, the LivingWise</w:t>
      </w:r>
      <w:r w:rsidR="003F10D8" w:rsidRPr="00B853B2">
        <w:rPr>
          <w:b w:val="0"/>
          <w:vertAlign w:val="superscript"/>
        </w:rPr>
        <w:t>®</w:t>
      </w:r>
      <w:r w:rsidR="003F10D8" w:rsidRPr="00B853B2">
        <w:rPr>
          <w:rFonts w:cs="Arial"/>
          <w:b w:val="0"/>
        </w:rPr>
        <w:t xml:space="preserve"> MTP provided </w:t>
      </w:r>
      <w:r w:rsidR="0048680F" w:rsidRPr="00B853B2">
        <w:rPr>
          <w:rFonts w:cs="Arial"/>
          <w:b w:val="0"/>
        </w:rPr>
        <w:t>8,939</w:t>
      </w:r>
      <w:r w:rsidR="003F10D8" w:rsidRPr="00B853B2">
        <w:rPr>
          <w:rFonts w:cs="Arial"/>
          <w:b w:val="0"/>
        </w:rPr>
        <w:t xml:space="preserve"> LivingWise</w:t>
      </w:r>
      <w:r w:rsidR="003F10D8" w:rsidRPr="00B853B2">
        <w:rPr>
          <w:b w:val="0"/>
          <w:vertAlign w:val="superscript"/>
        </w:rPr>
        <w:t xml:space="preserve">® </w:t>
      </w:r>
      <w:r w:rsidR="003F10D8" w:rsidRPr="00B853B2">
        <w:rPr>
          <w:rFonts w:cs="Arial"/>
          <w:b w:val="0"/>
        </w:rPr>
        <w:t>kits.</w:t>
      </w:r>
      <w:r w:rsidR="00B35CF0" w:rsidRPr="00B853B2">
        <w:rPr>
          <w:rFonts w:cs="Arial"/>
          <w:b w:val="0"/>
        </w:rPr>
        <w:t xml:space="preserve"> </w:t>
      </w:r>
      <w:r w:rsidR="003F6CB8" w:rsidRPr="00B853B2">
        <w:rPr>
          <w:rFonts w:cs="Arial"/>
          <w:b w:val="0"/>
        </w:rPr>
        <w:t xml:space="preserve">The savings from this program were </w:t>
      </w:r>
      <w:r w:rsidR="0048680F" w:rsidRPr="00B853B2">
        <w:rPr>
          <w:rFonts w:cs="Arial"/>
          <w:b w:val="0"/>
        </w:rPr>
        <w:t>539</w:t>
      </w:r>
      <w:r w:rsidR="00EC4B61" w:rsidRPr="00B853B2">
        <w:rPr>
          <w:rFonts w:cs="Arial"/>
          <w:b w:val="0"/>
        </w:rPr>
        <w:t> </w:t>
      </w:r>
      <w:r w:rsidR="00391680" w:rsidRPr="00B853B2">
        <w:rPr>
          <w:rFonts w:cs="Arial"/>
          <w:b w:val="0"/>
        </w:rPr>
        <w:t xml:space="preserve">kW in demand savings and </w:t>
      </w:r>
      <w:r w:rsidR="0048680F" w:rsidRPr="00B853B2">
        <w:rPr>
          <w:rFonts w:cs="Arial"/>
          <w:b w:val="0"/>
        </w:rPr>
        <w:t>1,386,059</w:t>
      </w:r>
      <w:r w:rsidR="00391680" w:rsidRPr="00B853B2">
        <w:rPr>
          <w:rFonts w:cs="Arial"/>
          <w:b w:val="0"/>
        </w:rPr>
        <w:t xml:space="preserve"> kWh in energy savings.</w:t>
      </w:r>
    </w:p>
    <w:p w14:paraId="14382CD1" w14:textId="77777777" w:rsidR="000D3596" w:rsidRPr="000B6FC1" w:rsidRDefault="000D3596" w:rsidP="00911709">
      <w:pPr>
        <w:pStyle w:val="BodyText"/>
        <w:spacing w:before="0" w:after="0" w:line="240" w:lineRule="auto"/>
        <w:rPr>
          <w:rFonts w:cs="Arial"/>
          <w:b w:val="0"/>
        </w:rPr>
      </w:pPr>
    </w:p>
    <w:p w14:paraId="4A1C0DC4" w14:textId="77777777" w:rsidR="00FA0619" w:rsidRPr="008545CC" w:rsidRDefault="00FA0619" w:rsidP="00911709">
      <w:pPr>
        <w:pStyle w:val="Heading3"/>
        <w:spacing w:before="0" w:after="0"/>
      </w:pPr>
      <w:r w:rsidRPr="008545CC">
        <w:t>Hard-to-Reach Solutions MTP</w:t>
      </w:r>
    </w:p>
    <w:p w14:paraId="3148E8C1" w14:textId="77777777" w:rsidR="00FA0619" w:rsidRPr="000B6FC1" w:rsidRDefault="00FA0619" w:rsidP="00911709">
      <w:pPr>
        <w:pStyle w:val="BodyText"/>
        <w:spacing w:before="0" w:after="0" w:line="240" w:lineRule="auto"/>
        <w:rPr>
          <w:rFonts w:cs="Arial"/>
          <w:b w:val="0"/>
        </w:rPr>
      </w:pPr>
    </w:p>
    <w:p w14:paraId="5515F1B4" w14:textId="39A23C5E" w:rsidR="00FA0619" w:rsidRPr="00B853B2" w:rsidRDefault="00FA0619" w:rsidP="00911709">
      <w:pPr>
        <w:pStyle w:val="BodyText"/>
        <w:spacing w:before="0" w:after="0" w:line="240" w:lineRule="auto"/>
        <w:rPr>
          <w:rFonts w:cs="Arial"/>
          <w:b w:val="0"/>
        </w:rPr>
      </w:pPr>
      <w:r>
        <w:rPr>
          <w:rFonts w:cs="Arial"/>
          <w:b w:val="0"/>
        </w:rPr>
        <w:t xml:space="preserve">In </w:t>
      </w:r>
      <w:r w:rsidR="00AB63BA">
        <w:rPr>
          <w:rFonts w:cs="Arial"/>
          <w:b w:val="0"/>
        </w:rPr>
        <w:t>201</w:t>
      </w:r>
      <w:r w:rsidR="005F7229">
        <w:rPr>
          <w:rFonts w:cs="Arial"/>
          <w:b w:val="0"/>
        </w:rPr>
        <w:t>7</w:t>
      </w:r>
      <w:r>
        <w:rPr>
          <w:rFonts w:cs="Arial"/>
          <w:b w:val="0"/>
        </w:rPr>
        <w:t>, the Hard-to-Reach Solutions MTP offered residential customers who were at or below 200% of the Federal Poverty Guidelines, through the use of participating contractors, incentives for making energy efficient improvements to their homes. This program focuse</w:t>
      </w:r>
      <w:r w:rsidR="00A4460F">
        <w:rPr>
          <w:rFonts w:cs="Arial"/>
          <w:b w:val="0"/>
        </w:rPr>
        <w:t>d</w:t>
      </w:r>
      <w:r>
        <w:rPr>
          <w:rFonts w:cs="Arial"/>
          <w:b w:val="0"/>
        </w:rPr>
        <w:t xml:space="preserve"> on improving the energy efficiency of </w:t>
      </w:r>
      <w:r w:rsidR="00815AA1">
        <w:rPr>
          <w:rFonts w:cs="Arial"/>
          <w:b w:val="0"/>
        </w:rPr>
        <w:t xml:space="preserve">low income </w:t>
      </w:r>
      <w:r>
        <w:rPr>
          <w:rFonts w:cs="Arial"/>
          <w:b w:val="0"/>
        </w:rPr>
        <w:t>residential buildings, as well as improving the installation practices of the participating contractors.</w:t>
      </w:r>
      <w:r w:rsidRPr="00514C9C">
        <w:rPr>
          <w:rFonts w:cs="Arial"/>
          <w:b w:val="0"/>
        </w:rPr>
        <w:t xml:space="preserve"> </w:t>
      </w:r>
      <w:r>
        <w:rPr>
          <w:rFonts w:cs="Arial"/>
          <w:b w:val="0"/>
        </w:rPr>
        <w:t xml:space="preserve">EPE </w:t>
      </w:r>
      <w:r w:rsidRPr="003B2D0A">
        <w:rPr>
          <w:rFonts w:cs="Arial"/>
          <w:b w:val="0"/>
        </w:rPr>
        <w:t>contracted with a third-party implementer to administe</w:t>
      </w:r>
      <w:r w:rsidRPr="00B853B2">
        <w:rPr>
          <w:rFonts w:cs="Arial"/>
          <w:b w:val="0"/>
        </w:rPr>
        <w:t xml:space="preserve">r the </w:t>
      </w:r>
      <w:r w:rsidR="00815AA1" w:rsidRPr="00B853B2">
        <w:rPr>
          <w:rFonts w:cs="Arial"/>
          <w:b w:val="0"/>
        </w:rPr>
        <w:t>Hard-to-Reach</w:t>
      </w:r>
      <w:r w:rsidRPr="00B853B2">
        <w:rPr>
          <w:rFonts w:cs="Arial"/>
          <w:b w:val="0"/>
        </w:rPr>
        <w:t xml:space="preserve"> Solutions MTP.</w:t>
      </w:r>
    </w:p>
    <w:p w14:paraId="45E66C11" w14:textId="77777777" w:rsidR="00FA0619" w:rsidRPr="00B853B2" w:rsidRDefault="00FA0619" w:rsidP="00911709">
      <w:pPr>
        <w:pStyle w:val="BodyText"/>
        <w:spacing w:before="0" w:after="0" w:line="240" w:lineRule="auto"/>
        <w:rPr>
          <w:rFonts w:cs="Arial"/>
          <w:b w:val="0"/>
        </w:rPr>
      </w:pPr>
    </w:p>
    <w:p w14:paraId="33CCB4AC" w14:textId="2F83844A" w:rsidR="00FA0619" w:rsidRDefault="00815AA1" w:rsidP="00911709">
      <w:pPr>
        <w:pStyle w:val="BodyText"/>
        <w:spacing w:before="0" w:after="0" w:line="240" w:lineRule="auto"/>
        <w:rPr>
          <w:rFonts w:cs="Arial"/>
          <w:b w:val="0"/>
        </w:rPr>
      </w:pPr>
      <w:r w:rsidRPr="00B853B2">
        <w:rPr>
          <w:rFonts w:cs="Arial"/>
          <w:b w:val="0"/>
        </w:rPr>
        <w:t xml:space="preserve">The </w:t>
      </w:r>
      <w:r w:rsidR="00AB63BA" w:rsidRPr="00B853B2">
        <w:rPr>
          <w:rFonts w:cs="Arial"/>
          <w:b w:val="0"/>
        </w:rPr>
        <w:t>201</w:t>
      </w:r>
      <w:r w:rsidR="005F7229" w:rsidRPr="00B853B2">
        <w:rPr>
          <w:rFonts w:cs="Arial"/>
          <w:b w:val="0"/>
        </w:rPr>
        <w:t>7</w:t>
      </w:r>
      <w:r w:rsidR="00AB63BA" w:rsidRPr="00B853B2">
        <w:rPr>
          <w:rFonts w:cs="Arial"/>
          <w:b w:val="0"/>
        </w:rPr>
        <w:t xml:space="preserve"> </w:t>
      </w:r>
      <w:r w:rsidR="00E45498" w:rsidRPr="00B853B2">
        <w:rPr>
          <w:rFonts w:cs="Arial"/>
          <w:b w:val="0"/>
        </w:rPr>
        <w:t xml:space="preserve">projected savings </w:t>
      </w:r>
      <w:r w:rsidRPr="00B853B2">
        <w:rPr>
          <w:rFonts w:cs="Arial"/>
          <w:b w:val="0"/>
        </w:rPr>
        <w:t xml:space="preserve">for this program was 800 kW. </w:t>
      </w:r>
      <w:r w:rsidR="00FA0619" w:rsidRPr="00B853B2">
        <w:rPr>
          <w:rFonts w:cs="Arial"/>
          <w:b w:val="0"/>
        </w:rPr>
        <w:t xml:space="preserve">There were </w:t>
      </w:r>
      <w:r w:rsidR="0048680F" w:rsidRPr="00B853B2">
        <w:rPr>
          <w:rFonts w:cs="Arial"/>
          <w:b w:val="0"/>
        </w:rPr>
        <w:t>5,974</w:t>
      </w:r>
      <w:r w:rsidR="00FA0619" w:rsidRPr="00B853B2">
        <w:rPr>
          <w:rFonts w:cs="Arial"/>
          <w:b w:val="0"/>
        </w:rPr>
        <w:t xml:space="preserve"> projects</w:t>
      </w:r>
      <w:r w:rsidRPr="00B853B2">
        <w:rPr>
          <w:rFonts w:cs="Arial"/>
          <w:b w:val="0"/>
        </w:rPr>
        <w:t xml:space="preserve"> in this program</w:t>
      </w:r>
      <w:r w:rsidR="00FA0619" w:rsidRPr="00B853B2">
        <w:rPr>
          <w:rFonts w:cs="Arial"/>
          <w:b w:val="0"/>
        </w:rPr>
        <w:t xml:space="preserve"> that reduced demand by </w:t>
      </w:r>
      <w:r w:rsidR="0048680F" w:rsidRPr="00B853B2">
        <w:rPr>
          <w:rFonts w:cs="Arial"/>
          <w:b w:val="0"/>
        </w:rPr>
        <w:t>731</w:t>
      </w:r>
      <w:r w:rsidR="00FA0619" w:rsidRPr="00B853B2">
        <w:rPr>
          <w:rFonts w:cs="Arial"/>
          <w:b w:val="0"/>
        </w:rPr>
        <w:t xml:space="preserve"> kW and saved </w:t>
      </w:r>
      <w:r w:rsidR="00A605CB" w:rsidRPr="00B853B2">
        <w:rPr>
          <w:rFonts w:cs="Arial"/>
          <w:b w:val="0"/>
        </w:rPr>
        <w:t>1,451,768</w:t>
      </w:r>
      <w:r w:rsidR="00FA0619" w:rsidRPr="00B853B2">
        <w:rPr>
          <w:rFonts w:cs="Arial"/>
          <w:b w:val="0"/>
        </w:rPr>
        <w:t xml:space="preserve"> kWh in energy.</w:t>
      </w:r>
      <w:r w:rsidR="00FA0619" w:rsidRPr="000B6FC1">
        <w:rPr>
          <w:rFonts w:cs="Arial"/>
          <w:b w:val="0"/>
        </w:rPr>
        <w:t xml:space="preserve"> </w:t>
      </w:r>
    </w:p>
    <w:p w14:paraId="00A503E5" w14:textId="77777777" w:rsidR="00100B79" w:rsidRDefault="00100B79" w:rsidP="00911709">
      <w:pPr>
        <w:pStyle w:val="BodyText"/>
        <w:spacing w:before="0" w:after="0" w:line="240" w:lineRule="auto"/>
        <w:rPr>
          <w:rFonts w:cs="Arial"/>
          <w:b w:val="0"/>
        </w:rPr>
      </w:pPr>
    </w:p>
    <w:p w14:paraId="50256666" w14:textId="77777777" w:rsidR="00A73E68" w:rsidRDefault="00A73E68">
      <w:pPr>
        <w:rPr>
          <w:rFonts w:ascii="Arial" w:hAnsi="Arial"/>
          <w:sz w:val="28"/>
        </w:rPr>
      </w:pPr>
      <w:bookmarkStart w:id="46" w:name="_Toc226260424"/>
      <w:r>
        <w:br w:type="page"/>
      </w:r>
    </w:p>
    <w:p w14:paraId="2C2F8C9A" w14:textId="3FC05263" w:rsidR="00BC1FCD" w:rsidRPr="00EF0598" w:rsidRDefault="00BC1FCD" w:rsidP="00911709">
      <w:pPr>
        <w:pStyle w:val="Heading1"/>
        <w:tabs>
          <w:tab w:val="clear" w:pos="360"/>
          <w:tab w:val="num" w:pos="720"/>
        </w:tabs>
        <w:spacing w:before="0" w:after="0"/>
        <w:rPr>
          <w:spacing w:val="0"/>
        </w:rPr>
      </w:pPr>
      <w:bookmarkStart w:id="47" w:name="_Toc509500768"/>
      <w:r w:rsidRPr="00EF0598">
        <w:rPr>
          <w:spacing w:val="0"/>
        </w:rPr>
        <w:lastRenderedPageBreak/>
        <w:t>Current Energy Efficiency Cost Recovery Factor (EECRF)</w:t>
      </w:r>
      <w:bookmarkEnd w:id="47"/>
    </w:p>
    <w:p w14:paraId="3731B302" w14:textId="77777777" w:rsidR="00BC1FCD" w:rsidRDefault="00BC1FCD" w:rsidP="00911709">
      <w:pPr>
        <w:pStyle w:val="BodyText"/>
        <w:spacing w:before="0" w:after="0" w:line="240" w:lineRule="auto"/>
        <w:rPr>
          <w:rFonts w:cs="Arial"/>
          <w:sz w:val="28"/>
        </w:rPr>
      </w:pPr>
    </w:p>
    <w:p w14:paraId="08AD1D03" w14:textId="5A9B4B6A" w:rsidR="00BC1FCD" w:rsidRPr="00946C20" w:rsidRDefault="00BC1FCD" w:rsidP="00911709">
      <w:pPr>
        <w:pStyle w:val="BodyText"/>
        <w:spacing w:before="0" w:after="0" w:line="240" w:lineRule="auto"/>
        <w:rPr>
          <w:rFonts w:cs="Arial"/>
          <w:sz w:val="28"/>
        </w:rPr>
      </w:pPr>
      <w:r w:rsidRPr="00946C20">
        <w:rPr>
          <w:rFonts w:cs="Arial"/>
          <w:sz w:val="28"/>
        </w:rPr>
        <w:t xml:space="preserve">Report for </w:t>
      </w:r>
      <w:r w:rsidR="00295696">
        <w:rPr>
          <w:rFonts w:cs="Arial"/>
          <w:sz w:val="28"/>
        </w:rPr>
        <w:t>201</w:t>
      </w:r>
      <w:r w:rsidR="00B01D9E">
        <w:rPr>
          <w:rFonts w:cs="Arial"/>
          <w:sz w:val="28"/>
        </w:rPr>
        <w:t>7</w:t>
      </w:r>
    </w:p>
    <w:p w14:paraId="743EA1ED" w14:textId="77777777" w:rsidR="00BC1FCD" w:rsidRPr="00946C20" w:rsidRDefault="00BC1FCD" w:rsidP="00911709">
      <w:pPr>
        <w:pStyle w:val="BodyText"/>
        <w:spacing w:before="0" w:after="0" w:line="240" w:lineRule="auto"/>
        <w:rPr>
          <w:rFonts w:cs="Arial"/>
          <w:b w:val="0"/>
          <w:szCs w:val="22"/>
        </w:rPr>
      </w:pPr>
    </w:p>
    <w:p w14:paraId="21D6F6E3" w14:textId="79C838DE" w:rsidR="00BC1FCD" w:rsidRPr="00420813" w:rsidRDefault="00DC3CA7" w:rsidP="00911709">
      <w:pPr>
        <w:pStyle w:val="BodyText"/>
        <w:spacing w:before="0" w:after="0" w:line="240" w:lineRule="auto"/>
        <w:rPr>
          <w:rFonts w:cs="Arial"/>
          <w:b w:val="0"/>
          <w:szCs w:val="22"/>
          <w:highlight w:val="yellow"/>
        </w:rPr>
      </w:pPr>
      <w:r w:rsidRPr="00FB132F">
        <w:rPr>
          <w:rFonts w:cs="Arial"/>
          <w:b w:val="0"/>
          <w:szCs w:val="22"/>
        </w:rPr>
        <w:t xml:space="preserve">In Docket No. </w:t>
      </w:r>
      <w:r w:rsidR="00416134" w:rsidRPr="00FB132F">
        <w:rPr>
          <w:rFonts w:cs="Arial"/>
          <w:b w:val="0"/>
          <w:szCs w:val="22"/>
        </w:rPr>
        <w:t>4</w:t>
      </w:r>
      <w:r w:rsidR="003303BA" w:rsidRPr="00FB132F">
        <w:rPr>
          <w:rFonts w:cs="Arial"/>
          <w:b w:val="0"/>
          <w:szCs w:val="22"/>
        </w:rPr>
        <w:t>5885</w:t>
      </w:r>
      <w:r w:rsidRPr="00946C20">
        <w:rPr>
          <w:rFonts w:cs="Arial"/>
          <w:b w:val="0"/>
          <w:szCs w:val="22"/>
        </w:rPr>
        <w:t xml:space="preserve">, </w:t>
      </w:r>
      <w:r w:rsidRPr="00946C20">
        <w:rPr>
          <w:rFonts w:cs="Arial"/>
          <w:b w:val="0"/>
          <w:bCs/>
          <w:szCs w:val="22"/>
        </w:rPr>
        <w:t xml:space="preserve">EPE </w:t>
      </w:r>
      <w:r w:rsidR="00160030">
        <w:rPr>
          <w:rFonts w:cs="Arial"/>
          <w:b w:val="0"/>
          <w:bCs/>
          <w:szCs w:val="22"/>
        </w:rPr>
        <w:t>was granted approval for</w:t>
      </w:r>
      <w:r w:rsidRPr="00946C20">
        <w:rPr>
          <w:rFonts w:cs="Arial"/>
          <w:b w:val="0"/>
          <w:bCs/>
          <w:szCs w:val="22"/>
        </w:rPr>
        <w:t xml:space="preserve"> recovery through its </w:t>
      </w:r>
      <w:r w:rsidR="006B0023">
        <w:rPr>
          <w:rFonts w:cs="Arial"/>
          <w:b w:val="0"/>
          <w:bCs/>
          <w:szCs w:val="22"/>
        </w:rPr>
        <w:t>2017</w:t>
      </w:r>
      <w:r w:rsidR="006B0023" w:rsidRPr="00946C20">
        <w:rPr>
          <w:rFonts w:cs="Arial"/>
          <w:b w:val="0"/>
          <w:bCs/>
          <w:szCs w:val="22"/>
        </w:rPr>
        <w:t xml:space="preserve"> </w:t>
      </w:r>
      <w:r w:rsidRPr="00946C20">
        <w:rPr>
          <w:rFonts w:cs="Arial"/>
          <w:b w:val="0"/>
          <w:bCs/>
          <w:szCs w:val="22"/>
        </w:rPr>
        <w:t>EECRF of (a) $4,</w:t>
      </w:r>
      <w:r w:rsidR="00252FEC">
        <w:rPr>
          <w:rFonts w:cs="Arial"/>
          <w:b w:val="0"/>
          <w:bCs/>
          <w:szCs w:val="22"/>
        </w:rPr>
        <w:t>3</w:t>
      </w:r>
      <w:r w:rsidR="003D01EF">
        <w:rPr>
          <w:rFonts w:cs="Arial"/>
          <w:b w:val="0"/>
          <w:bCs/>
          <w:szCs w:val="22"/>
        </w:rPr>
        <w:t>9</w:t>
      </w:r>
      <w:r w:rsidR="00252FEC">
        <w:rPr>
          <w:rFonts w:cs="Arial"/>
          <w:b w:val="0"/>
          <w:bCs/>
          <w:szCs w:val="22"/>
        </w:rPr>
        <w:t>4,650</w:t>
      </w:r>
      <w:r w:rsidR="00937A5D" w:rsidRPr="00946C20">
        <w:rPr>
          <w:rFonts w:cs="Arial"/>
          <w:b w:val="0"/>
          <w:bCs/>
          <w:szCs w:val="22"/>
        </w:rPr>
        <w:t xml:space="preserve"> </w:t>
      </w:r>
      <w:r w:rsidRPr="00946C20">
        <w:rPr>
          <w:rFonts w:cs="Arial"/>
          <w:b w:val="0"/>
          <w:bCs/>
          <w:szCs w:val="22"/>
        </w:rPr>
        <w:t xml:space="preserve">in </w:t>
      </w:r>
      <w:r w:rsidRPr="00C12025">
        <w:rPr>
          <w:rFonts w:cs="Arial"/>
          <w:b w:val="0"/>
          <w:bCs/>
          <w:szCs w:val="22"/>
        </w:rPr>
        <w:t xml:space="preserve">energy efficiency </w:t>
      </w:r>
      <w:r w:rsidR="00716D04">
        <w:rPr>
          <w:rFonts w:cs="Arial"/>
          <w:b w:val="0"/>
          <w:bCs/>
          <w:szCs w:val="22"/>
        </w:rPr>
        <w:t xml:space="preserve">program </w:t>
      </w:r>
      <w:r w:rsidRPr="00C12025">
        <w:rPr>
          <w:rFonts w:cs="Arial"/>
          <w:b w:val="0"/>
          <w:bCs/>
          <w:szCs w:val="22"/>
        </w:rPr>
        <w:t>costs</w:t>
      </w:r>
      <w:r w:rsidR="00716D04">
        <w:rPr>
          <w:rFonts w:cs="Arial"/>
          <w:b w:val="0"/>
          <w:bCs/>
          <w:szCs w:val="22"/>
        </w:rPr>
        <w:t xml:space="preserve"> </w:t>
      </w:r>
      <w:r w:rsidRPr="00C12025">
        <w:rPr>
          <w:rFonts w:cs="Arial"/>
          <w:b w:val="0"/>
          <w:bCs/>
          <w:szCs w:val="22"/>
        </w:rPr>
        <w:t xml:space="preserve">projected to be incurred from January 1 through December 31, </w:t>
      </w:r>
      <w:r w:rsidR="00295696">
        <w:rPr>
          <w:rFonts w:cs="Arial"/>
          <w:b w:val="0"/>
          <w:bCs/>
          <w:szCs w:val="22"/>
        </w:rPr>
        <w:t>201</w:t>
      </w:r>
      <w:r w:rsidR="00AA03DF">
        <w:rPr>
          <w:rFonts w:cs="Arial"/>
          <w:b w:val="0"/>
          <w:bCs/>
          <w:szCs w:val="22"/>
        </w:rPr>
        <w:t>7</w:t>
      </w:r>
      <w:r w:rsidR="004831DF">
        <w:rPr>
          <w:rFonts w:cs="Arial"/>
          <w:b w:val="0"/>
          <w:bCs/>
          <w:szCs w:val="22"/>
        </w:rPr>
        <w:t>;</w:t>
      </w:r>
      <w:r w:rsidRPr="00C12025">
        <w:rPr>
          <w:rFonts w:cs="Arial"/>
          <w:b w:val="0"/>
          <w:bCs/>
          <w:szCs w:val="22"/>
        </w:rPr>
        <w:t xml:space="preserve"> </w:t>
      </w:r>
      <w:r w:rsidR="000A5980" w:rsidRPr="00C12025">
        <w:rPr>
          <w:rFonts w:cs="Arial"/>
          <w:b w:val="0"/>
          <w:bCs/>
          <w:szCs w:val="22"/>
        </w:rPr>
        <w:t>(</w:t>
      </w:r>
      <w:r w:rsidR="000A5980">
        <w:rPr>
          <w:rFonts w:cs="Arial"/>
          <w:b w:val="0"/>
          <w:bCs/>
          <w:szCs w:val="22"/>
        </w:rPr>
        <w:t>b</w:t>
      </w:r>
      <w:r w:rsidR="000A5980" w:rsidRPr="00C12025">
        <w:rPr>
          <w:rFonts w:cs="Arial"/>
          <w:b w:val="0"/>
          <w:bCs/>
          <w:szCs w:val="22"/>
        </w:rPr>
        <w:t xml:space="preserve">) a performance </w:t>
      </w:r>
      <w:r w:rsidR="000A5980">
        <w:rPr>
          <w:rFonts w:cs="Arial"/>
          <w:b w:val="0"/>
          <w:bCs/>
          <w:szCs w:val="22"/>
        </w:rPr>
        <w:t>incentive</w:t>
      </w:r>
      <w:r w:rsidR="000A5980" w:rsidRPr="00C12025">
        <w:rPr>
          <w:rFonts w:cs="Arial"/>
          <w:b w:val="0"/>
          <w:bCs/>
          <w:szCs w:val="22"/>
        </w:rPr>
        <w:t xml:space="preserve"> for 201</w:t>
      </w:r>
      <w:r w:rsidR="00EC3434">
        <w:rPr>
          <w:rFonts w:cs="Arial"/>
          <w:b w:val="0"/>
          <w:bCs/>
          <w:szCs w:val="22"/>
        </w:rPr>
        <w:t>5</w:t>
      </w:r>
      <w:r w:rsidR="000A5980" w:rsidRPr="00C12025">
        <w:rPr>
          <w:rFonts w:cs="Arial"/>
          <w:b w:val="0"/>
          <w:bCs/>
          <w:szCs w:val="22"/>
        </w:rPr>
        <w:t xml:space="preserve"> of $</w:t>
      </w:r>
      <w:r w:rsidR="00EC3434">
        <w:rPr>
          <w:rFonts w:cs="Arial"/>
          <w:b w:val="0"/>
          <w:bCs/>
          <w:szCs w:val="22"/>
        </w:rPr>
        <w:t>512,545</w:t>
      </w:r>
      <w:r w:rsidR="004831DF">
        <w:rPr>
          <w:rFonts w:cs="Arial"/>
          <w:b w:val="0"/>
          <w:bCs/>
          <w:szCs w:val="22"/>
        </w:rPr>
        <w:t>;</w:t>
      </w:r>
      <w:r w:rsidR="00EC3434">
        <w:rPr>
          <w:rFonts w:cs="Arial"/>
          <w:b w:val="0"/>
          <w:bCs/>
          <w:szCs w:val="22"/>
        </w:rPr>
        <w:t xml:space="preserve"> (c) EPE’s 2015</w:t>
      </w:r>
      <w:r w:rsidR="000A5980">
        <w:rPr>
          <w:rFonts w:cs="Arial"/>
          <w:b w:val="0"/>
          <w:bCs/>
          <w:szCs w:val="22"/>
        </w:rPr>
        <w:t xml:space="preserve"> EE</w:t>
      </w:r>
      <w:r w:rsidR="00EC3434">
        <w:rPr>
          <w:rFonts w:cs="Arial"/>
          <w:b w:val="0"/>
          <w:bCs/>
          <w:szCs w:val="22"/>
        </w:rPr>
        <w:t>CRF proceeding expenses of $83,290</w:t>
      </w:r>
      <w:r w:rsidR="004831DF">
        <w:rPr>
          <w:rFonts w:cs="Arial"/>
          <w:b w:val="0"/>
          <w:bCs/>
          <w:szCs w:val="22"/>
        </w:rPr>
        <w:t>;</w:t>
      </w:r>
      <w:r w:rsidR="00EC3434">
        <w:rPr>
          <w:rFonts w:cs="Arial"/>
          <w:b w:val="0"/>
          <w:bCs/>
          <w:szCs w:val="22"/>
        </w:rPr>
        <w:t xml:space="preserve"> and</w:t>
      </w:r>
      <w:r w:rsidR="00716D04">
        <w:rPr>
          <w:rFonts w:cs="Arial"/>
          <w:b w:val="0"/>
          <w:bCs/>
          <w:szCs w:val="22"/>
        </w:rPr>
        <w:t xml:space="preserve"> (</w:t>
      </w:r>
      <w:r w:rsidR="000A5980">
        <w:rPr>
          <w:rFonts w:cs="Arial"/>
          <w:b w:val="0"/>
          <w:bCs/>
          <w:szCs w:val="22"/>
        </w:rPr>
        <w:t>d</w:t>
      </w:r>
      <w:r w:rsidR="00716D04">
        <w:rPr>
          <w:rFonts w:cs="Arial"/>
          <w:b w:val="0"/>
          <w:bCs/>
          <w:szCs w:val="22"/>
        </w:rPr>
        <w:t>)</w:t>
      </w:r>
      <w:r w:rsidR="00EF0598" w:rsidRPr="00C12025">
        <w:rPr>
          <w:rFonts w:cs="Arial"/>
          <w:b w:val="0"/>
          <w:bCs/>
          <w:szCs w:val="22"/>
        </w:rPr>
        <w:t> </w:t>
      </w:r>
      <w:r w:rsidR="00CC6B16" w:rsidRPr="00C12025">
        <w:rPr>
          <w:rFonts w:cs="Arial"/>
          <w:b w:val="0"/>
          <w:bCs/>
          <w:szCs w:val="22"/>
        </w:rPr>
        <w:t>the 201</w:t>
      </w:r>
      <w:r w:rsidR="00EC3434">
        <w:rPr>
          <w:rFonts w:cs="Arial"/>
          <w:b w:val="0"/>
          <w:bCs/>
          <w:szCs w:val="22"/>
        </w:rPr>
        <w:t>5</w:t>
      </w:r>
      <w:r w:rsidR="00CC6B16" w:rsidRPr="00C12025">
        <w:rPr>
          <w:rFonts w:cs="Arial"/>
          <w:b w:val="0"/>
          <w:bCs/>
          <w:szCs w:val="22"/>
        </w:rPr>
        <w:t xml:space="preserve"> </w:t>
      </w:r>
      <w:r w:rsidR="00416134" w:rsidRPr="00100B79">
        <w:rPr>
          <w:rFonts w:cs="Arial"/>
          <w:b w:val="0"/>
          <w:bCs/>
          <w:szCs w:val="22"/>
        </w:rPr>
        <w:t>over</w:t>
      </w:r>
      <w:r w:rsidR="00CC6B16" w:rsidRPr="00100B79">
        <w:rPr>
          <w:rFonts w:cs="Arial"/>
          <w:b w:val="0"/>
          <w:bCs/>
          <w:szCs w:val="22"/>
        </w:rPr>
        <w:t>-recovery</w:t>
      </w:r>
      <w:r w:rsidR="00CC6B16" w:rsidRPr="00C12025">
        <w:rPr>
          <w:rFonts w:cs="Arial"/>
          <w:b w:val="0"/>
          <w:bCs/>
          <w:szCs w:val="22"/>
        </w:rPr>
        <w:t xml:space="preserve"> revenue amount of $</w:t>
      </w:r>
      <w:r w:rsidR="00EC3434">
        <w:rPr>
          <w:rFonts w:cs="Arial"/>
          <w:b w:val="0"/>
          <w:bCs/>
          <w:szCs w:val="22"/>
        </w:rPr>
        <w:t xml:space="preserve">380,039.  </w:t>
      </w:r>
      <w:r w:rsidRPr="00946C20">
        <w:rPr>
          <w:rFonts w:cs="Arial"/>
          <w:b w:val="0"/>
          <w:szCs w:val="22"/>
        </w:rPr>
        <w:t xml:space="preserve">EPE requested that the EECRF be applicable beginning January 1, </w:t>
      </w:r>
      <w:r w:rsidR="00994EEE">
        <w:rPr>
          <w:rFonts w:cs="Arial"/>
          <w:b w:val="0"/>
          <w:szCs w:val="22"/>
        </w:rPr>
        <w:t>201</w:t>
      </w:r>
      <w:r w:rsidR="00EC3434">
        <w:rPr>
          <w:rFonts w:cs="Arial"/>
          <w:b w:val="0"/>
          <w:szCs w:val="22"/>
        </w:rPr>
        <w:t>7</w:t>
      </w:r>
      <w:r w:rsidRPr="00946C20">
        <w:rPr>
          <w:rFonts w:cs="Arial"/>
          <w:b w:val="0"/>
          <w:szCs w:val="22"/>
        </w:rPr>
        <w:t xml:space="preserve">. The </w:t>
      </w:r>
      <w:r w:rsidR="00CB41AD">
        <w:rPr>
          <w:rFonts w:cs="Arial"/>
          <w:b w:val="0"/>
          <w:szCs w:val="22"/>
        </w:rPr>
        <w:t>F</w:t>
      </w:r>
      <w:r w:rsidRPr="00946C20">
        <w:rPr>
          <w:rFonts w:cs="Arial"/>
          <w:b w:val="0"/>
          <w:szCs w:val="22"/>
        </w:rPr>
        <w:t xml:space="preserve">inal </w:t>
      </w:r>
      <w:r w:rsidR="00CB41AD">
        <w:rPr>
          <w:rFonts w:cs="Arial"/>
          <w:b w:val="0"/>
          <w:szCs w:val="22"/>
        </w:rPr>
        <w:t>O</w:t>
      </w:r>
      <w:r w:rsidRPr="00946C20">
        <w:rPr>
          <w:rFonts w:cs="Arial"/>
          <w:b w:val="0"/>
          <w:szCs w:val="22"/>
        </w:rPr>
        <w:t>rder in Docket No.</w:t>
      </w:r>
      <w:r w:rsidR="00E540C9" w:rsidRPr="00946C20">
        <w:rPr>
          <w:rFonts w:cs="Arial"/>
          <w:b w:val="0"/>
          <w:szCs w:val="22"/>
        </w:rPr>
        <w:t> </w:t>
      </w:r>
      <w:r w:rsidR="00416134">
        <w:rPr>
          <w:rFonts w:cs="Arial"/>
          <w:b w:val="0"/>
          <w:szCs w:val="22"/>
        </w:rPr>
        <w:t>4</w:t>
      </w:r>
      <w:r w:rsidR="003303BA">
        <w:rPr>
          <w:rFonts w:cs="Arial"/>
          <w:b w:val="0"/>
          <w:szCs w:val="22"/>
        </w:rPr>
        <w:t>5885</w:t>
      </w:r>
      <w:r w:rsidR="00CB41AD" w:rsidRPr="00946C20">
        <w:rPr>
          <w:rFonts w:cs="Arial"/>
          <w:b w:val="0"/>
          <w:szCs w:val="22"/>
        </w:rPr>
        <w:t xml:space="preserve"> </w:t>
      </w:r>
      <w:r w:rsidRPr="00946C20">
        <w:rPr>
          <w:rFonts w:cs="Arial"/>
          <w:b w:val="0"/>
          <w:szCs w:val="22"/>
        </w:rPr>
        <w:t xml:space="preserve">concluded that the filing conformed to the requirements of </w:t>
      </w:r>
      <w:r w:rsidR="005B6C4E">
        <w:rPr>
          <w:rFonts w:cs="Arial"/>
          <w:b w:val="0"/>
          <w:szCs w:val="22"/>
        </w:rPr>
        <w:t>the EE Rule</w:t>
      </w:r>
      <w:r w:rsidRPr="00946C20">
        <w:rPr>
          <w:rFonts w:cs="Arial"/>
          <w:b w:val="0"/>
          <w:szCs w:val="22"/>
        </w:rPr>
        <w:t>.</w:t>
      </w:r>
      <w:r w:rsidRPr="00946C20">
        <w:rPr>
          <w:rStyle w:val="FootnoteReference"/>
          <w:rFonts w:cs="Arial"/>
          <w:b w:val="0"/>
          <w:szCs w:val="22"/>
        </w:rPr>
        <w:footnoteReference w:id="12"/>
      </w:r>
      <w:r w:rsidRPr="00946C20">
        <w:rPr>
          <w:rFonts w:cs="Arial"/>
          <w:b w:val="0"/>
          <w:szCs w:val="22"/>
        </w:rPr>
        <w:t xml:space="preserve">  </w:t>
      </w:r>
      <w:r w:rsidR="004848F6">
        <w:rPr>
          <w:rFonts w:cs="Arial"/>
          <w:b w:val="0"/>
        </w:rPr>
        <w:t>The order also found</w:t>
      </w:r>
      <w:r w:rsidR="004848F6" w:rsidRPr="000B6FC1">
        <w:rPr>
          <w:rFonts w:cs="Arial"/>
          <w:b w:val="0"/>
        </w:rPr>
        <w:t xml:space="preserve"> the allocation of the energy efficiency costs and performance </w:t>
      </w:r>
      <w:r w:rsidR="004848F6">
        <w:rPr>
          <w:rFonts w:cs="Arial"/>
          <w:b w:val="0"/>
        </w:rPr>
        <w:t>incentive</w:t>
      </w:r>
      <w:r w:rsidR="004848F6" w:rsidRPr="000B6FC1">
        <w:rPr>
          <w:rFonts w:cs="Arial"/>
          <w:b w:val="0"/>
        </w:rPr>
        <w:t xml:space="preserve"> in accordance with</w:t>
      </w:r>
      <w:r w:rsidR="004848F6">
        <w:rPr>
          <w:rFonts w:cs="Arial"/>
          <w:b w:val="0"/>
        </w:rPr>
        <w:t xml:space="preserve"> </w:t>
      </w:r>
      <w:r w:rsidR="00441688">
        <w:rPr>
          <w:rFonts w:cs="Arial"/>
          <w:b w:val="0"/>
        </w:rPr>
        <w:t>the EE Rule</w:t>
      </w:r>
      <w:r w:rsidRPr="001D0063">
        <w:rPr>
          <w:rFonts w:cs="Arial"/>
          <w:b w:val="0"/>
        </w:rPr>
        <w:t>.</w:t>
      </w:r>
      <w:r w:rsidRPr="001D0063">
        <w:rPr>
          <w:rStyle w:val="FootnoteReference"/>
          <w:rFonts w:cs="Arial"/>
          <w:b w:val="0"/>
        </w:rPr>
        <w:footnoteReference w:id="13"/>
      </w:r>
      <w:r w:rsidRPr="000B6FC1">
        <w:rPr>
          <w:rFonts w:cs="Arial"/>
          <w:b w:val="0"/>
        </w:rPr>
        <w:t xml:space="preserve"> The</w:t>
      </w:r>
      <w:r w:rsidR="00401F65">
        <w:rPr>
          <w:rFonts w:cs="Arial"/>
          <w:b w:val="0"/>
        </w:rPr>
        <w:t xml:space="preserve"> recovery of the</w:t>
      </w:r>
      <w:r w:rsidRPr="000B6FC1">
        <w:rPr>
          <w:rFonts w:cs="Arial"/>
          <w:b w:val="0"/>
        </w:rPr>
        <w:t xml:space="preserve"> agreed</w:t>
      </w:r>
      <w:r w:rsidR="004C6DC9">
        <w:rPr>
          <w:rFonts w:cs="Arial"/>
          <w:b w:val="0"/>
        </w:rPr>
        <w:t>-</w:t>
      </w:r>
      <w:r w:rsidRPr="000D596C">
        <w:rPr>
          <w:rFonts w:cs="Arial"/>
          <w:b w:val="0"/>
        </w:rPr>
        <w:t xml:space="preserve">upon EECRF amount of </w:t>
      </w:r>
      <w:r w:rsidR="000D596C" w:rsidRPr="000D596C">
        <w:rPr>
          <w:rFonts w:cs="Arial"/>
          <w:b w:val="0"/>
        </w:rPr>
        <w:t>$</w:t>
      </w:r>
      <w:r w:rsidR="00EC3434">
        <w:rPr>
          <w:rFonts w:cs="Arial"/>
          <w:b w:val="0"/>
        </w:rPr>
        <w:t>4,610,446</w:t>
      </w:r>
      <w:r w:rsidR="00401F65">
        <w:rPr>
          <w:rFonts w:cs="Arial"/>
          <w:b w:val="0"/>
        </w:rPr>
        <w:t xml:space="preserve"> is based </w:t>
      </w:r>
      <w:r w:rsidR="00160030">
        <w:rPr>
          <w:rFonts w:cs="Arial"/>
          <w:b w:val="0"/>
        </w:rPr>
        <w:t>on a dollar per kWh rate.</w:t>
      </w:r>
      <w:r w:rsidRPr="000D596C">
        <w:rPr>
          <w:rFonts w:cs="Arial"/>
          <w:b w:val="0"/>
        </w:rPr>
        <w:t xml:space="preserve"> </w:t>
      </w:r>
      <w:r w:rsidRPr="000B6FC1">
        <w:rPr>
          <w:rFonts w:cs="Arial"/>
          <w:b w:val="0"/>
        </w:rPr>
        <w:t xml:space="preserve">The </w:t>
      </w:r>
      <w:r w:rsidR="006B0023">
        <w:rPr>
          <w:rFonts w:cs="Arial"/>
          <w:b w:val="0"/>
        </w:rPr>
        <w:t xml:space="preserve">2017 </w:t>
      </w:r>
      <w:r w:rsidRPr="000B6FC1">
        <w:rPr>
          <w:rFonts w:cs="Arial"/>
          <w:b w:val="0"/>
        </w:rPr>
        <w:t xml:space="preserve">cost recovery factors by rate </w:t>
      </w:r>
      <w:r w:rsidR="002B1CAB">
        <w:rPr>
          <w:rFonts w:cs="Arial"/>
          <w:b w:val="0"/>
        </w:rPr>
        <w:t>are listed in Table 12.</w:t>
      </w:r>
    </w:p>
    <w:p w14:paraId="4ECA2A9F" w14:textId="77777777" w:rsidR="00BC1FCD" w:rsidRPr="000B6FC1" w:rsidRDefault="00BC1FCD" w:rsidP="00911709">
      <w:pPr>
        <w:pStyle w:val="BodyText"/>
        <w:spacing w:before="0" w:after="0" w:line="240" w:lineRule="auto"/>
        <w:rPr>
          <w:rFonts w:cs="Arial"/>
          <w:b w:val="0"/>
        </w:rPr>
      </w:pPr>
    </w:p>
    <w:p w14:paraId="3CD1EC87" w14:textId="6E9AEE3F" w:rsidR="00BC1FCD" w:rsidRDefault="00BC1FCD" w:rsidP="00911709">
      <w:pPr>
        <w:pStyle w:val="Caption"/>
        <w:keepNext/>
        <w:keepLines/>
        <w:spacing w:before="0" w:after="0"/>
      </w:pPr>
      <w:r w:rsidRPr="002E471D">
        <w:t xml:space="preserve">Table </w:t>
      </w:r>
      <w:r>
        <w:t>1</w:t>
      </w:r>
      <w:r w:rsidR="00D77C35">
        <w:t>2</w:t>
      </w:r>
      <w:r w:rsidRPr="002E471D">
        <w:t xml:space="preserve">: </w:t>
      </w:r>
      <w:r>
        <w:t xml:space="preserve"> </w:t>
      </w:r>
      <w:r w:rsidR="006B0023">
        <w:t xml:space="preserve">2017 </w:t>
      </w:r>
      <w:r w:rsidR="00242118">
        <w:t xml:space="preserve">EECRF </w:t>
      </w:r>
      <w:r w:rsidRPr="00A32B83">
        <w:t>Monthly Rates</w:t>
      </w:r>
      <w:r w:rsidR="00A47FFB">
        <w:t xml:space="preserve"> </w:t>
      </w:r>
    </w:p>
    <w:p w14:paraId="5C6BDDEB" w14:textId="77777777" w:rsidR="00BC1FCD" w:rsidRPr="000D3596" w:rsidRDefault="00BC1FCD" w:rsidP="00911709">
      <w:pPr>
        <w:keepNext/>
        <w:keepLines/>
      </w:pPr>
    </w:p>
    <w:tbl>
      <w:tblPr>
        <w:tblStyle w:val="TableGrid"/>
        <w:tblW w:w="9540" w:type="dxa"/>
        <w:jc w:val="center"/>
        <w:tblLayout w:type="fixed"/>
        <w:tblLook w:val="04A0" w:firstRow="1" w:lastRow="0" w:firstColumn="1" w:lastColumn="0" w:noHBand="0" w:noVBand="1"/>
      </w:tblPr>
      <w:tblGrid>
        <w:gridCol w:w="1080"/>
        <w:gridCol w:w="6013"/>
        <w:gridCol w:w="2447"/>
      </w:tblGrid>
      <w:tr w:rsidR="00BC1FCD" w:rsidRPr="000D3596" w14:paraId="27647DC0" w14:textId="77777777" w:rsidTr="00A42AE5">
        <w:trPr>
          <w:jc w:val="center"/>
        </w:trPr>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2D6946" w14:textId="77777777" w:rsidR="00BC1FCD" w:rsidRPr="000D3596" w:rsidRDefault="00BC1FCD" w:rsidP="00911709">
            <w:pPr>
              <w:keepNext/>
              <w:keepLines/>
              <w:jc w:val="center"/>
              <w:rPr>
                <w:rFonts w:ascii="Arial" w:hAnsi="Arial" w:cs="Arial"/>
              </w:rPr>
            </w:pPr>
          </w:p>
          <w:p w14:paraId="362C614C" w14:textId="77777777" w:rsidR="00BC1FCD" w:rsidRPr="000D3596" w:rsidRDefault="00BC1FCD" w:rsidP="00911709">
            <w:pPr>
              <w:keepNext/>
              <w:keepLines/>
              <w:jc w:val="center"/>
              <w:rPr>
                <w:rFonts w:ascii="Arial" w:hAnsi="Arial" w:cs="Arial"/>
              </w:rPr>
            </w:pPr>
            <w:r w:rsidRPr="000D3596">
              <w:rPr>
                <w:rFonts w:ascii="Arial" w:hAnsi="Arial" w:cs="Arial"/>
              </w:rPr>
              <w:t>Rate</w:t>
            </w:r>
          </w:p>
          <w:p w14:paraId="5F9D634B" w14:textId="77777777" w:rsidR="00BC1FCD" w:rsidRPr="000D3596" w:rsidRDefault="00BC1FCD" w:rsidP="00911709">
            <w:pPr>
              <w:keepNext/>
              <w:keepLines/>
              <w:jc w:val="center"/>
              <w:rPr>
                <w:rFonts w:ascii="Arial" w:hAnsi="Arial" w:cs="Arial"/>
              </w:rPr>
            </w:pPr>
            <w:r w:rsidRPr="000D3596">
              <w:rPr>
                <w:rFonts w:ascii="Arial" w:hAnsi="Arial" w:cs="Arial"/>
              </w:rPr>
              <w:t>No.</w:t>
            </w:r>
          </w:p>
        </w:tc>
        <w:tc>
          <w:tcPr>
            <w:tcW w:w="6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F72769" w14:textId="77777777" w:rsidR="00BC1FCD" w:rsidRPr="000D3596" w:rsidRDefault="00BC1FCD" w:rsidP="00911709">
            <w:pPr>
              <w:keepNext/>
              <w:keepLines/>
              <w:jc w:val="center"/>
              <w:rPr>
                <w:rFonts w:ascii="Arial" w:hAnsi="Arial" w:cs="Arial"/>
              </w:rPr>
            </w:pPr>
            <w:r w:rsidRPr="000D3596">
              <w:rPr>
                <w:rFonts w:ascii="Arial" w:hAnsi="Arial" w:cs="Arial"/>
              </w:rPr>
              <w:t>Description</w:t>
            </w:r>
          </w:p>
        </w:tc>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AFC7F4" w14:textId="77777777" w:rsidR="00BC1FCD" w:rsidRPr="009B5D3E" w:rsidRDefault="00BC1FCD" w:rsidP="00911709">
            <w:pPr>
              <w:keepNext/>
              <w:keepLines/>
              <w:jc w:val="center"/>
              <w:rPr>
                <w:rFonts w:ascii="Arial" w:hAnsi="Arial" w:cs="Arial"/>
              </w:rPr>
            </w:pPr>
            <w:r w:rsidRPr="009B5D3E">
              <w:rPr>
                <w:rFonts w:ascii="Arial" w:hAnsi="Arial" w:cs="Arial"/>
              </w:rPr>
              <w:t>Energy Efficiency</w:t>
            </w:r>
          </w:p>
          <w:p w14:paraId="1196A932" w14:textId="77777777" w:rsidR="00BC1FCD" w:rsidRPr="009B5D3E" w:rsidRDefault="00BC1FCD" w:rsidP="00911709">
            <w:pPr>
              <w:keepNext/>
              <w:keepLines/>
              <w:jc w:val="center"/>
              <w:rPr>
                <w:rFonts w:ascii="Arial" w:hAnsi="Arial" w:cs="Arial"/>
              </w:rPr>
            </w:pPr>
            <w:r w:rsidRPr="009B5D3E">
              <w:rPr>
                <w:rFonts w:ascii="Arial" w:hAnsi="Arial" w:cs="Arial"/>
              </w:rPr>
              <w:t>Cost Recovery</w:t>
            </w:r>
          </w:p>
          <w:p w14:paraId="5BE59690" w14:textId="77777777" w:rsidR="00BC1FCD" w:rsidRPr="009B5D3E" w:rsidRDefault="00BC1FCD" w:rsidP="00911709">
            <w:pPr>
              <w:keepNext/>
              <w:keepLines/>
              <w:jc w:val="center"/>
              <w:rPr>
                <w:rFonts w:ascii="Arial" w:hAnsi="Arial" w:cs="Arial"/>
                <w:b w:val="0"/>
              </w:rPr>
            </w:pPr>
            <w:r w:rsidRPr="009B5D3E">
              <w:rPr>
                <w:rFonts w:ascii="Arial" w:hAnsi="Arial" w:cs="Arial"/>
              </w:rPr>
              <w:t>Factor</w:t>
            </w:r>
          </w:p>
          <w:p w14:paraId="11CE0362" w14:textId="77777777" w:rsidR="00BC1FCD" w:rsidRPr="009B5D3E" w:rsidRDefault="00BC1FCD" w:rsidP="00911709">
            <w:pPr>
              <w:keepNext/>
              <w:keepLines/>
              <w:jc w:val="center"/>
              <w:rPr>
                <w:rFonts w:ascii="Arial" w:hAnsi="Arial" w:cs="Arial"/>
                <w:b w:val="0"/>
              </w:rPr>
            </w:pPr>
            <w:r w:rsidRPr="009B5D3E">
              <w:rPr>
                <w:rFonts w:ascii="Arial" w:hAnsi="Arial" w:cs="Arial"/>
              </w:rPr>
              <w:t>($/kWh)</w:t>
            </w:r>
          </w:p>
        </w:tc>
      </w:tr>
      <w:tr w:rsidR="00BC1FCD" w:rsidRPr="000D3596" w14:paraId="27C33E1C"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5538FC99" w14:textId="77777777" w:rsidR="00BC1FCD" w:rsidRPr="000D3596" w:rsidRDefault="00BC1FCD" w:rsidP="00420813">
            <w:pPr>
              <w:tabs>
                <w:tab w:val="left" w:pos="4110"/>
              </w:tabs>
              <w:jc w:val="right"/>
              <w:rPr>
                <w:rFonts w:ascii="Arial" w:hAnsi="Arial" w:cs="Arial"/>
                <w:b w:val="0"/>
              </w:rPr>
            </w:pPr>
            <w:r w:rsidRPr="000D3596">
              <w:rPr>
                <w:rFonts w:ascii="Arial" w:hAnsi="Arial" w:cs="Arial"/>
                <w:b w:val="0"/>
              </w:rPr>
              <w:t>01</w:t>
            </w:r>
          </w:p>
        </w:tc>
        <w:tc>
          <w:tcPr>
            <w:tcW w:w="6013" w:type="dxa"/>
            <w:tcBorders>
              <w:top w:val="single" w:sz="4" w:space="0" w:color="auto"/>
              <w:left w:val="single" w:sz="4" w:space="0" w:color="auto"/>
              <w:bottom w:val="single" w:sz="4" w:space="0" w:color="auto"/>
              <w:right w:val="single" w:sz="4" w:space="0" w:color="auto"/>
            </w:tcBorders>
            <w:vAlign w:val="center"/>
          </w:tcPr>
          <w:p w14:paraId="063F6F39" w14:textId="77777777" w:rsidR="00BC1FCD" w:rsidRPr="000D3596" w:rsidRDefault="00BC1FCD" w:rsidP="00911709">
            <w:pPr>
              <w:rPr>
                <w:rFonts w:ascii="Arial" w:hAnsi="Arial" w:cs="Arial"/>
                <w:b w:val="0"/>
              </w:rPr>
            </w:pPr>
            <w:r w:rsidRPr="000D3596">
              <w:rPr>
                <w:rFonts w:ascii="Arial" w:hAnsi="Arial" w:cs="Arial"/>
                <w:b w:val="0"/>
              </w:rPr>
              <w:t>Residential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4A9A97ED" w14:textId="12A919EC"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2B1766">
              <w:rPr>
                <w:rFonts w:ascii="Arial" w:hAnsi="Arial" w:cs="Arial"/>
                <w:b w:val="0"/>
              </w:rPr>
              <w:t>0.000704</w:t>
            </w:r>
          </w:p>
        </w:tc>
      </w:tr>
      <w:tr w:rsidR="00BC1FCD" w:rsidRPr="000D3596" w14:paraId="01F8671A"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83277F1" w14:textId="77777777" w:rsidR="00BC1FCD" w:rsidRPr="000D3596" w:rsidRDefault="00BC1FCD" w:rsidP="00420813">
            <w:pPr>
              <w:tabs>
                <w:tab w:val="left" w:pos="4110"/>
              </w:tabs>
              <w:jc w:val="right"/>
              <w:rPr>
                <w:rFonts w:ascii="Arial" w:hAnsi="Arial" w:cs="Arial"/>
                <w:b w:val="0"/>
              </w:rPr>
            </w:pPr>
            <w:r w:rsidRPr="000D3596">
              <w:rPr>
                <w:rFonts w:ascii="Arial" w:hAnsi="Arial" w:cs="Arial"/>
                <w:b w:val="0"/>
              </w:rPr>
              <w:t>02</w:t>
            </w:r>
          </w:p>
        </w:tc>
        <w:tc>
          <w:tcPr>
            <w:tcW w:w="6013" w:type="dxa"/>
            <w:tcBorders>
              <w:top w:val="single" w:sz="4" w:space="0" w:color="auto"/>
              <w:left w:val="single" w:sz="4" w:space="0" w:color="auto"/>
              <w:bottom w:val="single" w:sz="4" w:space="0" w:color="auto"/>
              <w:right w:val="single" w:sz="4" w:space="0" w:color="auto"/>
            </w:tcBorders>
            <w:vAlign w:val="center"/>
          </w:tcPr>
          <w:p w14:paraId="132FFBC5" w14:textId="77777777" w:rsidR="00BC1FCD" w:rsidRPr="000D3596" w:rsidRDefault="00BC1FCD" w:rsidP="00911709">
            <w:pPr>
              <w:rPr>
                <w:rFonts w:ascii="Arial" w:hAnsi="Arial" w:cs="Arial"/>
                <w:b w:val="0"/>
              </w:rPr>
            </w:pPr>
            <w:r w:rsidRPr="000D3596">
              <w:rPr>
                <w:rFonts w:ascii="Arial" w:hAnsi="Arial" w:cs="Arial"/>
                <w:b w:val="0"/>
              </w:rPr>
              <w:t>Small Commercial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32DA7648" w14:textId="7C54223C"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2B1766">
              <w:rPr>
                <w:rFonts w:ascii="Arial" w:hAnsi="Arial" w:cs="Arial"/>
                <w:b w:val="0"/>
              </w:rPr>
              <w:t>0.004017</w:t>
            </w:r>
          </w:p>
        </w:tc>
      </w:tr>
      <w:tr w:rsidR="00BC1FCD" w:rsidRPr="000D3596" w14:paraId="17C87BB6"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3197F3BD" w14:textId="77777777" w:rsidR="00BC1FCD" w:rsidRPr="000D3596" w:rsidRDefault="00BC1FCD" w:rsidP="00420813">
            <w:pPr>
              <w:jc w:val="right"/>
              <w:rPr>
                <w:rFonts w:ascii="Arial" w:hAnsi="Arial" w:cs="Arial"/>
                <w:b w:val="0"/>
              </w:rPr>
            </w:pPr>
            <w:r w:rsidRPr="000D3596">
              <w:rPr>
                <w:rFonts w:ascii="Arial" w:hAnsi="Arial" w:cs="Arial"/>
                <w:b w:val="0"/>
              </w:rPr>
              <w:t>07</w:t>
            </w:r>
          </w:p>
        </w:tc>
        <w:tc>
          <w:tcPr>
            <w:tcW w:w="6013" w:type="dxa"/>
            <w:tcBorders>
              <w:top w:val="single" w:sz="4" w:space="0" w:color="auto"/>
              <w:left w:val="single" w:sz="4" w:space="0" w:color="auto"/>
              <w:bottom w:val="single" w:sz="4" w:space="0" w:color="auto"/>
              <w:right w:val="single" w:sz="4" w:space="0" w:color="auto"/>
            </w:tcBorders>
            <w:vAlign w:val="center"/>
          </w:tcPr>
          <w:p w14:paraId="2D6E6258" w14:textId="77777777" w:rsidR="00BC1FCD" w:rsidRPr="000D3596" w:rsidRDefault="00BC1FCD" w:rsidP="00911709">
            <w:pPr>
              <w:rPr>
                <w:rFonts w:ascii="Arial" w:hAnsi="Arial" w:cs="Arial"/>
                <w:b w:val="0"/>
              </w:rPr>
            </w:pPr>
            <w:r w:rsidRPr="000D3596">
              <w:rPr>
                <w:rFonts w:ascii="Arial" w:hAnsi="Arial" w:cs="Arial"/>
                <w:b w:val="0"/>
              </w:rPr>
              <w:t>Outdoor Recreational Lighting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7EBF9BC9" w14:textId="42B25E25" w:rsidR="00BC1FCD" w:rsidRPr="009B5D3E" w:rsidRDefault="00AC11A5" w:rsidP="00911709">
            <w:pPr>
              <w:rPr>
                <w:rFonts w:ascii="Arial" w:hAnsi="Arial" w:cs="Arial"/>
                <w:b w:val="0"/>
              </w:rPr>
            </w:pPr>
            <w:r>
              <w:rPr>
                <w:rFonts w:ascii="Arial" w:hAnsi="Arial" w:cs="Arial"/>
                <w:b w:val="0"/>
              </w:rPr>
              <w:t xml:space="preserve">       </w:t>
            </w:r>
            <w:r w:rsidR="00BC1FCD"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(0.00040</w:t>
            </w:r>
            <w:r w:rsidR="002B1766">
              <w:rPr>
                <w:rFonts w:ascii="Arial" w:hAnsi="Arial" w:cs="Arial"/>
                <w:b w:val="0"/>
              </w:rPr>
              <w:t>7</w:t>
            </w:r>
            <w:r w:rsidR="00845EE3">
              <w:rPr>
                <w:rFonts w:ascii="Arial" w:hAnsi="Arial" w:cs="Arial"/>
                <w:b w:val="0"/>
              </w:rPr>
              <w:t>)</w:t>
            </w:r>
          </w:p>
        </w:tc>
      </w:tr>
      <w:tr w:rsidR="00BC1FCD" w:rsidRPr="000D3596" w14:paraId="17530452"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13EBB2E" w14:textId="77777777" w:rsidR="00BC1FCD" w:rsidRPr="000D3596" w:rsidRDefault="00BC1FCD" w:rsidP="00420813">
            <w:pPr>
              <w:jc w:val="right"/>
              <w:rPr>
                <w:rFonts w:ascii="Arial" w:hAnsi="Arial" w:cs="Arial"/>
                <w:b w:val="0"/>
              </w:rPr>
            </w:pPr>
            <w:r w:rsidRPr="000D3596">
              <w:rPr>
                <w:rFonts w:ascii="Arial" w:hAnsi="Arial" w:cs="Arial"/>
                <w:b w:val="0"/>
              </w:rPr>
              <w:t>08</w:t>
            </w:r>
          </w:p>
        </w:tc>
        <w:tc>
          <w:tcPr>
            <w:tcW w:w="6013" w:type="dxa"/>
            <w:tcBorders>
              <w:top w:val="single" w:sz="4" w:space="0" w:color="auto"/>
              <w:left w:val="single" w:sz="4" w:space="0" w:color="auto"/>
              <w:bottom w:val="single" w:sz="4" w:space="0" w:color="auto"/>
              <w:right w:val="single" w:sz="4" w:space="0" w:color="auto"/>
            </w:tcBorders>
            <w:vAlign w:val="center"/>
          </w:tcPr>
          <w:p w14:paraId="5E9F80D1" w14:textId="77777777" w:rsidR="00BC1FCD" w:rsidRPr="000D3596" w:rsidRDefault="00BC1FCD" w:rsidP="00911709">
            <w:pPr>
              <w:rPr>
                <w:rFonts w:ascii="Arial" w:hAnsi="Arial" w:cs="Arial"/>
                <w:b w:val="0"/>
              </w:rPr>
            </w:pPr>
            <w:r w:rsidRPr="000D3596">
              <w:rPr>
                <w:rFonts w:ascii="Arial" w:hAnsi="Arial" w:cs="Arial"/>
                <w:b w:val="0"/>
              </w:rPr>
              <w:t>Governmental Street Lighting and Signal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281DB91B" w14:textId="48B2E9DC" w:rsidR="00BC1FCD" w:rsidRPr="009B5D3E" w:rsidRDefault="00AC11A5" w:rsidP="00911709">
            <w:pPr>
              <w:jc w:val="center"/>
              <w:rPr>
                <w:rFonts w:ascii="Arial" w:hAnsi="Arial" w:cs="Arial"/>
                <w:b w:val="0"/>
              </w:rPr>
            </w:pPr>
            <w:r>
              <w:rPr>
                <w:rFonts w:ascii="Arial" w:hAnsi="Arial" w:cs="Arial"/>
                <w:b w:val="0"/>
              </w:rPr>
              <w:t xml:space="preserve"> </w:t>
            </w:r>
            <w:r w:rsidR="00BC1FCD" w:rsidRPr="009B5D3E">
              <w:rPr>
                <w:rFonts w:ascii="Arial" w:hAnsi="Arial" w:cs="Arial"/>
                <w:b w:val="0"/>
              </w:rPr>
              <w:t>$</w:t>
            </w:r>
            <w:r w:rsidR="00E96B48" w:rsidRPr="009B5D3E">
              <w:rPr>
                <w:rFonts w:ascii="Arial" w:hAnsi="Arial" w:cs="Arial"/>
                <w:b w:val="0"/>
              </w:rPr>
              <w:t xml:space="preserve"> </w:t>
            </w:r>
            <w:r w:rsidR="002B1766">
              <w:rPr>
                <w:rFonts w:ascii="Arial" w:hAnsi="Arial" w:cs="Arial"/>
                <w:b w:val="0"/>
              </w:rPr>
              <w:t>(0.00</w:t>
            </w:r>
            <w:r w:rsidR="00EC3434">
              <w:rPr>
                <w:rFonts w:ascii="Arial" w:hAnsi="Arial" w:cs="Arial"/>
                <w:b w:val="0"/>
              </w:rPr>
              <w:t>0</w:t>
            </w:r>
            <w:r w:rsidR="002B1766">
              <w:rPr>
                <w:rFonts w:ascii="Arial" w:hAnsi="Arial" w:cs="Arial"/>
                <w:b w:val="0"/>
              </w:rPr>
              <w:t>110)</w:t>
            </w:r>
          </w:p>
        </w:tc>
      </w:tr>
      <w:tr w:rsidR="002B1766" w:rsidRPr="000D3596" w14:paraId="2AA83CF3"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721D6063" w14:textId="1336FD3D" w:rsidR="002B1766" w:rsidRPr="000D3596" w:rsidRDefault="002B1766" w:rsidP="00420813">
            <w:pPr>
              <w:jc w:val="right"/>
              <w:rPr>
                <w:rFonts w:ascii="Arial" w:hAnsi="Arial" w:cs="Arial"/>
                <w:b w:val="0"/>
              </w:rPr>
            </w:pPr>
            <w:r>
              <w:rPr>
                <w:rFonts w:ascii="Arial" w:hAnsi="Arial" w:cs="Arial"/>
                <w:b w:val="0"/>
              </w:rPr>
              <w:t>09</w:t>
            </w:r>
          </w:p>
        </w:tc>
        <w:tc>
          <w:tcPr>
            <w:tcW w:w="6013" w:type="dxa"/>
            <w:tcBorders>
              <w:top w:val="single" w:sz="4" w:space="0" w:color="auto"/>
              <w:left w:val="single" w:sz="4" w:space="0" w:color="auto"/>
              <w:bottom w:val="single" w:sz="4" w:space="0" w:color="auto"/>
              <w:right w:val="single" w:sz="4" w:space="0" w:color="auto"/>
            </w:tcBorders>
            <w:vAlign w:val="center"/>
          </w:tcPr>
          <w:p w14:paraId="6C07A4C8" w14:textId="22081DFC" w:rsidR="002B1766" w:rsidRPr="000D3596" w:rsidRDefault="002B1766" w:rsidP="00911709">
            <w:pPr>
              <w:rPr>
                <w:rFonts w:ascii="Arial" w:hAnsi="Arial" w:cs="Arial"/>
                <w:b w:val="0"/>
              </w:rPr>
            </w:pPr>
            <w:r>
              <w:rPr>
                <w:rFonts w:ascii="Arial" w:hAnsi="Arial" w:cs="Arial"/>
                <w:b w:val="0"/>
              </w:rPr>
              <w:t>Governmental Traffic Signal Service</w:t>
            </w:r>
          </w:p>
        </w:tc>
        <w:tc>
          <w:tcPr>
            <w:tcW w:w="2447" w:type="dxa"/>
            <w:tcBorders>
              <w:top w:val="single" w:sz="4" w:space="0" w:color="auto"/>
              <w:left w:val="single" w:sz="4" w:space="0" w:color="auto"/>
              <w:bottom w:val="single" w:sz="4" w:space="0" w:color="auto"/>
              <w:right w:val="single" w:sz="4" w:space="0" w:color="auto"/>
            </w:tcBorders>
            <w:vAlign w:val="center"/>
          </w:tcPr>
          <w:p w14:paraId="7C497F5E" w14:textId="2C730917" w:rsidR="002B1766" w:rsidRPr="009B5D3E" w:rsidRDefault="002B1766" w:rsidP="00911709">
            <w:pPr>
              <w:jc w:val="center"/>
              <w:rPr>
                <w:rFonts w:ascii="Arial" w:hAnsi="Arial" w:cs="Arial"/>
                <w:b w:val="0"/>
              </w:rPr>
            </w:pPr>
            <w:r>
              <w:rPr>
                <w:rFonts w:ascii="Arial" w:hAnsi="Arial" w:cs="Arial"/>
                <w:b w:val="0"/>
              </w:rPr>
              <w:t>$0.000000</w:t>
            </w:r>
          </w:p>
        </w:tc>
      </w:tr>
      <w:tr w:rsidR="00BC1FCD" w:rsidRPr="000D3596" w14:paraId="1B6B2643"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66D98A83" w14:textId="77777777" w:rsidR="00BC1FCD" w:rsidRPr="000D3596" w:rsidRDefault="00BC1FCD" w:rsidP="00420813">
            <w:pPr>
              <w:jc w:val="right"/>
              <w:rPr>
                <w:rFonts w:ascii="Arial" w:hAnsi="Arial" w:cs="Arial"/>
                <w:b w:val="0"/>
              </w:rPr>
            </w:pPr>
            <w:r w:rsidRPr="000D3596">
              <w:rPr>
                <w:rFonts w:ascii="Arial" w:hAnsi="Arial" w:cs="Arial"/>
                <w:b w:val="0"/>
              </w:rPr>
              <w:t>11</w:t>
            </w:r>
          </w:p>
        </w:tc>
        <w:tc>
          <w:tcPr>
            <w:tcW w:w="6013" w:type="dxa"/>
            <w:tcBorders>
              <w:top w:val="single" w:sz="4" w:space="0" w:color="auto"/>
              <w:left w:val="single" w:sz="4" w:space="0" w:color="auto"/>
              <w:bottom w:val="single" w:sz="4" w:space="0" w:color="auto"/>
              <w:right w:val="single" w:sz="4" w:space="0" w:color="auto"/>
            </w:tcBorders>
            <w:vAlign w:val="center"/>
          </w:tcPr>
          <w:p w14:paraId="42A3C3CB" w14:textId="77777777" w:rsidR="00BC1FCD" w:rsidRPr="000D3596" w:rsidRDefault="00BC1FCD" w:rsidP="00911709">
            <w:pPr>
              <w:rPr>
                <w:rFonts w:ascii="Arial" w:hAnsi="Arial" w:cs="Arial"/>
                <w:b w:val="0"/>
              </w:rPr>
            </w:pPr>
            <w:r w:rsidRPr="000D3596">
              <w:rPr>
                <w:rFonts w:ascii="Arial" w:hAnsi="Arial" w:cs="Arial"/>
                <w:b w:val="0"/>
              </w:rPr>
              <w:t>Municipal Pumping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1F9B146C" w14:textId="59646FC7"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w:t>
            </w:r>
            <w:r w:rsidR="002B1766">
              <w:rPr>
                <w:rFonts w:ascii="Arial" w:hAnsi="Arial" w:cs="Arial"/>
                <w:b w:val="0"/>
              </w:rPr>
              <w:t>1121</w:t>
            </w:r>
            <w:r w:rsidR="00845EE3">
              <w:rPr>
                <w:rFonts w:ascii="Arial" w:hAnsi="Arial" w:cs="Arial"/>
                <w:b w:val="0"/>
              </w:rPr>
              <w:t>)</w:t>
            </w:r>
          </w:p>
        </w:tc>
      </w:tr>
      <w:tr w:rsidR="00BC1FCD" w:rsidRPr="000D3596" w14:paraId="395FF6F1"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78A7A690" w14:textId="77777777" w:rsidR="00BC1FCD" w:rsidRPr="000D3596" w:rsidRDefault="00BC1FCD" w:rsidP="00420813">
            <w:pPr>
              <w:jc w:val="right"/>
              <w:rPr>
                <w:rFonts w:ascii="Arial" w:hAnsi="Arial" w:cs="Arial"/>
                <w:b w:val="0"/>
              </w:rPr>
            </w:pPr>
            <w:r w:rsidRPr="000D3596">
              <w:rPr>
                <w:rFonts w:ascii="Arial" w:hAnsi="Arial" w:cs="Arial"/>
                <w:b w:val="0"/>
              </w:rPr>
              <w:t>11-TOU</w:t>
            </w:r>
          </w:p>
        </w:tc>
        <w:tc>
          <w:tcPr>
            <w:tcW w:w="6013" w:type="dxa"/>
            <w:tcBorders>
              <w:top w:val="single" w:sz="4" w:space="0" w:color="auto"/>
              <w:left w:val="single" w:sz="4" w:space="0" w:color="auto"/>
              <w:bottom w:val="single" w:sz="4" w:space="0" w:color="auto"/>
              <w:right w:val="single" w:sz="4" w:space="0" w:color="auto"/>
            </w:tcBorders>
            <w:vAlign w:val="center"/>
          </w:tcPr>
          <w:p w14:paraId="52ADD46D" w14:textId="77777777" w:rsidR="00BC1FCD" w:rsidRPr="000D3596" w:rsidRDefault="00BC1FCD" w:rsidP="00911709">
            <w:pPr>
              <w:rPr>
                <w:rFonts w:ascii="Arial" w:hAnsi="Arial" w:cs="Arial"/>
                <w:b w:val="0"/>
              </w:rPr>
            </w:pPr>
            <w:r w:rsidRPr="000D3596">
              <w:rPr>
                <w:rFonts w:ascii="Arial" w:hAnsi="Arial" w:cs="Arial"/>
                <w:b w:val="0"/>
              </w:rPr>
              <w:t>Time-Of-Use Municipal Pumping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71BB4C03" w14:textId="7D210E1D"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A83759">
              <w:rPr>
                <w:rFonts w:ascii="Arial" w:hAnsi="Arial" w:cs="Arial"/>
                <w:b w:val="0"/>
              </w:rPr>
              <w:t>(</w:t>
            </w:r>
            <w:r w:rsidR="00845EE3">
              <w:rPr>
                <w:rFonts w:ascii="Arial" w:hAnsi="Arial" w:cs="Arial"/>
                <w:b w:val="0"/>
              </w:rPr>
              <w:t>0.00</w:t>
            </w:r>
            <w:r w:rsidR="002B1766">
              <w:rPr>
                <w:rFonts w:ascii="Arial" w:hAnsi="Arial" w:cs="Arial"/>
                <w:b w:val="0"/>
              </w:rPr>
              <w:t>1121</w:t>
            </w:r>
            <w:r w:rsidR="00845EE3">
              <w:rPr>
                <w:rFonts w:ascii="Arial" w:hAnsi="Arial" w:cs="Arial"/>
                <w:b w:val="0"/>
              </w:rPr>
              <w:t>)</w:t>
            </w:r>
          </w:p>
        </w:tc>
      </w:tr>
      <w:tr w:rsidR="00BC1FCD" w:rsidRPr="000D3596" w14:paraId="512F2D69"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31914C1A" w14:textId="77777777" w:rsidR="00BC1FCD" w:rsidRPr="000D3596" w:rsidRDefault="00BC1FCD" w:rsidP="00420813">
            <w:pPr>
              <w:jc w:val="right"/>
              <w:rPr>
                <w:rFonts w:ascii="Arial" w:hAnsi="Arial" w:cs="Arial"/>
                <w:b w:val="0"/>
              </w:rPr>
            </w:pPr>
            <w:r w:rsidRPr="000D3596">
              <w:rPr>
                <w:rFonts w:ascii="Arial" w:hAnsi="Arial" w:cs="Arial"/>
                <w:b w:val="0"/>
              </w:rPr>
              <w:t>WH</w:t>
            </w:r>
          </w:p>
        </w:tc>
        <w:tc>
          <w:tcPr>
            <w:tcW w:w="6013" w:type="dxa"/>
            <w:tcBorders>
              <w:top w:val="single" w:sz="4" w:space="0" w:color="auto"/>
              <w:left w:val="single" w:sz="4" w:space="0" w:color="auto"/>
              <w:bottom w:val="single" w:sz="4" w:space="0" w:color="auto"/>
              <w:right w:val="single" w:sz="4" w:space="0" w:color="auto"/>
            </w:tcBorders>
            <w:vAlign w:val="center"/>
          </w:tcPr>
          <w:p w14:paraId="2E213F0A" w14:textId="77777777" w:rsidR="00BC1FCD" w:rsidRPr="000D3596" w:rsidRDefault="00BC1FCD" w:rsidP="00911709">
            <w:pPr>
              <w:rPr>
                <w:rFonts w:ascii="Arial" w:hAnsi="Arial" w:cs="Arial"/>
                <w:b w:val="0"/>
              </w:rPr>
            </w:pPr>
            <w:r w:rsidRPr="000D3596">
              <w:rPr>
                <w:rFonts w:ascii="Arial" w:hAnsi="Arial" w:cs="Arial"/>
                <w:b w:val="0"/>
              </w:rPr>
              <w:t>Water Heating</w:t>
            </w:r>
          </w:p>
        </w:tc>
        <w:tc>
          <w:tcPr>
            <w:tcW w:w="2447" w:type="dxa"/>
            <w:tcBorders>
              <w:top w:val="single" w:sz="4" w:space="0" w:color="auto"/>
              <w:left w:val="single" w:sz="4" w:space="0" w:color="auto"/>
              <w:bottom w:val="single" w:sz="4" w:space="0" w:color="auto"/>
              <w:right w:val="single" w:sz="4" w:space="0" w:color="auto"/>
            </w:tcBorders>
            <w:vAlign w:val="center"/>
          </w:tcPr>
          <w:p w14:paraId="4C7C21F2" w14:textId="78277328" w:rsidR="00BC1FCD" w:rsidRPr="009B5D3E" w:rsidRDefault="00A7160E" w:rsidP="00911709">
            <w:pPr>
              <w:jc w:val="center"/>
              <w:rPr>
                <w:rFonts w:ascii="Arial" w:hAnsi="Arial" w:cs="Arial"/>
                <w:b w:val="0"/>
              </w:rPr>
            </w:pPr>
            <w:r w:rsidRPr="009B5D3E">
              <w:rPr>
                <w:rFonts w:ascii="Arial" w:hAnsi="Arial" w:cs="Arial"/>
                <w:b w:val="0"/>
              </w:rPr>
              <w:t xml:space="preserve"> </w:t>
            </w:r>
            <w:r w:rsidR="00BC1FCD" w:rsidRPr="009B5D3E">
              <w:rPr>
                <w:rFonts w:ascii="Arial" w:hAnsi="Arial" w:cs="Arial"/>
                <w:b w:val="0"/>
              </w:rPr>
              <w:t>$</w:t>
            </w:r>
            <w:r w:rsidR="00575DCB" w:rsidRPr="009B5D3E">
              <w:rPr>
                <w:rFonts w:ascii="Arial" w:hAnsi="Arial" w:cs="Arial"/>
                <w:b w:val="0"/>
              </w:rPr>
              <w:t xml:space="preserve"> </w:t>
            </w:r>
            <w:r w:rsidR="00E96B48" w:rsidRPr="009B5D3E">
              <w:rPr>
                <w:rFonts w:ascii="Arial" w:hAnsi="Arial" w:cs="Arial"/>
                <w:b w:val="0"/>
              </w:rPr>
              <w:t xml:space="preserve"> </w:t>
            </w:r>
            <w:r w:rsidR="00845EE3">
              <w:rPr>
                <w:rFonts w:ascii="Arial" w:hAnsi="Arial" w:cs="Arial"/>
                <w:b w:val="0"/>
              </w:rPr>
              <w:t>(0.000</w:t>
            </w:r>
            <w:r w:rsidR="002B1766">
              <w:rPr>
                <w:rFonts w:ascii="Arial" w:hAnsi="Arial" w:cs="Arial"/>
                <w:b w:val="0"/>
              </w:rPr>
              <w:t>188</w:t>
            </w:r>
            <w:r w:rsidR="00845EE3">
              <w:rPr>
                <w:rFonts w:ascii="Arial" w:hAnsi="Arial" w:cs="Arial"/>
                <w:b w:val="0"/>
              </w:rPr>
              <w:t>)</w:t>
            </w:r>
          </w:p>
        </w:tc>
      </w:tr>
      <w:tr w:rsidR="00BC1FCD" w:rsidRPr="000D3596" w14:paraId="1E9E4826"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19EDEF96" w14:textId="77777777" w:rsidR="00BC1FCD" w:rsidRPr="000D3596" w:rsidRDefault="00BC1FCD" w:rsidP="00420813">
            <w:pPr>
              <w:jc w:val="right"/>
              <w:rPr>
                <w:rFonts w:ascii="Arial" w:hAnsi="Arial" w:cs="Arial"/>
                <w:b w:val="0"/>
              </w:rPr>
            </w:pPr>
            <w:r w:rsidRPr="000D3596">
              <w:rPr>
                <w:rFonts w:ascii="Arial" w:hAnsi="Arial" w:cs="Arial"/>
                <w:b w:val="0"/>
              </w:rPr>
              <w:t>22</w:t>
            </w:r>
          </w:p>
        </w:tc>
        <w:tc>
          <w:tcPr>
            <w:tcW w:w="6013" w:type="dxa"/>
            <w:tcBorders>
              <w:top w:val="single" w:sz="4" w:space="0" w:color="auto"/>
              <w:left w:val="single" w:sz="4" w:space="0" w:color="auto"/>
              <w:bottom w:val="single" w:sz="4" w:space="0" w:color="auto"/>
              <w:right w:val="single" w:sz="4" w:space="0" w:color="auto"/>
            </w:tcBorders>
            <w:vAlign w:val="center"/>
          </w:tcPr>
          <w:p w14:paraId="580D0A2F" w14:textId="77777777" w:rsidR="00BC1FCD" w:rsidRPr="000D3596" w:rsidRDefault="00BC1FCD" w:rsidP="00911709">
            <w:pPr>
              <w:rPr>
                <w:rFonts w:ascii="Arial" w:hAnsi="Arial" w:cs="Arial"/>
                <w:b w:val="0"/>
              </w:rPr>
            </w:pPr>
            <w:r w:rsidRPr="000D3596">
              <w:rPr>
                <w:rFonts w:ascii="Arial" w:hAnsi="Arial" w:cs="Arial"/>
                <w:b w:val="0"/>
              </w:rPr>
              <w:t>Irrigation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074C8BDD" w14:textId="1C79B2DB"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w:t>
            </w:r>
            <w:r w:rsidR="002B1766">
              <w:rPr>
                <w:rFonts w:ascii="Arial" w:hAnsi="Arial" w:cs="Arial"/>
                <w:b w:val="0"/>
              </w:rPr>
              <w:t>1053</w:t>
            </w:r>
            <w:r w:rsidR="00845EE3">
              <w:rPr>
                <w:rFonts w:ascii="Arial" w:hAnsi="Arial" w:cs="Arial"/>
                <w:b w:val="0"/>
              </w:rPr>
              <w:t>)</w:t>
            </w:r>
          </w:p>
        </w:tc>
      </w:tr>
      <w:tr w:rsidR="00BC1FCD" w:rsidRPr="000D3596" w14:paraId="19B1F377"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39428963" w14:textId="77777777" w:rsidR="00BC1FCD" w:rsidRPr="000D3596" w:rsidRDefault="00BC1FCD" w:rsidP="00420813">
            <w:pPr>
              <w:jc w:val="right"/>
              <w:rPr>
                <w:rFonts w:ascii="Arial" w:hAnsi="Arial" w:cs="Arial"/>
                <w:b w:val="0"/>
              </w:rPr>
            </w:pPr>
            <w:r w:rsidRPr="000D3596">
              <w:rPr>
                <w:rFonts w:ascii="Arial" w:hAnsi="Arial" w:cs="Arial"/>
                <w:b w:val="0"/>
              </w:rPr>
              <w:t>24</w:t>
            </w:r>
          </w:p>
        </w:tc>
        <w:tc>
          <w:tcPr>
            <w:tcW w:w="6013" w:type="dxa"/>
            <w:tcBorders>
              <w:top w:val="single" w:sz="4" w:space="0" w:color="auto"/>
              <w:left w:val="single" w:sz="4" w:space="0" w:color="auto"/>
              <w:bottom w:val="single" w:sz="4" w:space="0" w:color="auto"/>
              <w:right w:val="single" w:sz="4" w:space="0" w:color="auto"/>
            </w:tcBorders>
            <w:vAlign w:val="center"/>
          </w:tcPr>
          <w:p w14:paraId="489D5B8E" w14:textId="77777777" w:rsidR="00BC1FCD" w:rsidRPr="000D3596" w:rsidRDefault="00BC1FCD" w:rsidP="00911709">
            <w:pPr>
              <w:rPr>
                <w:rFonts w:ascii="Arial" w:hAnsi="Arial" w:cs="Arial"/>
                <w:b w:val="0"/>
              </w:rPr>
            </w:pPr>
            <w:r w:rsidRPr="000D3596">
              <w:rPr>
                <w:rFonts w:ascii="Arial" w:hAnsi="Arial" w:cs="Arial"/>
                <w:b w:val="0"/>
              </w:rPr>
              <w:t>General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57CE2017" w14:textId="03CF2FA3"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w:t>
            </w:r>
            <w:r w:rsidR="002B1766">
              <w:rPr>
                <w:rFonts w:ascii="Arial" w:hAnsi="Arial" w:cs="Arial"/>
                <w:b w:val="0"/>
              </w:rPr>
              <w:t>0623</w:t>
            </w:r>
          </w:p>
        </w:tc>
      </w:tr>
      <w:tr w:rsidR="00BC1FCD" w:rsidRPr="000D3596" w14:paraId="02CFDC51"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5AD5DF4A" w14:textId="77777777" w:rsidR="00BC1FCD" w:rsidRPr="000D3596" w:rsidRDefault="00BC1FCD" w:rsidP="00420813">
            <w:pPr>
              <w:jc w:val="right"/>
              <w:rPr>
                <w:rFonts w:ascii="Arial" w:hAnsi="Arial" w:cs="Arial"/>
                <w:b w:val="0"/>
              </w:rPr>
            </w:pPr>
            <w:r w:rsidRPr="000D3596">
              <w:rPr>
                <w:rFonts w:ascii="Arial" w:hAnsi="Arial" w:cs="Arial"/>
                <w:b w:val="0"/>
              </w:rPr>
              <w:t>25</w:t>
            </w:r>
          </w:p>
        </w:tc>
        <w:tc>
          <w:tcPr>
            <w:tcW w:w="6013" w:type="dxa"/>
            <w:tcBorders>
              <w:top w:val="single" w:sz="4" w:space="0" w:color="auto"/>
              <w:left w:val="single" w:sz="4" w:space="0" w:color="auto"/>
              <w:bottom w:val="single" w:sz="4" w:space="0" w:color="auto"/>
              <w:right w:val="single" w:sz="4" w:space="0" w:color="auto"/>
            </w:tcBorders>
            <w:vAlign w:val="center"/>
          </w:tcPr>
          <w:p w14:paraId="59E40986" w14:textId="77777777" w:rsidR="00BC1FCD" w:rsidRPr="000D3596" w:rsidRDefault="00BC1FCD" w:rsidP="00911709">
            <w:pPr>
              <w:rPr>
                <w:rFonts w:ascii="Arial" w:hAnsi="Arial" w:cs="Arial"/>
                <w:b w:val="0"/>
              </w:rPr>
            </w:pPr>
            <w:r w:rsidRPr="000D3596">
              <w:rPr>
                <w:rFonts w:ascii="Arial" w:hAnsi="Arial" w:cs="Arial"/>
                <w:b w:val="0"/>
              </w:rPr>
              <w:t>Large Power Service Rate (excludes transmission)</w:t>
            </w:r>
          </w:p>
        </w:tc>
        <w:tc>
          <w:tcPr>
            <w:tcW w:w="2447" w:type="dxa"/>
            <w:tcBorders>
              <w:top w:val="single" w:sz="4" w:space="0" w:color="auto"/>
              <w:left w:val="single" w:sz="4" w:space="0" w:color="auto"/>
              <w:bottom w:val="single" w:sz="4" w:space="0" w:color="auto"/>
              <w:right w:val="single" w:sz="4" w:space="0" w:color="auto"/>
            </w:tcBorders>
            <w:vAlign w:val="center"/>
          </w:tcPr>
          <w:p w14:paraId="1C4E4C3F" w14:textId="3E633CE8"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w:t>
            </w:r>
            <w:r w:rsidR="002B1766">
              <w:rPr>
                <w:rFonts w:ascii="Arial" w:hAnsi="Arial" w:cs="Arial"/>
                <w:b w:val="0"/>
              </w:rPr>
              <w:t>1185</w:t>
            </w:r>
          </w:p>
        </w:tc>
      </w:tr>
      <w:tr w:rsidR="00BC1FCD" w:rsidRPr="000D3596" w14:paraId="2044EA81"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7B43B137" w14:textId="77777777" w:rsidR="00BC1FCD" w:rsidRPr="000D3596" w:rsidRDefault="00BC1FCD" w:rsidP="00420813">
            <w:pPr>
              <w:ind w:left="270"/>
              <w:jc w:val="right"/>
              <w:rPr>
                <w:rFonts w:ascii="Arial" w:hAnsi="Arial" w:cs="Arial"/>
                <w:b w:val="0"/>
              </w:rPr>
            </w:pPr>
            <w:r w:rsidRPr="000D3596">
              <w:rPr>
                <w:rFonts w:ascii="Arial" w:hAnsi="Arial" w:cs="Arial"/>
                <w:b w:val="0"/>
              </w:rPr>
              <w:t>34</w:t>
            </w:r>
          </w:p>
        </w:tc>
        <w:tc>
          <w:tcPr>
            <w:tcW w:w="6013" w:type="dxa"/>
            <w:tcBorders>
              <w:top w:val="single" w:sz="4" w:space="0" w:color="auto"/>
              <w:left w:val="single" w:sz="4" w:space="0" w:color="auto"/>
              <w:bottom w:val="single" w:sz="4" w:space="0" w:color="auto"/>
              <w:right w:val="single" w:sz="4" w:space="0" w:color="auto"/>
            </w:tcBorders>
            <w:vAlign w:val="center"/>
          </w:tcPr>
          <w:p w14:paraId="6EF2881C" w14:textId="77777777" w:rsidR="00BC1FCD" w:rsidRPr="000D3596" w:rsidRDefault="00BC1FCD" w:rsidP="00911709">
            <w:pPr>
              <w:rPr>
                <w:rFonts w:ascii="Arial" w:hAnsi="Arial" w:cs="Arial"/>
                <w:b w:val="0"/>
              </w:rPr>
            </w:pPr>
            <w:r w:rsidRPr="000D3596">
              <w:rPr>
                <w:rFonts w:ascii="Arial" w:hAnsi="Arial" w:cs="Arial"/>
                <w:b w:val="0"/>
              </w:rPr>
              <w:t>Cotton Gin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695C9820" w14:textId="12C28A3F" w:rsidR="00BC1FCD" w:rsidRPr="009B5D3E" w:rsidRDefault="00A7160E" w:rsidP="00911709">
            <w:pPr>
              <w:jc w:val="center"/>
              <w:rPr>
                <w:rFonts w:ascii="Arial" w:hAnsi="Arial" w:cs="Arial"/>
                <w:b w:val="0"/>
              </w:rPr>
            </w:pPr>
            <w:r w:rsidRPr="009B5D3E">
              <w:rPr>
                <w:rFonts w:ascii="Arial" w:hAnsi="Arial" w:cs="Arial"/>
                <w:b w:val="0"/>
              </w:rPr>
              <w:t xml:space="preserve"> </w:t>
            </w:r>
            <w:r w:rsidR="00BC1FCD" w:rsidRPr="009B5D3E">
              <w:rPr>
                <w:rFonts w:ascii="Arial" w:hAnsi="Arial" w:cs="Arial"/>
                <w:b w:val="0"/>
              </w:rPr>
              <w:t>$</w:t>
            </w:r>
            <w:r w:rsidR="00575DCB" w:rsidRPr="009B5D3E">
              <w:rPr>
                <w:rFonts w:ascii="Arial" w:hAnsi="Arial" w:cs="Arial"/>
                <w:b w:val="0"/>
              </w:rPr>
              <w:t xml:space="preserve"> </w:t>
            </w:r>
            <w:r w:rsidR="00E96B48" w:rsidRPr="009B5D3E">
              <w:rPr>
                <w:rFonts w:ascii="Arial" w:hAnsi="Arial" w:cs="Arial"/>
                <w:b w:val="0"/>
              </w:rPr>
              <w:t xml:space="preserve"> </w:t>
            </w:r>
            <w:r w:rsidR="002B1766">
              <w:rPr>
                <w:rFonts w:ascii="Arial" w:hAnsi="Arial" w:cs="Arial"/>
                <w:b w:val="0"/>
              </w:rPr>
              <w:t>(0.</w:t>
            </w:r>
            <w:r w:rsidR="00EC3434">
              <w:rPr>
                <w:rFonts w:ascii="Arial" w:hAnsi="Arial" w:cs="Arial"/>
                <w:b w:val="0"/>
              </w:rPr>
              <w:t>0</w:t>
            </w:r>
            <w:r w:rsidR="002B1766">
              <w:rPr>
                <w:rFonts w:ascii="Arial" w:hAnsi="Arial" w:cs="Arial"/>
                <w:b w:val="0"/>
              </w:rPr>
              <w:t>00142)</w:t>
            </w:r>
          </w:p>
        </w:tc>
      </w:tr>
      <w:tr w:rsidR="00BC1FCD" w:rsidRPr="000D3596" w14:paraId="415A600E" w14:textId="77777777" w:rsidTr="00A42AE5">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EE51967" w14:textId="77777777" w:rsidR="00BC1FCD" w:rsidRPr="000D3596" w:rsidRDefault="00BC1FCD" w:rsidP="00420813">
            <w:pPr>
              <w:ind w:left="270"/>
              <w:jc w:val="right"/>
              <w:rPr>
                <w:rFonts w:ascii="Arial" w:hAnsi="Arial" w:cs="Arial"/>
                <w:b w:val="0"/>
              </w:rPr>
            </w:pPr>
            <w:r w:rsidRPr="000D3596">
              <w:rPr>
                <w:rFonts w:ascii="Arial" w:hAnsi="Arial" w:cs="Arial"/>
                <w:b w:val="0"/>
              </w:rPr>
              <w:t>41</w:t>
            </w:r>
          </w:p>
        </w:tc>
        <w:tc>
          <w:tcPr>
            <w:tcW w:w="6013" w:type="dxa"/>
            <w:tcBorders>
              <w:top w:val="single" w:sz="4" w:space="0" w:color="auto"/>
              <w:left w:val="single" w:sz="4" w:space="0" w:color="auto"/>
              <w:bottom w:val="single" w:sz="4" w:space="0" w:color="auto"/>
              <w:right w:val="single" w:sz="4" w:space="0" w:color="auto"/>
            </w:tcBorders>
            <w:vAlign w:val="center"/>
          </w:tcPr>
          <w:p w14:paraId="060C4349" w14:textId="77777777" w:rsidR="00BC1FCD" w:rsidRPr="000D3596" w:rsidRDefault="00BC1FCD" w:rsidP="00911709">
            <w:pPr>
              <w:rPr>
                <w:rFonts w:ascii="Arial" w:hAnsi="Arial" w:cs="Arial"/>
                <w:b w:val="0"/>
              </w:rPr>
            </w:pPr>
            <w:r w:rsidRPr="000D3596">
              <w:rPr>
                <w:rFonts w:ascii="Arial" w:hAnsi="Arial" w:cs="Arial"/>
                <w:b w:val="0"/>
              </w:rPr>
              <w:t>City and County Service Rate</w:t>
            </w:r>
          </w:p>
        </w:tc>
        <w:tc>
          <w:tcPr>
            <w:tcW w:w="2447" w:type="dxa"/>
            <w:tcBorders>
              <w:top w:val="single" w:sz="4" w:space="0" w:color="auto"/>
              <w:left w:val="single" w:sz="4" w:space="0" w:color="auto"/>
              <w:bottom w:val="single" w:sz="4" w:space="0" w:color="auto"/>
              <w:right w:val="single" w:sz="4" w:space="0" w:color="auto"/>
            </w:tcBorders>
            <w:vAlign w:val="center"/>
          </w:tcPr>
          <w:p w14:paraId="1F7E0A35" w14:textId="10C5B067" w:rsidR="00BC1FCD" w:rsidRPr="009B5D3E" w:rsidRDefault="00BC1FCD" w:rsidP="00911709">
            <w:pPr>
              <w:jc w:val="center"/>
              <w:rPr>
                <w:rFonts w:ascii="Arial" w:hAnsi="Arial" w:cs="Arial"/>
                <w:b w:val="0"/>
              </w:rPr>
            </w:pPr>
            <w:r w:rsidRPr="009B5D3E">
              <w:rPr>
                <w:rFonts w:ascii="Arial" w:hAnsi="Arial" w:cs="Arial"/>
                <w:b w:val="0"/>
              </w:rPr>
              <w:t>$</w:t>
            </w:r>
            <w:r w:rsidR="00E96B48" w:rsidRPr="009B5D3E">
              <w:rPr>
                <w:rFonts w:ascii="Arial" w:hAnsi="Arial" w:cs="Arial"/>
                <w:b w:val="0"/>
              </w:rPr>
              <w:t xml:space="preserve">  </w:t>
            </w:r>
            <w:r w:rsidR="00845EE3">
              <w:rPr>
                <w:rFonts w:ascii="Arial" w:hAnsi="Arial" w:cs="Arial"/>
                <w:b w:val="0"/>
              </w:rPr>
              <w:t>0.00</w:t>
            </w:r>
            <w:r w:rsidR="002B1766">
              <w:rPr>
                <w:rFonts w:ascii="Arial" w:hAnsi="Arial" w:cs="Arial"/>
                <w:b w:val="0"/>
              </w:rPr>
              <w:t>1535</w:t>
            </w:r>
          </w:p>
        </w:tc>
      </w:tr>
      <w:tr w:rsidR="002B1766" w:rsidRPr="000D3596" w14:paraId="4AB9A516" w14:textId="77777777" w:rsidTr="009067CE">
        <w:trPr>
          <w:trHeight w:val="360"/>
          <w:jc w:val="center"/>
        </w:trPr>
        <w:tc>
          <w:tcPr>
            <w:tcW w:w="1080" w:type="dxa"/>
            <w:tcBorders>
              <w:top w:val="single" w:sz="4" w:space="0" w:color="auto"/>
              <w:left w:val="single" w:sz="4" w:space="0" w:color="auto"/>
              <w:bottom w:val="single" w:sz="4" w:space="0" w:color="auto"/>
              <w:right w:val="single" w:sz="4" w:space="0" w:color="auto"/>
            </w:tcBorders>
            <w:vAlign w:val="center"/>
          </w:tcPr>
          <w:p w14:paraId="4323D9E5" w14:textId="0B0D0F01" w:rsidR="002B1766" w:rsidRPr="000D3596" w:rsidRDefault="002B1766" w:rsidP="00420813">
            <w:pPr>
              <w:ind w:left="270"/>
              <w:jc w:val="right"/>
              <w:rPr>
                <w:rFonts w:ascii="Arial" w:hAnsi="Arial" w:cs="Arial"/>
                <w:b w:val="0"/>
              </w:rPr>
            </w:pPr>
            <w:r w:rsidRPr="000D3596">
              <w:rPr>
                <w:rFonts w:ascii="Arial" w:hAnsi="Arial" w:cs="Arial"/>
                <w:b w:val="0"/>
              </w:rPr>
              <w:t>46</w:t>
            </w:r>
          </w:p>
        </w:tc>
        <w:tc>
          <w:tcPr>
            <w:tcW w:w="6013" w:type="dxa"/>
            <w:tcBorders>
              <w:top w:val="single" w:sz="4" w:space="0" w:color="auto"/>
              <w:left w:val="single" w:sz="4" w:space="0" w:color="auto"/>
              <w:bottom w:val="single" w:sz="4" w:space="0" w:color="auto"/>
              <w:right w:val="single" w:sz="4" w:space="0" w:color="auto"/>
            </w:tcBorders>
            <w:vAlign w:val="center"/>
          </w:tcPr>
          <w:p w14:paraId="516AF3BE" w14:textId="0F0541F6" w:rsidR="002B1766" w:rsidRPr="000D3596" w:rsidRDefault="002B1766" w:rsidP="00911709">
            <w:pPr>
              <w:rPr>
                <w:rFonts w:ascii="Arial" w:hAnsi="Arial" w:cs="Arial"/>
                <w:b w:val="0"/>
              </w:rPr>
            </w:pPr>
            <w:r w:rsidRPr="000D3596">
              <w:rPr>
                <w:rFonts w:ascii="Arial" w:hAnsi="Arial" w:cs="Arial"/>
                <w:b w:val="0"/>
              </w:rPr>
              <w:t>Maintenance Power Service For Cogeneration And Small Power Production Facilities</w:t>
            </w:r>
          </w:p>
        </w:tc>
        <w:tc>
          <w:tcPr>
            <w:tcW w:w="2447" w:type="dxa"/>
            <w:tcBorders>
              <w:top w:val="single" w:sz="4" w:space="0" w:color="auto"/>
              <w:left w:val="single" w:sz="4" w:space="0" w:color="auto"/>
              <w:bottom w:val="single" w:sz="4" w:space="0" w:color="auto"/>
              <w:right w:val="single" w:sz="4" w:space="0" w:color="auto"/>
            </w:tcBorders>
            <w:vAlign w:val="bottom"/>
          </w:tcPr>
          <w:p w14:paraId="0F1599CA" w14:textId="313110D9" w:rsidR="002B1766" w:rsidRPr="009B5D3E" w:rsidRDefault="002B1766" w:rsidP="00911709">
            <w:pPr>
              <w:jc w:val="center"/>
              <w:rPr>
                <w:rFonts w:ascii="Arial" w:hAnsi="Arial" w:cs="Arial"/>
                <w:b w:val="0"/>
              </w:rPr>
            </w:pPr>
            <w:r>
              <w:rPr>
                <w:rFonts w:ascii="Arial" w:hAnsi="Arial" w:cs="Arial"/>
                <w:b w:val="0"/>
              </w:rPr>
              <w:t xml:space="preserve"> </w:t>
            </w:r>
            <w:r w:rsidRPr="009B5D3E">
              <w:rPr>
                <w:rFonts w:ascii="Arial" w:hAnsi="Arial" w:cs="Arial"/>
                <w:b w:val="0"/>
              </w:rPr>
              <w:t>$</w:t>
            </w:r>
            <w:r>
              <w:rPr>
                <w:rFonts w:ascii="Arial" w:hAnsi="Arial" w:cs="Arial"/>
                <w:b w:val="0"/>
              </w:rPr>
              <w:t xml:space="preserve"> </w:t>
            </w:r>
            <w:r w:rsidRPr="009B5D3E">
              <w:rPr>
                <w:rFonts w:ascii="Arial" w:hAnsi="Arial" w:cs="Arial"/>
                <w:b w:val="0"/>
              </w:rPr>
              <w:t xml:space="preserve"> </w:t>
            </w:r>
            <w:r>
              <w:rPr>
                <w:rFonts w:ascii="Arial" w:hAnsi="Arial" w:cs="Arial"/>
                <w:b w:val="0"/>
              </w:rPr>
              <w:t>(0.000142)</w:t>
            </w:r>
          </w:p>
        </w:tc>
      </w:tr>
      <w:tr w:rsidR="002B1766" w:rsidRPr="000D3596" w14:paraId="1A296FB3" w14:textId="77777777" w:rsidTr="00A42AE5">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FF1A81" w14:textId="42602BDD" w:rsidR="002B1766" w:rsidRPr="000D3596" w:rsidRDefault="002B1766" w:rsidP="00420813">
            <w:pPr>
              <w:ind w:left="270"/>
              <w:jc w:val="right"/>
              <w:rPr>
                <w:rFonts w:ascii="Arial" w:hAnsi="Arial" w:cs="Arial"/>
                <w:b w:val="0"/>
              </w:rPr>
            </w:pPr>
            <w:r w:rsidRPr="000D3596">
              <w:rPr>
                <w:rFonts w:ascii="Arial" w:hAnsi="Arial" w:cs="Arial"/>
                <w:b w:val="0"/>
              </w:rPr>
              <w:t>47</w:t>
            </w:r>
          </w:p>
        </w:tc>
        <w:tc>
          <w:tcPr>
            <w:tcW w:w="6013" w:type="dxa"/>
            <w:tcBorders>
              <w:top w:val="single" w:sz="4" w:space="0" w:color="auto"/>
              <w:left w:val="single" w:sz="4" w:space="0" w:color="auto"/>
              <w:bottom w:val="single" w:sz="4" w:space="0" w:color="auto"/>
              <w:right w:val="single" w:sz="4" w:space="0" w:color="auto"/>
            </w:tcBorders>
            <w:vAlign w:val="center"/>
          </w:tcPr>
          <w:p w14:paraId="2BA894B7" w14:textId="7E7F8301" w:rsidR="002B1766" w:rsidRPr="000D3596" w:rsidRDefault="002B1766" w:rsidP="00911709">
            <w:pPr>
              <w:rPr>
                <w:rFonts w:ascii="Arial" w:hAnsi="Arial" w:cs="Arial"/>
                <w:b w:val="0"/>
              </w:rPr>
            </w:pPr>
            <w:r w:rsidRPr="000D3596">
              <w:rPr>
                <w:rFonts w:ascii="Arial" w:hAnsi="Arial" w:cs="Arial"/>
                <w:b w:val="0"/>
              </w:rPr>
              <w:t>Backup Power Service For Cogeneration And Small Power Production Facilities</w:t>
            </w:r>
          </w:p>
        </w:tc>
        <w:tc>
          <w:tcPr>
            <w:tcW w:w="2447" w:type="dxa"/>
            <w:tcBorders>
              <w:top w:val="single" w:sz="4" w:space="0" w:color="auto"/>
              <w:left w:val="single" w:sz="4" w:space="0" w:color="auto"/>
              <w:bottom w:val="single" w:sz="4" w:space="0" w:color="auto"/>
              <w:right w:val="single" w:sz="4" w:space="0" w:color="auto"/>
            </w:tcBorders>
            <w:vAlign w:val="bottom"/>
          </w:tcPr>
          <w:p w14:paraId="7D5DFFC0" w14:textId="068C06D4" w:rsidR="002B1766" w:rsidRPr="009B5D3E" w:rsidRDefault="002B1766" w:rsidP="00911709">
            <w:pPr>
              <w:jc w:val="center"/>
              <w:rPr>
                <w:rFonts w:ascii="Arial" w:hAnsi="Arial" w:cs="Arial"/>
                <w:b w:val="0"/>
              </w:rPr>
            </w:pPr>
            <w:r w:rsidRPr="009B5D3E">
              <w:rPr>
                <w:rFonts w:ascii="Arial" w:hAnsi="Arial" w:cs="Arial"/>
                <w:b w:val="0"/>
              </w:rPr>
              <w:t xml:space="preserve">$   </w:t>
            </w:r>
            <w:r>
              <w:rPr>
                <w:rFonts w:ascii="Arial" w:hAnsi="Arial" w:cs="Arial"/>
                <w:b w:val="0"/>
              </w:rPr>
              <w:t>(0.000142)</w:t>
            </w:r>
          </w:p>
        </w:tc>
      </w:tr>
    </w:tbl>
    <w:p w14:paraId="4331ABD8" w14:textId="77777777" w:rsidR="00E540C9" w:rsidRDefault="00E540C9" w:rsidP="00911709"/>
    <w:p w14:paraId="17FA7524" w14:textId="77777777" w:rsidR="00FF5423" w:rsidRDefault="00FF5423" w:rsidP="00911709"/>
    <w:p w14:paraId="6BF05EA3" w14:textId="77777777" w:rsidR="00420813" w:rsidRDefault="00420813" w:rsidP="00911709"/>
    <w:p w14:paraId="7F6B93B7" w14:textId="77777777" w:rsidR="00420813" w:rsidRDefault="00420813" w:rsidP="00911709"/>
    <w:p w14:paraId="4D898D10" w14:textId="77777777" w:rsidR="005F66FA" w:rsidRDefault="005F66FA" w:rsidP="00911709"/>
    <w:p w14:paraId="639A58F4" w14:textId="77777777" w:rsidR="00BC1FCD" w:rsidRPr="00E540C9" w:rsidRDefault="00BC1FCD" w:rsidP="00911709">
      <w:pPr>
        <w:pStyle w:val="Heading1"/>
        <w:tabs>
          <w:tab w:val="clear" w:pos="360"/>
          <w:tab w:val="left" w:pos="720"/>
        </w:tabs>
        <w:spacing w:before="0" w:after="0"/>
        <w:rPr>
          <w:spacing w:val="0"/>
        </w:rPr>
      </w:pPr>
      <w:bookmarkStart w:id="48" w:name="_Toc509500769"/>
      <w:r w:rsidRPr="00E540C9">
        <w:rPr>
          <w:spacing w:val="0"/>
        </w:rPr>
        <w:lastRenderedPageBreak/>
        <w:t>Revenue Collected through EECRF</w:t>
      </w:r>
      <w:bookmarkEnd w:id="48"/>
    </w:p>
    <w:p w14:paraId="0D3E6532" w14:textId="77777777" w:rsidR="00043248" w:rsidRDefault="00043248" w:rsidP="00911709">
      <w:pPr>
        <w:pStyle w:val="BodyText"/>
        <w:spacing w:before="0" w:after="0" w:line="240" w:lineRule="auto"/>
        <w:rPr>
          <w:rFonts w:cs="Arial"/>
          <w:b w:val="0"/>
        </w:rPr>
      </w:pPr>
    </w:p>
    <w:p w14:paraId="2576867F" w14:textId="487B00F0" w:rsidR="00BC1FCD" w:rsidRDefault="00BC1FCD" w:rsidP="00911709">
      <w:pPr>
        <w:pStyle w:val="BodyText"/>
        <w:spacing w:before="0" w:after="0" w:line="240" w:lineRule="auto"/>
        <w:rPr>
          <w:rFonts w:cs="Arial"/>
          <w:b w:val="0"/>
        </w:rPr>
      </w:pPr>
      <w:r w:rsidRPr="00D438F6">
        <w:rPr>
          <w:rFonts w:cs="Arial"/>
          <w:b w:val="0"/>
        </w:rPr>
        <w:t xml:space="preserve">In </w:t>
      </w:r>
      <w:r w:rsidR="00DD0FFD" w:rsidRPr="00D438F6">
        <w:rPr>
          <w:rFonts w:cs="Arial"/>
          <w:b w:val="0"/>
        </w:rPr>
        <w:t>201</w:t>
      </w:r>
      <w:r w:rsidR="002B1766">
        <w:rPr>
          <w:rFonts w:cs="Arial"/>
          <w:b w:val="0"/>
        </w:rPr>
        <w:t>7</w:t>
      </w:r>
      <w:r w:rsidRPr="00D438F6">
        <w:rPr>
          <w:rFonts w:cs="Arial"/>
          <w:b w:val="0"/>
        </w:rPr>
        <w:t>, EPE collected a total of $</w:t>
      </w:r>
      <w:r w:rsidR="00420813">
        <w:rPr>
          <w:rFonts w:cs="Arial"/>
          <w:b w:val="0"/>
        </w:rPr>
        <w:t xml:space="preserve">4,597,301 </w:t>
      </w:r>
      <w:r w:rsidRPr="00D438F6">
        <w:rPr>
          <w:rFonts w:cs="Arial"/>
          <w:b w:val="0"/>
        </w:rPr>
        <w:t xml:space="preserve">under Rate Schedule </w:t>
      </w:r>
      <w:r w:rsidR="00AE360D" w:rsidRPr="00D438F6">
        <w:rPr>
          <w:rFonts w:cs="Arial"/>
          <w:b w:val="0"/>
        </w:rPr>
        <w:t xml:space="preserve">No. </w:t>
      </w:r>
      <w:r w:rsidRPr="00D438F6">
        <w:rPr>
          <w:rFonts w:cs="Arial"/>
          <w:b w:val="0"/>
        </w:rPr>
        <w:t>97 – Energy Efficiency Cost</w:t>
      </w:r>
      <w:r>
        <w:rPr>
          <w:rFonts w:cs="Arial"/>
          <w:b w:val="0"/>
        </w:rPr>
        <w:t xml:space="preserve"> Recovery Factor.</w:t>
      </w:r>
    </w:p>
    <w:p w14:paraId="4F128C9A" w14:textId="77777777" w:rsidR="00BC1FCD" w:rsidRPr="00E540C9" w:rsidRDefault="00BC1FCD" w:rsidP="00911709">
      <w:pPr>
        <w:pStyle w:val="BodyText"/>
        <w:spacing w:before="0" w:after="0" w:line="240" w:lineRule="auto"/>
        <w:rPr>
          <w:rFonts w:cs="Arial"/>
        </w:rPr>
      </w:pPr>
    </w:p>
    <w:p w14:paraId="15A8E151" w14:textId="77777777" w:rsidR="00BC1FCD" w:rsidRPr="00E540C9" w:rsidRDefault="008A2CAA" w:rsidP="00911709">
      <w:pPr>
        <w:pStyle w:val="Heading1"/>
        <w:tabs>
          <w:tab w:val="clear" w:pos="360"/>
          <w:tab w:val="num" w:pos="720"/>
        </w:tabs>
        <w:spacing w:before="0" w:after="0"/>
        <w:rPr>
          <w:spacing w:val="0"/>
        </w:rPr>
      </w:pPr>
      <w:bookmarkStart w:id="49" w:name="_Toc509500770"/>
      <w:r w:rsidRPr="00E540C9">
        <w:rPr>
          <w:spacing w:val="0"/>
        </w:rPr>
        <w:t>Over/Under R</w:t>
      </w:r>
      <w:r w:rsidR="00BC1FCD" w:rsidRPr="00E540C9">
        <w:rPr>
          <w:spacing w:val="0"/>
        </w:rPr>
        <w:t>ecovery of Energy Efficiency Program Costs</w:t>
      </w:r>
      <w:bookmarkEnd w:id="49"/>
    </w:p>
    <w:p w14:paraId="0AD88D16" w14:textId="77777777" w:rsidR="00E540C9" w:rsidRDefault="00E540C9" w:rsidP="00911709">
      <w:pPr>
        <w:pStyle w:val="BodyText"/>
        <w:spacing w:before="0" w:after="0" w:line="240" w:lineRule="auto"/>
        <w:rPr>
          <w:rFonts w:cs="Arial"/>
          <w:b w:val="0"/>
        </w:rPr>
      </w:pPr>
    </w:p>
    <w:p w14:paraId="30A9425C" w14:textId="6795C4B0" w:rsidR="00BC1FCD" w:rsidRPr="00587356" w:rsidRDefault="00BC1FCD" w:rsidP="00911709">
      <w:pPr>
        <w:pStyle w:val="BodyText"/>
        <w:spacing w:before="0" w:after="0" w:line="240" w:lineRule="auto"/>
        <w:rPr>
          <w:rFonts w:cs="Arial"/>
          <w:b w:val="0"/>
        </w:rPr>
      </w:pPr>
      <w:r w:rsidRPr="00D438F6">
        <w:rPr>
          <w:rFonts w:cs="Arial"/>
          <w:b w:val="0"/>
        </w:rPr>
        <w:t xml:space="preserve">In </w:t>
      </w:r>
      <w:r w:rsidR="00994EEE" w:rsidRPr="00D438F6">
        <w:rPr>
          <w:rFonts w:cs="Arial"/>
          <w:b w:val="0"/>
        </w:rPr>
        <w:t>201</w:t>
      </w:r>
      <w:r w:rsidR="00EC0B32">
        <w:rPr>
          <w:rFonts w:cs="Arial"/>
          <w:b w:val="0"/>
        </w:rPr>
        <w:t>7</w:t>
      </w:r>
      <w:r w:rsidRPr="00D438F6">
        <w:rPr>
          <w:rFonts w:cs="Arial"/>
          <w:b w:val="0"/>
        </w:rPr>
        <w:t xml:space="preserve">, EPE </w:t>
      </w:r>
      <w:r w:rsidR="00A2288B" w:rsidRPr="00D438F6">
        <w:rPr>
          <w:rFonts w:cs="Arial"/>
          <w:b w:val="0"/>
        </w:rPr>
        <w:t>over</w:t>
      </w:r>
      <w:r w:rsidRPr="00D438F6">
        <w:rPr>
          <w:rFonts w:cs="Arial"/>
          <w:b w:val="0"/>
        </w:rPr>
        <w:t>-recovered an amo</w:t>
      </w:r>
      <w:r w:rsidRPr="000C6827">
        <w:rPr>
          <w:rFonts w:cs="Arial"/>
          <w:b w:val="0"/>
        </w:rPr>
        <w:t xml:space="preserve">unt of </w:t>
      </w:r>
      <w:r w:rsidR="00AF791E" w:rsidRPr="000C6827">
        <w:rPr>
          <w:rFonts w:cs="Arial"/>
          <w:b w:val="0"/>
        </w:rPr>
        <w:t>$</w:t>
      </w:r>
      <w:r w:rsidR="00FF5423" w:rsidRPr="000C6827">
        <w:rPr>
          <w:rFonts w:cs="Arial"/>
          <w:b w:val="0"/>
        </w:rPr>
        <w:t>302,124</w:t>
      </w:r>
      <w:r w:rsidR="00AF791E" w:rsidRPr="000C6827">
        <w:rPr>
          <w:rFonts w:cs="Arial"/>
          <w:b w:val="0"/>
        </w:rPr>
        <w:t xml:space="preserve"> </w:t>
      </w:r>
      <w:r w:rsidRPr="000C6827">
        <w:rPr>
          <w:rFonts w:cs="Arial"/>
          <w:b w:val="0"/>
        </w:rPr>
        <w:t>as s</w:t>
      </w:r>
      <w:r w:rsidRPr="00D438F6">
        <w:rPr>
          <w:rFonts w:cs="Arial"/>
          <w:b w:val="0"/>
        </w:rPr>
        <w:t>hown in Table 1</w:t>
      </w:r>
      <w:r w:rsidR="00D77C35" w:rsidRPr="00D438F6">
        <w:rPr>
          <w:rFonts w:cs="Arial"/>
          <w:b w:val="0"/>
        </w:rPr>
        <w:t>3</w:t>
      </w:r>
      <w:r w:rsidRPr="00D438F6">
        <w:rPr>
          <w:rFonts w:cs="Arial"/>
          <w:b w:val="0"/>
        </w:rPr>
        <w:t>.</w:t>
      </w:r>
    </w:p>
    <w:p w14:paraId="68639431" w14:textId="77777777" w:rsidR="00BC1FCD" w:rsidRPr="00587356" w:rsidRDefault="00BC1FCD" w:rsidP="00911709">
      <w:pPr>
        <w:pStyle w:val="BodyText"/>
        <w:spacing w:before="0" w:after="0" w:line="240" w:lineRule="auto"/>
        <w:rPr>
          <w:rFonts w:cs="Arial"/>
          <w:b w:val="0"/>
          <w:sz w:val="28"/>
        </w:rPr>
      </w:pPr>
    </w:p>
    <w:p w14:paraId="4F3914A9" w14:textId="77777777" w:rsidR="00BC1FCD" w:rsidRDefault="00BC1FCD" w:rsidP="00911709">
      <w:pPr>
        <w:pStyle w:val="BodyText"/>
        <w:keepNext/>
        <w:keepLines/>
        <w:spacing w:before="0" w:after="0" w:line="240" w:lineRule="auto"/>
        <w:rPr>
          <w:rFonts w:cs="Arial"/>
        </w:rPr>
      </w:pPr>
      <w:r>
        <w:rPr>
          <w:rFonts w:cs="Arial"/>
        </w:rPr>
        <w:t>Table 1</w:t>
      </w:r>
      <w:r w:rsidR="00D77C35">
        <w:rPr>
          <w:rFonts w:cs="Arial"/>
        </w:rPr>
        <w:t>3</w:t>
      </w:r>
      <w:r>
        <w:rPr>
          <w:rFonts w:cs="Arial"/>
        </w:rPr>
        <w:t xml:space="preserve">:  </w:t>
      </w:r>
      <w:r w:rsidRPr="000D3596">
        <w:rPr>
          <w:rFonts w:cs="Arial"/>
        </w:rPr>
        <w:t>Authorized and Actual Recovery Amounts</w:t>
      </w:r>
    </w:p>
    <w:p w14:paraId="5BDA70B5" w14:textId="77777777" w:rsidR="00BC1FCD" w:rsidRDefault="00BC1FCD" w:rsidP="00911709">
      <w:pPr>
        <w:pStyle w:val="BodyText"/>
        <w:spacing w:before="0" w:after="0" w:line="240" w:lineRule="auto"/>
        <w:rPr>
          <w:rFonts w:cs="Arial"/>
          <w:sz w:val="28"/>
        </w:rPr>
      </w:pPr>
    </w:p>
    <w:bookmarkEnd w:id="46"/>
    <w:p w14:paraId="5DC7DBBF" w14:textId="30747C2D" w:rsidR="007D59DF" w:rsidRDefault="00FF5423" w:rsidP="00F51D85">
      <w:pPr>
        <w:pStyle w:val="BlockText"/>
        <w:tabs>
          <w:tab w:val="left" w:pos="9360"/>
        </w:tabs>
        <w:spacing w:after="0"/>
        <w:ind w:left="0" w:right="0"/>
        <w:jc w:val="center"/>
        <w:rPr>
          <w:rFonts w:ascii="Arial" w:hAnsi="Arial" w:cs="Arial"/>
        </w:rPr>
      </w:pPr>
      <w:r w:rsidRPr="00FF5423">
        <w:rPr>
          <w:noProof/>
        </w:rPr>
        <w:drawing>
          <wp:inline distT="0" distB="0" distL="0" distR="0" wp14:anchorId="7C1029F0" wp14:editId="0F905E0B">
            <wp:extent cx="5752465" cy="227901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2465" cy="2279015"/>
                    </a:xfrm>
                    <a:prstGeom prst="rect">
                      <a:avLst/>
                    </a:prstGeom>
                    <a:noFill/>
                    <a:ln>
                      <a:noFill/>
                    </a:ln>
                  </pic:spPr>
                </pic:pic>
              </a:graphicData>
            </a:graphic>
          </wp:inline>
        </w:drawing>
      </w:r>
    </w:p>
    <w:p w14:paraId="711B188A" w14:textId="77777777" w:rsidR="00390D5E" w:rsidRDefault="00390D5E" w:rsidP="00F51D85">
      <w:pPr>
        <w:pStyle w:val="BlockText"/>
        <w:tabs>
          <w:tab w:val="left" w:pos="9360"/>
        </w:tabs>
        <w:spacing w:after="0"/>
        <w:ind w:left="0" w:right="0"/>
        <w:jc w:val="center"/>
        <w:rPr>
          <w:rFonts w:ascii="Arial" w:hAnsi="Arial" w:cs="Arial"/>
        </w:rPr>
      </w:pPr>
    </w:p>
    <w:p w14:paraId="713D0FB9" w14:textId="77777777" w:rsidR="00390D5E" w:rsidRDefault="00390D5E" w:rsidP="00F51D85">
      <w:pPr>
        <w:pStyle w:val="BlockText"/>
        <w:tabs>
          <w:tab w:val="left" w:pos="9360"/>
        </w:tabs>
        <w:spacing w:after="0"/>
        <w:ind w:left="0" w:right="0"/>
        <w:jc w:val="center"/>
        <w:rPr>
          <w:rFonts w:ascii="Arial" w:hAnsi="Arial" w:cs="Arial"/>
        </w:rPr>
      </w:pPr>
    </w:p>
    <w:p w14:paraId="5746205A" w14:textId="77777777" w:rsidR="00E16E63" w:rsidRPr="000D3596" w:rsidRDefault="00E16E63" w:rsidP="00911709">
      <w:pPr>
        <w:pStyle w:val="BlockText"/>
        <w:tabs>
          <w:tab w:val="left" w:pos="9360"/>
        </w:tabs>
        <w:spacing w:after="0"/>
        <w:ind w:left="0" w:right="0"/>
        <w:rPr>
          <w:rFonts w:ascii="Arial" w:hAnsi="Arial" w:cs="Arial"/>
        </w:rPr>
      </w:pPr>
    </w:p>
    <w:p w14:paraId="3854011A" w14:textId="77777777" w:rsidR="00C30FC1" w:rsidRPr="000D3596" w:rsidRDefault="00F866B6" w:rsidP="00911709">
      <w:pPr>
        <w:pStyle w:val="Heading1"/>
        <w:keepLines/>
        <w:tabs>
          <w:tab w:val="clear" w:pos="360"/>
          <w:tab w:val="num" w:pos="720"/>
        </w:tabs>
        <w:spacing w:before="0" w:after="0"/>
        <w:jc w:val="both"/>
        <w:rPr>
          <w:rFonts w:cs="Arial"/>
          <w:spacing w:val="0"/>
        </w:rPr>
      </w:pPr>
      <w:bookmarkStart w:id="50" w:name="_Toc509500771"/>
      <w:r w:rsidRPr="000D3596">
        <w:rPr>
          <w:rFonts w:cs="Arial"/>
          <w:spacing w:val="0"/>
        </w:rPr>
        <w:t>Underserved Counties</w:t>
      </w:r>
      <w:bookmarkEnd w:id="50"/>
    </w:p>
    <w:p w14:paraId="09BB0536" w14:textId="77777777" w:rsidR="00E540C9" w:rsidRDefault="00E540C9" w:rsidP="00911709">
      <w:pPr>
        <w:pStyle w:val="BodyText"/>
        <w:keepNext/>
        <w:keepLines/>
        <w:spacing w:before="0" w:after="0" w:line="240" w:lineRule="auto"/>
        <w:rPr>
          <w:rFonts w:cs="Arial"/>
          <w:b w:val="0"/>
        </w:rPr>
      </w:pPr>
    </w:p>
    <w:p w14:paraId="66C39606" w14:textId="5B28CD07" w:rsidR="00C30FC1" w:rsidRDefault="00F866B6" w:rsidP="00911709">
      <w:pPr>
        <w:pStyle w:val="BodyText"/>
        <w:spacing w:before="0" w:after="0" w:line="240" w:lineRule="auto"/>
        <w:rPr>
          <w:rFonts w:cs="Arial"/>
          <w:b w:val="0"/>
        </w:rPr>
      </w:pPr>
      <w:r w:rsidRPr="000D3596">
        <w:rPr>
          <w:rFonts w:cs="Arial"/>
          <w:b w:val="0"/>
        </w:rPr>
        <w:t xml:space="preserve">EPE serves customers in three </w:t>
      </w:r>
      <w:r w:rsidR="00CF5032">
        <w:rPr>
          <w:rFonts w:cs="Arial"/>
          <w:b w:val="0"/>
        </w:rPr>
        <w:t xml:space="preserve">Texas </w:t>
      </w:r>
      <w:r w:rsidRPr="000D3596">
        <w:rPr>
          <w:rFonts w:cs="Arial"/>
          <w:b w:val="0"/>
        </w:rPr>
        <w:t xml:space="preserve">counties: Culberson, Hudspeth, and El Paso. </w:t>
      </w:r>
      <w:r w:rsidR="00060DA9">
        <w:rPr>
          <w:rFonts w:cs="Arial"/>
          <w:b w:val="0"/>
        </w:rPr>
        <w:t xml:space="preserve">During </w:t>
      </w:r>
      <w:r w:rsidR="003321CF">
        <w:rPr>
          <w:rFonts w:cs="Arial"/>
          <w:b w:val="0"/>
        </w:rPr>
        <w:t>2017</w:t>
      </w:r>
      <w:r w:rsidR="00060DA9">
        <w:rPr>
          <w:rFonts w:cs="Arial"/>
          <w:b w:val="0"/>
        </w:rPr>
        <w:t>, the majority of energy efficiency projects were in El Paso County.</w:t>
      </w:r>
      <w:r w:rsidR="00BD06CD">
        <w:rPr>
          <w:rFonts w:cs="Arial"/>
          <w:b w:val="0"/>
        </w:rPr>
        <w:t xml:space="preserve"> EPE has defined Underserved Counties as any county in the Texas EPE service territory that EPE reported no demand or energy savings through any of its </w:t>
      </w:r>
      <w:r w:rsidR="003321CF">
        <w:rPr>
          <w:rFonts w:cs="Arial"/>
          <w:b w:val="0"/>
        </w:rPr>
        <w:t xml:space="preserve">2017 </w:t>
      </w:r>
      <w:r w:rsidR="00BD06CD">
        <w:rPr>
          <w:rFonts w:cs="Arial"/>
          <w:b w:val="0"/>
        </w:rPr>
        <w:t xml:space="preserve">energy efficiency programs. </w:t>
      </w:r>
      <w:r w:rsidR="00100B79">
        <w:rPr>
          <w:rFonts w:cs="Arial"/>
          <w:b w:val="0"/>
        </w:rPr>
        <w:t xml:space="preserve">Based on this definition, EPE had no </w:t>
      </w:r>
      <w:r w:rsidR="008E4D2B">
        <w:rPr>
          <w:rFonts w:cs="Arial"/>
          <w:b w:val="0"/>
        </w:rPr>
        <w:t>U</w:t>
      </w:r>
      <w:r w:rsidR="00100B79">
        <w:rPr>
          <w:rFonts w:cs="Arial"/>
          <w:b w:val="0"/>
        </w:rPr>
        <w:t xml:space="preserve">nderserved </w:t>
      </w:r>
      <w:r w:rsidR="008E4D2B">
        <w:rPr>
          <w:rFonts w:cs="Arial"/>
          <w:b w:val="0"/>
        </w:rPr>
        <w:t>C</w:t>
      </w:r>
      <w:r w:rsidR="00100B79">
        <w:rPr>
          <w:rFonts w:cs="Arial"/>
          <w:b w:val="0"/>
        </w:rPr>
        <w:t xml:space="preserve">ounties in </w:t>
      </w:r>
      <w:r w:rsidR="003321CF">
        <w:rPr>
          <w:rFonts w:cs="Arial"/>
          <w:b w:val="0"/>
        </w:rPr>
        <w:t>2017</w:t>
      </w:r>
      <w:r w:rsidR="00100B79">
        <w:rPr>
          <w:rFonts w:cs="Arial"/>
          <w:b w:val="0"/>
        </w:rPr>
        <w:t xml:space="preserve">. </w:t>
      </w:r>
    </w:p>
    <w:p w14:paraId="785F40DD" w14:textId="77777777" w:rsidR="00332BF6" w:rsidRDefault="00332BF6" w:rsidP="00E728DF">
      <w:pPr>
        <w:pStyle w:val="Caption"/>
        <w:keepNext/>
        <w:keepLines/>
        <w:spacing w:before="0"/>
        <w:rPr>
          <w:rFonts w:cs="Arial"/>
        </w:rPr>
      </w:pPr>
      <w:bookmarkStart w:id="51" w:name="_Ref225823734"/>
    </w:p>
    <w:p w14:paraId="79485292" w14:textId="7DC83956" w:rsidR="00C30FC1" w:rsidRDefault="00F866B6" w:rsidP="00E728DF">
      <w:pPr>
        <w:pStyle w:val="Caption"/>
        <w:keepNext/>
        <w:keepLines/>
        <w:spacing w:before="0"/>
        <w:rPr>
          <w:rFonts w:cs="Arial"/>
        </w:rPr>
      </w:pPr>
      <w:r w:rsidRPr="000D3596">
        <w:rPr>
          <w:rFonts w:cs="Arial"/>
        </w:rPr>
        <w:t xml:space="preserve">Table </w:t>
      </w:r>
      <w:bookmarkEnd w:id="51"/>
      <w:r w:rsidR="002173F2" w:rsidRPr="000D3596">
        <w:rPr>
          <w:rFonts w:cs="Arial"/>
        </w:rPr>
        <w:t>1</w:t>
      </w:r>
      <w:r w:rsidR="007E4021" w:rsidRPr="000D3596">
        <w:rPr>
          <w:rFonts w:cs="Arial"/>
        </w:rPr>
        <w:t>4</w:t>
      </w:r>
      <w:r w:rsidRPr="000D3596">
        <w:rPr>
          <w:rFonts w:cs="Arial"/>
        </w:rPr>
        <w:t xml:space="preserve">: </w:t>
      </w:r>
      <w:r w:rsidR="003321CF">
        <w:rPr>
          <w:rFonts w:cs="Arial"/>
        </w:rPr>
        <w:t>2017</w:t>
      </w:r>
      <w:r w:rsidR="003321CF" w:rsidRPr="000D3596">
        <w:rPr>
          <w:rFonts w:cs="Arial"/>
        </w:rPr>
        <w:t xml:space="preserve"> </w:t>
      </w:r>
      <w:r w:rsidR="003328D1" w:rsidRPr="000D3596">
        <w:rPr>
          <w:rFonts w:cs="Arial"/>
        </w:rPr>
        <w:t xml:space="preserve">Energy Efficiency </w:t>
      </w:r>
      <w:r w:rsidR="00052E2F" w:rsidRPr="000D3596">
        <w:rPr>
          <w:rFonts w:cs="Arial"/>
        </w:rPr>
        <w:t>Activities</w:t>
      </w:r>
      <w:r w:rsidR="003328D1" w:rsidRPr="000D3596">
        <w:rPr>
          <w:rFonts w:cs="Arial"/>
        </w:rPr>
        <w:t xml:space="preserve"> </w:t>
      </w:r>
      <w:r w:rsidRPr="000D3596">
        <w:rPr>
          <w:rFonts w:cs="Arial"/>
        </w:rPr>
        <w:t>by County</w:t>
      </w:r>
    </w:p>
    <w:tbl>
      <w:tblPr>
        <w:tblW w:w="9818" w:type="dxa"/>
        <w:jc w:val="center"/>
        <w:tblLook w:val="04A0" w:firstRow="1" w:lastRow="0" w:firstColumn="1" w:lastColumn="0" w:noHBand="0" w:noVBand="1"/>
      </w:tblPr>
      <w:tblGrid>
        <w:gridCol w:w="3078"/>
        <w:gridCol w:w="2387"/>
        <w:gridCol w:w="1785"/>
        <w:gridCol w:w="2568"/>
      </w:tblGrid>
      <w:tr w:rsidR="00133CA7" w:rsidRPr="000D3596" w14:paraId="58EE641E" w14:textId="77777777" w:rsidTr="00184B51">
        <w:trPr>
          <w:trHeight w:val="255"/>
          <w:jc w:val="center"/>
        </w:trPr>
        <w:tc>
          <w:tcPr>
            <w:tcW w:w="3078"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noWrap/>
            <w:vAlign w:val="center"/>
            <w:hideMark/>
          </w:tcPr>
          <w:p w14:paraId="6694A7A5" w14:textId="77777777" w:rsidR="00C30FC1" w:rsidRPr="000D3596" w:rsidRDefault="00133CA7" w:rsidP="00911709">
            <w:pPr>
              <w:jc w:val="center"/>
              <w:rPr>
                <w:rFonts w:ascii="Arial" w:hAnsi="Arial" w:cs="Arial"/>
              </w:rPr>
            </w:pPr>
            <w:r w:rsidRPr="000D3596">
              <w:rPr>
                <w:rFonts w:ascii="Arial" w:hAnsi="Arial" w:cs="Arial"/>
              </w:rPr>
              <w:t>County</w:t>
            </w:r>
          </w:p>
        </w:tc>
        <w:tc>
          <w:tcPr>
            <w:tcW w:w="2387" w:type="dxa"/>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vAlign w:val="center"/>
            <w:hideMark/>
          </w:tcPr>
          <w:p w14:paraId="6FF0417A" w14:textId="77777777" w:rsidR="0081479A" w:rsidRPr="000D3596" w:rsidRDefault="0081479A" w:rsidP="00911709">
            <w:pPr>
              <w:jc w:val="center"/>
              <w:rPr>
                <w:rFonts w:ascii="Arial" w:hAnsi="Arial" w:cs="Arial"/>
              </w:rPr>
            </w:pPr>
            <w:r>
              <w:rPr>
                <w:rFonts w:ascii="Arial" w:hAnsi="Arial" w:cs="Arial"/>
              </w:rPr>
              <w:t>Participants</w:t>
            </w:r>
          </w:p>
        </w:tc>
        <w:tc>
          <w:tcPr>
            <w:tcW w:w="4353" w:type="dxa"/>
            <w:gridSpan w:val="2"/>
            <w:tcBorders>
              <w:top w:val="single" w:sz="8" w:space="0" w:color="auto"/>
              <w:left w:val="nil"/>
              <w:bottom w:val="single" w:sz="4" w:space="0" w:color="auto"/>
              <w:right w:val="single" w:sz="8" w:space="0" w:color="000000"/>
            </w:tcBorders>
            <w:shd w:val="clear" w:color="auto" w:fill="F2F2F2" w:themeFill="background1" w:themeFillShade="F2"/>
            <w:noWrap/>
            <w:vAlign w:val="center"/>
            <w:hideMark/>
          </w:tcPr>
          <w:p w14:paraId="6F0CCBAB" w14:textId="77777777" w:rsidR="00C30FC1" w:rsidRPr="000D3596" w:rsidRDefault="00133CA7" w:rsidP="00911709">
            <w:pPr>
              <w:jc w:val="center"/>
              <w:rPr>
                <w:rFonts w:ascii="Arial" w:hAnsi="Arial" w:cs="Arial"/>
              </w:rPr>
            </w:pPr>
            <w:r w:rsidRPr="000D3596">
              <w:rPr>
                <w:rFonts w:ascii="Arial" w:hAnsi="Arial" w:cs="Arial"/>
              </w:rPr>
              <w:t>Reported Savings</w:t>
            </w:r>
          </w:p>
        </w:tc>
      </w:tr>
      <w:tr w:rsidR="00133CA7" w:rsidRPr="000D3596" w14:paraId="3DA99A19" w14:textId="77777777" w:rsidTr="00184B51">
        <w:trPr>
          <w:trHeight w:val="270"/>
          <w:jc w:val="center"/>
        </w:trPr>
        <w:tc>
          <w:tcPr>
            <w:tcW w:w="3078"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4C83BC9F" w14:textId="77777777" w:rsidR="00742B04" w:rsidRPr="000D3596" w:rsidRDefault="00742B04" w:rsidP="00911709">
            <w:pPr>
              <w:rPr>
                <w:rFonts w:ascii="Arial" w:hAnsi="Arial" w:cs="Arial"/>
              </w:rPr>
            </w:pPr>
          </w:p>
        </w:tc>
        <w:tc>
          <w:tcPr>
            <w:tcW w:w="2387" w:type="dxa"/>
            <w:vMerge/>
            <w:tcBorders>
              <w:top w:val="single" w:sz="8" w:space="0" w:color="auto"/>
              <w:left w:val="single" w:sz="4" w:space="0" w:color="auto"/>
              <w:bottom w:val="single" w:sz="8" w:space="0" w:color="000000"/>
              <w:right w:val="single" w:sz="8" w:space="0" w:color="auto"/>
            </w:tcBorders>
            <w:shd w:val="clear" w:color="auto" w:fill="F2F2F2" w:themeFill="background1" w:themeFillShade="F2"/>
            <w:vAlign w:val="center"/>
            <w:hideMark/>
          </w:tcPr>
          <w:p w14:paraId="74E804E9" w14:textId="77777777" w:rsidR="00742B04" w:rsidRPr="000D3596" w:rsidRDefault="00742B04" w:rsidP="00911709">
            <w:pPr>
              <w:rPr>
                <w:rFonts w:ascii="Arial" w:hAnsi="Arial" w:cs="Arial"/>
              </w:rPr>
            </w:pPr>
          </w:p>
        </w:tc>
        <w:tc>
          <w:tcPr>
            <w:tcW w:w="1785" w:type="dxa"/>
            <w:tcBorders>
              <w:top w:val="nil"/>
              <w:left w:val="nil"/>
              <w:bottom w:val="nil"/>
              <w:right w:val="single" w:sz="4" w:space="0" w:color="auto"/>
            </w:tcBorders>
            <w:shd w:val="clear" w:color="auto" w:fill="F2F2F2" w:themeFill="background1" w:themeFillShade="F2"/>
            <w:noWrap/>
            <w:vAlign w:val="center"/>
            <w:hideMark/>
          </w:tcPr>
          <w:p w14:paraId="04116718" w14:textId="77777777" w:rsidR="00C30FC1" w:rsidRPr="000D3596" w:rsidRDefault="00133CA7" w:rsidP="00911709">
            <w:pPr>
              <w:jc w:val="center"/>
              <w:rPr>
                <w:rFonts w:ascii="Arial" w:hAnsi="Arial" w:cs="Arial"/>
              </w:rPr>
            </w:pPr>
            <w:r w:rsidRPr="000D3596">
              <w:rPr>
                <w:rFonts w:ascii="Arial" w:hAnsi="Arial" w:cs="Arial"/>
              </w:rPr>
              <w:t>kW</w:t>
            </w:r>
          </w:p>
        </w:tc>
        <w:tc>
          <w:tcPr>
            <w:tcW w:w="2568" w:type="dxa"/>
            <w:tcBorders>
              <w:top w:val="nil"/>
              <w:left w:val="nil"/>
              <w:bottom w:val="nil"/>
              <w:right w:val="single" w:sz="8" w:space="0" w:color="auto"/>
            </w:tcBorders>
            <w:shd w:val="clear" w:color="auto" w:fill="F2F2F2" w:themeFill="background1" w:themeFillShade="F2"/>
            <w:noWrap/>
            <w:vAlign w:val="center"/>
            <w:hideMark/>
          </w:tcPr>
          <w:p w14:paraId="2AACAE5B" w14:textId="77777777" w:rsidR="00C30FC1" w:rsidRPr="000D3596" w:rsidRDefault="00133CA7" w:rsidP="00911709">
            <w:pPr>
              <w:jc w:val="center"/>
              <w:rPr>
                <w:rFonts w:ascii="Arial" w:hAnsi="Arial" w:cs="Arial"/>
              </w:rPr>
            </w:pPr>
            <w:r w:rsidRPr="000D3596">
              <w:rPr>
                <w:rFonts w:ascii="Arial" w:hAnsi="Arial" w:cs="Arial"/>
              </w:rPr>
              <w:t>kWh</w:t>
            </w:r>
          </w:p>
        </w:tc>
      </w:tr>
      <w:tr w:rsidR="00D360A3" w:rsidRPr="000D3596" w14:paraId="74F5D9C5" w14:textId="77777777" w:rsidTr="00184B51">
        <w:trPr>
          <w:trHeight w:val="270"/>
          <w:jc w:val="center"/>
        </w:trPr>
        <w:tc>
          <w:tcPr>
            <w:tcW w:w="3078" w:type="dxa"/>
            <w:tcBorders>
              <w:top w:val="single" w:sz="8" w:space="0" w:color="000000"/>
              <w:left w:val="single" w:sz="8" w:space="0" w:color="auto"/>
              <w:bottom w:val="single" w:sz="4" w:space="0" w:color="auto"/>
              <w:right w:val="single" w:sz="4" w:space="0" w:color="auto"/>
            </w:tcBorders>
            <w:shd w:val="clear" w:color="auto" w:fill="auto"/>
            <w:noWrap/>
            <w:vAlign w:val="bottom"/>
            <w:hideMark/>
          </w:tcPr>
          <w:p w14:paraId="2E897E09" w14:textId="77777777" w:rsidR="00D360A3" w:rsidRPr="00D360A3" w:rsidRDefault="00D360A3" w:rsidP="00911709">
            <w:pPr>
              <w:rPr>
                <w:rFonts w:ascii="Arial" w:hAnsi="Arial" w:cs="Arial"/>
                <w:b w:val="0"/>
              </w:rPr>
            </w:pPr>
            <w:r w:rsidRPr="00D360A3">
              <w:rPr>
                <w:rFonts w:ascii="Arial" w:hAnsi="Arial" w:cs="Arial"/>
                <w:b w:val="0"/>
              </w:rPr>
              <w:t>El Paso County</w:t>
            </w:r>
          </w:p>
        </w:tc>
        <w:tc>
          <w:tcPr>
            <w:tcW w:w="2387" w:type="dxa"/>
            <w:tcBorders>
              <w:top w:val="nil"/>
              <w:left w:val="nil"/>
              <w:bottom w:val="single" w:sz="4" w:space="0" w:color="auto"/>
              <w:right w:val="single" w:sz="8" w:space="0" w:color="auto"/>
            </w:tcBorders>
            <w:shd w:val="clear" w:color="auto" w:fill="auto"/>
            <w:noWrap/>
          </w:tcPr>
          <w:p w14:paraId="6BB4E7A6" w14:textId="66F860BA" w:rsidR="00D360A3" w:rsidRPr="00D360A3" w:rsidRDefault="00D343B3" w:rsidP="00911709">
            <w:pPr>
              <w:jc w:val="center"/>
              <w:rPr>
                <w:rFonts w:ascii="Arial" w:hAnsi="Arial" w:cs="Arial"/>
                <w:b w:val="0"/>
              </w:rPr>
            </w:pPr>
            <w:r>
              <w:rPr>
                <w:rFonts w:ascii="Arial" w:hAnsi="Arial" w:cs="Arial"/>
                <w:b w:val="0"/>
              </w:rPr>
              <w:t>18,683</w:t>
            </w:r>
          </w:p>
        </w:tc>
        <w:tc>
          <w:tcPr>
            <w:tcW w:w="1785" w:type="dxa"/>
            <w:tcBorders>
              <w:top w:val="single" w:sz="8" w:space="0" w:color="auto"/>
              <w:left w:val="nil"/>
              <w:bottom w:val="single" w:sz="4" w:space="0" w:color="auto"/>
              <w:right w:val="single" w:sz="4" w:space="0" w:color="auto"/>
            </w:tcBorders>
            <w:shd w:val="clear" w:color="auto" w:fill="auto"/>
            <w:noWrap/>
          </w:tcPr>
          <w:p w14:paraId="1627B6FB" w14:textId="21E5E254" w:rsidR="00D360A3" w:rsidRPr="00D360A3" w:rsidRDefault="009D732E" w:rsidP="001F66C1">
            <w:pPr>
              <w:jc w:val="right"/>
              <w:rPr>
                <w:rFonts w:ascii="Arial" w:hAnsi="Arial" w:cs="Arial"/>
                <w:b w:val="0"/>
              </w:rPr>
            </w:pPr>
            <w:r>
              <w:rPr>
                <w:rFonts w:ascii="Arial" w:hAnsi="Arial" w:cs="Arial"/>
                <w:b w:val="0"/>
              </w:rPr>
              <w:t>15,115</w:t>
            </w:r>
            <w:r w:rsidR="00D343B3">
              <w:rPr>
                <w:rFonts w:ascii="Arial" w:hAnsi="Arial" w:cs="Arial"/>
                <w:b w:val="0"/>
              </w:rPr>
              <w:t>.00</w:t>
            </w:r>
          </w:p>
        </w:tc>
        <w:tc>
          <w:tcPr>
            <w:tcW w:w="2568" w:type="dxa"/>
            <w:tcBorders>
              <w:top w:val="single" w:sz="8" w:space="0" w:color="auto"/>
              <w:left w:val="nil"/>
              <w:bottom w:val="single" w:sz="4" w:space="0" w:color="auto"/>
              <w:right w:val="single" w:sz="8" w:space="0" w:color="auto"/>
            </w:tcBorders>
            <w:shd w:val="clear" w:color="auto" w:fill="auto"/>
            <w:noWrap/>
          </w:tcPr>
          <w:p w14:paraId="0CA36F69" w14:textId="578D94DF" w:rsidR="00D360A3" w:rsidRPr="00D360A3" w:rsidRDefault="00F84C8C" w:rsidP="00C156DA">
            <w:pPr>
              <w:jc w:val="right"/>
              <w:rPr>
                <w:rFonts w:ascii="Arial" w:hAnsi="Arial" w:cs="Arial"/>
                <w:b w:val="0"/>
              </w:rPr>
            </w:pPr>
            <w:r>
              <w:rPr>
                <w:rFonts w:ascii="Arial" w:hAnsi="Arial" w:cs="Arial"/>
                <w:b w:val="0"/>
              </w:rPr>
              <w:t>23,320,995</w:t>
            </w:r>
          </w:p>
        </w:tc>
      </w:tr>
      <w:tr w:rsidR="00D360A3" w:rsidRPr="000D3596" w14:paraId="2D9AF893" w14:textId="77777777" w:rsidTr="00184B51">
        <w:trPr>
          <w:trHeight w:val="270"/>
          <w:jc w:val="center"/>
        </w:trPr>
        <w:tc>
          <w:tcPr>
            <w:tcW w:w="30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B0577A" w14:textId="77777777" w:rsidR="00D360A3" w:rsidRPr="00D360A3" w:rsidRDefault="00D360A3" w:rsidP="00911709">
            <w:pPr>
              <w:rPr>
                <w:rFonts w:ascii="Arial" w:hAnsi="Arial" w:cs="Arial"/>
                <w:b w:val="0"/>
              </w:rPr>
            </w:pPr>
            <w:r w:rsidRPr="00D360A3">
              <w:rPr>
                <w:rFonts w:ascii="Arial" w:hAnsi="Arial" w:cs="Arial"/>
                <w:b w:val="0"/>
              </w:rPr>
              <w:t>Culberson County</w:t>
            </w:r>
          </w:p>
        </w:tc>
        <w:tc>
          <w:tcPr>
            <w:tcW w:w="2387" w:type="dxa"/>
            <w:tcBorders>
              <w:top w:val="single" w:sz="4" w:space="0" w:color="auto"/>
              <w:left w:val="nil"/>
              <w:bottom w:val="single" w:sz="4" w:space="0" w:color="auto"/>
              <w:right w:val="single" w:sz="8" w:space="0" w:color="auto"/>
            </w:tcBorders>
            <w:shd w:val="clear" w:color="auto" w:fill="auto"/>
            <w:noWrap/>
          </w:tcPr>
          <w:p w14:paraId="06188F02" w14:textId="12877B94" w:rsidR="00D360A3" w:rsidRPr="00D360A3" w:rsidRDefault="009D732E" w:rsidP="00911709">
            <w:pPr>
              <w:jc w:val="center"/>
              <w:rPr>
                <w:rFonts w:ascii="Arial" w:hAnsi="Arial" w:cs="Arial"/>
                <w:b w:val="0"/>
              </w:rPr>
            </w:pPr>
            <w:r>
              <w:rPr>
                <w:rFonts w:ascii="Arial" w:hAnsi="Arial" w:cs="Arial"/>
                <w:b w:val="0"/>
              </w:rPr>
              <w:t>23</w:t>
            </w:r>
          </w:p>
        </w:tc>
        <w:tc>
          <w:tcPr>
            <w:tcW w:w="1785" w:type="dxa"/>
            <w:tcBorders>
              <w:top w:val="single" w:sz="4" w:space="0" w:color="auto"/>
              <w:left w:val="nil"/>
              <w:bottom w:val="single" w:sz="4" w:space="0" w:color="auto"/>
              <w:right w:val="single" w:sz="4" w:space="0" w:color="auto"/>
            </w:tcBorders>
            <w:shd w:val="clear" w:color="auto" w:fill="auto"/>
            <w:noWrap/>
          </w:tcPr>
          <w:p w14:paraId="7732EF3A" w14:textId="36D35E9F" w:rsidR="00D360A3" w:rsidRPr="00D360A3" w:rsidRDefault="009D732E" w:rsidP="00911709">
            <w:pPr>
              <w:jc w:val="right"/>
              <w:rPr>
                <w:rFonts w:ascii="Arial" w:hAnsi="Arial" w:cs="Arial"/>
                <w:b w:val="0"/>
              </w:rPr>
            </w:pPr>
            <w:r>
              <w:rPr>
                <w:rFonts w:ascii="Arial" w:hAnsi="Arial" w:cs="Arial"/>
                <w:b w:val="0"/>
              </w:rPr>
              <w:t>1.39</w:t>
            </w:r>
          </w:p>
        </w:tc>
        <w:tc>
          <w:tcPr>
            <w:tcW w:w="2568" w:type="dxa"/>
            <w:tcBorders>
              <w:top w:val="single" w:sz="4" w:space="0" w:color="auto"/>
              <w:left w:val="nil"/>
              <w:bottom w:val="single" w:sz="4" w:space="0" w:color="auto"/>
              <w:right w:val="single" w:sz="8" w:space="0" w:color="auto"/>
            </w:tcBorders>
            <w:shd w:val="clear" w:color="auto" w:fill="auto"/>
            <w:noWrap/>
          </w:tcPr>
          <w:p w14:paraId="78108A6A" w14:textId="651155D0" w:rsidR="00D360A3" w:rsidRPr="00D360A3" w:rsidRDefault="009D732E" w:rsidP="00FA778C">
            <w:pPr>
              <w:jc w:val="right"/>
              <w:rPr>
                <w:rFonts w:ascii="Arial" w:hAnsi="Arial" w:cs="Arial"/>
                <w:b w:val="0"/>
              </w:rPr>
            </w:pPr>
            <w:r>
              <w:rPr>
                <w:rFonts w:ascii="Arial" w:hAnsi="Arial" w:cs="Arial"/>
                <w:b w:val="0"/>
              </w:rPr>
              <w:t>3,566</w:t>
            </w:r>
          </w:p>
        </w:tc>
      </w:tr>
      <w:tr w:rsidR="00D360A3" w:rsidRPr="000D3596" w14:paraId="0CF37A07" w14:textId="77777777" w:rsidTr="00184B51">
        <w:trPr>
          <w:trHeight w:val="270"/>
          <w:jc w:val="center"/>
        </w:trPr>
        <w:tc>
          <w:tcPr>
            <w:tcW w:w="3078" w:type="dxa"/>
            <w:tcBorders>
              <w:top w:val="nil"/>
              <w:left w:val="single" w:sz="8" w:space="0" w:color="auto"/>
              <w:bottom w:val="single" w:sz="8" w:space="0" w:color="auto"/>
              <w:right w:val="single" w:sz="4" w:space="0" w:color="auto"/>
            </w:tcBorders>
            <w:shd w:val="clear" w:color="auto" w:fill="auto"/>
            <w:noWrap/>
            <w:vAlign w:val="bottom"/>
            <w:hideMark/>
          </w:tcPr>
          <w:p w14:paraId="2D3EE0D1" w14:textId="77777777" w:rsidR="00D360A3" w:rsidRPr="00D360A3" w:rsidRDefault="00D360A3" w:rsidP="00911709">
            <w:pPr>
              <w:rPr>
                <w:rFonts w:ascii="Arial" w:hAnsi="Arial" w:cs="Arial"/>
                <w:b w:val="0"/>
              </w:rPr>
            </w:pPr>
            <w:r w:rsidRPr="00D360A3">
              <w:rPr>
                <w:rFonts w:ascii="Arial" w:hAnsi="Arial" w:cs="Arial"/>
                <w:b w:val="0"/>
              </w:rPr>
              <w:t>Hudspeth County</w:t>
            </w:r>
          </w:p>
        </w:tc>
        <w:tc>
          <w:tcPr>
            <w:tcW w:w="2387" w:type="dxa"/>
            <w:tcBorders>
              <w:top w:val="nil"/>
              <w:left w:val="nil"/>
              <w:bottom w:val="single" w:sz="8" w:space="0" w:color="auto"/>
              <w:right w:val="single" w:sz="8" w:space="0" w:color="auto"/>
            </w:tcBorders>
            <w:shd w:val="clear" w:color="auto" w:fill="auto"/>
            <w:noWrap/>
          </w:tcPr>
          <w:p w14:paraId="60437B5B" w14:textId="7A483859" w:rsidR="00D360A3" w:rsidRPr="00D360A3" w:rsidRDefault="009D732E" w:rsidP="00911709">
            <w:pPr>
              <w:jc w:val="center"/>
              <w:rPr>
                <w:rFonts w:ascii="Arial" w:hAnsi="Arial" w:cs="Arial"/>
                <w:b w:val="0"/>
              </w:rPr>
            </w:pPr>
            <w:r>
              <w:rPr>
                <w:rFonts w:ascii="Arial" w:hAnsi="Arial" w:cs="Arial"/>
                <w:b w:val="0"/>
              </w:rPr>
              <w:t>31</w:t>
            </w:r>
          </w:p>
        </w:tc>
        <w:tc>
          <w:tcPr>
            <w:tcW w:w="1785" w:type="dxa"/>
            <w:tcBorders>
              <w:top w:val="nil"/>
              <w:left w:val="nil"/>
              <w:bottom w:val="single" w:sz="8" w:space="0" w:color="auto"/>
              <w:right w:val="single" w:sz="4" w:space="0" w:color="auto"/>
            </w:tcBorders>
            <w:shd w:val="clear" w:color="auto" w:fill="auto"/>
            <w:noWrap/>
          </w:tcPr>
          <w:p w14:paraId="17E02C33" w14:textId="2C4B0280" w:rsidR="00D360A3" w:rsidRPr="00D360A3" w:rsidRDefault="00D343B3" w:rsidP="00911709">
            <w:pPr>
              <w:jc w:val="right"/>
              <w:rPr>
                <w:rFonts w:ascii="Arial" w:hAnsi="Arial" w:cs="Arial"/>
                <w:b w:val="0"/>
              </w:rPr>
            </w:pPr>
            <w:r>
              <w:rPr>
                <w:rFonts w:ascii="Arial" w:hAnsi="Arial" w:cs="Arial"/>
                <w:b w:val="0"/>
              </w:rPr>
              <w:t>2.96</w:t>
            </w:r>
          </w:p>
        </w:tc>
        <w:tc>
          <w:tcPr>
            <w:tcW w:w="2568" w:type="dxa"/>
            <w:tcBorders>
              <w:top w:val="single" w:sz="4" w:space="0" w:color="auto"/>
              <w:left w:val="nil"/>
              <w:bottom w:val="single" w:sz="8" w:space="0" w:color="auto"/>
              <w:right w:val="single" w:sz="8" w:space="0" w:color="auto"/>
            </w:tcBorders>
            <w:shd w:val="clear" w:color="auto" w:fill="auto"/>
            <w:noWrap/>
          </w:tcPr>
          <w:p w14:paraId="0E0C67B6" w14:textId="31CB516A" w:rsidR="00D360A3" w:rsidRPr="00D360A3" w:rsidRDefault="00D343B3" w:rsidP="00911709">
            <w:pPr>
              <w:jc w:val="right"/>
              <w:rPr>
                <w:rFonts w:ascii="Arial" w:hAnsi="Arial" w:cs="Arial"/>
                <w:b w:val="0"/>
              </w:rPr>
            </w:pPr>
            <w:r>
              <w:rPr>
                <w:rFonts w:ascii="Arial" w:hAnsi="Arial" w:cs="Arial"/>
                <w:b w:val="0"/>
              </w:rPr>
              <w:t>5,978</w:t>
            </w:r>
          </w:p>
        </w:tc>
      </w:tr>
      <w:tr w:rsidR="00D360A3" w:rsidRPr="00D360A3" w14:paraId="6064DF01" w14:textId="77777777" w:rsidTr="00184B51">
        <w:trPr>
          <w:trHeight w:val="270"/>
          <w:jc w:val="center"/>
        </w:trPr>
        <w:tc>
          <w:tcPr>
            <w:tcW w:w="3078" w:type="dxa"/>
            <w:tcBorders>
              <w:top w:val="nil"/>
              <w:left w:val="single" w:sz="8" w:space="0" w:color="auto"/>
              <w:bottom w:val="single" w:sz="8" w:space="0" w:color="auto"/>
              <w:right w:val="single" w:sz="4" w:space="0" w:color="auto"/>
            </w:tcBorders>
            <w:shd w:val="clear" w:color="auto" w:fill="auto"/>
            <w:noWrap/>
            <w:vAlign w:val="bottom"/>
            <w:hideMark/>
          </w:tcPr>
          <w:p w14:paraId="739D07E7" w14:textId="77777777" w:rsidR="00D360A3" w:rsidRPr="00D360A3" w:rsidRDefault="00D360A3" w:rsidP="00911709">
            <w:pPr>
              <w:rPr>
                <w:rFonts w:ascii="Arial" w:hAnsi="Arial" w:cs="Arial"/>
              </w:rPr>
            </w:pPr>
            <w:r w:rsidRPr="00D360A3">
              <w:rPr>
                <w:rFonts w:ascii="Arial" w:hAnsi="Arial" w:cs="Arial"/>
              </w:rPr>
              <w:t>Total</w:t>
            </w:r>
          </w:p>
        </w:tc>
        <w:tc>
          <w:tcPr>
            <w:tcW w:w="2387" w:type="dxa"/>
            <w:tcBorders>
              <w:top w:val="nil"/>
              <w:left w:val="nil"/>
              <w:bottom w:val="single" w:sz="8" w:space="0" w:color="auto"/>
              <w:right w:val="single" w:sz="8" w:space="0" w:color="auto"/>
            </w:tcBorders>
            <w:shd w:val="clear" w:color="auto" w:fill="auto"/>
            <w:noWrap/>
          </w:tcPr>
          <w:p w14:paraId="6A450CF2" w14:textId="5FD8F96E" w:rsidR="00D360A3" w:rsidRPr="00D360A3" w:rsidRDefault="00D343B3" w:rsidP="00911709">
            <w:pPr>
              <w:jc w:val="center"/>
              <w:rPr>
                <w:rFonts w:ascii="Arial" w:hAnsi="Arial" w:cs="Arial"/>
              </w:rPr>
            </w:pPr>
            <w:r>
              <w:rPr>
                <w:rFonts w:ascii="Arial" w:hAnsi="Arial" w:cs="Arial"/>
              </w:rPr>
              <w:t>18,737</w:t>
            </w:r>
          </w:p>
        </w:tc>
        <w:tc>
          <w:tcPr>
            <w:tcW w:w="1785" w:type="dxa"/>
            <w:tcBorders>
              <w:top w:val="nil"/>
              <w:left w:val="nil"/>
              <w:bottom w:val="single" w:sz="8" w:space="0" w:color="auto"/>
              <w:right w:val="single" w:sz="4" w:space="0" w:color="auto"/>
            </w:tcBorders>
            <w:shd w:val="clear" w:color="auto" w:fill="auto"/>
            <w:noWrap/>
          </w:tcPr>
          <w:p w14:paraId="760E8CA2" w14:textId="1CE3E00E" w:rsidR="00D360A3" w:rsidRPr="00D360A3" w:rsidRDefault="009D732E" w:rsidP="001F66C1">
            <w:pPr>
              <w:jc w:val="right"/>
              <w:rPr>
                <w:rFonts w:ascii="Arial" w:hAnsi="Arial" w:cs="Arial"/>
              </w:rPr>
            </w:pPr>
            <w:r>
              <w:rPr>
                <w:rFonts w:ascii="Arial" w:hAnsi="Arial" w:cs="Arial"/>
              </w:rPr>
              <w:t>15,119</w:t>
            </w:r>
            <w:r w:rsidR="00D343B3">
              <w:rPr>
                <w:rFonts w:ascii="Arial" w:hAnsi="Arial" w:cs="Arial"/>
              </w:rPr>
              <w:t>.35</w:t>
            </w:r>
          </w:p>
        </w:tc>
        <w:tc>
          <w:tcPr>
            <w:tcW w:w="2568" w:type="dxa"/>
            <w:tcBorders>
              <w:top w:val="single" w:sz="8" w:space="0" w:color="auto"/>
              <w:left w:val="nil"/>
              <w:bottom w:val="single" w:sz="8" w:space="0" w:color="auto"/>
              <w:right w:val="single" w:sz="8" w:space="0" w:color="auto"/>
            </w:tcBorders>
            <w:shd w:val="clear" w:color="auto" w:fill="auto"/>
            <w:noWrap/>
          </w:tcPr>
          <w:p w14:paraId="27361232" w14:textId="0DFF3124" w:rsidR="00D360A3" w:rsidRPr="00D360A3" w:rsidRDefault="00F84C8C" w:rsidP="00184998">
            <w:pPr>
              <w:jc w:val="right"/>
              <w:rPr>
                <w:rFonts w:ascii="Arial" w:hAnsi="Arial" w:cs="Arial"/>
              </w:rPr>
            </w:pPr>
            <w:r>
              <w:rPr>
                <w:rFonts w:ascii="Arial" w:hAnsi="Arial" w:cs="Arial"/>
              </w:rPr>
              <w:t>23,330,539</w:t>
            </w:r>
          </w:p>
        </w:tc>
      </w:tr>
    </w:tbl>
    <w:p w14:paraId="18CC1736" w14:textId="77777777" w:rsidR="00D24697" w:rsidRDefault="00D24697" w:rsidP="00911709">
      <w:bookmarkStart w:id="52" w:name="_Toc226183500"/>
    </w:p>
    <w:p w14:paraId="68A33108" w14:textId="77777777" w:rsidR="00332BF6" w:rsidRPr="00D24697" w:rsidRDefault="00332BF6" w:rsidP="00911709"/>
    <w:p w14:paraId="579CE582" w14:textId="7F937C39" w:rsidR="00CD1C01" w:rsidRPr="000D3596" w:rsidRDefault="00F92C60" w:rsidP="00911709">
      <w:pPr>
        <w:pStyle w:val="Heading1"/>
        <w:keepNext w:val="0"/>
        <w:spacing w:before="0" w:after="0"/>
        <w:rPr>
          <w:rFonts w:cs="Arial"/>
          <w:spacing w:val="0"/>
        </w:rPr>
      </w:pPr>
      <w:bookmarkStart w:id="53" w:name="_Toc509500772"/>
      <w:r>
        <w:rPr>
          <w:rFonts w:cs="Arial"/>
          <w:spacing w:val="0"/>
        </w:rPr>
        <w:t>Performance Incentive</w:t>
      </w:r>
      <w:r w:rsidRPr="000D3596">
        <w:rPr>
          <w:rFonts w:cs="Arial"/>
          <w:spacing w:val="0"/>
        </w:rPr>
        <w:t xml:space="preserve"> </w:t>
      </w:r>
      <w:r w:rsidR="00584FE1" w:rsidRPr="000D3596">
        <w:rPr>
          <w:rFonts w:cs="Arial"/>
          <w:spacing w:val="0"/>
        </w:rPr>
        <w:t>Calculation</w:t>
      </w:r>
      <w:bookmarkStart w:id="54" w:name="_Toc226260427"/>
      <w:bookmarkEnd w:id="52"/>
      <w:bookmarkEnd w:id="53"/>
    </w:p>
    <w:p w14:paraId="391D91C1" w14:textId="77777777" w:rsidR="00D24697" w:rsidRDefault="00D24697" w:rsidP="00911709">
      <w:pPr>
        <w:pStyle w:val="BodyText"/>
        <w:spacing w:before="0" w:after="0" w:line="240" w:lineRule="auto"/>
        <w:rPr>
          <w:rFonts w:cs="Arial"/>
          <w:b w:val="0"/>
        </w:rPr>
      </w:pPr>
    </w:p>
    <w:p w14:paraId="3E6D77AC" w14:textId="08DD26DD" w:rsidR="0065487E" w:rsidRPr="00E87341" w:rsidRDefault="002822C5" w:rsidP="00911709">
      <w:pPr>
        <w:pStyle w:val="BodyText"/>
        <w:tabs>
          <w:tab w:val="left" w:pos="900"/>
        </w:tabs>
        <w:spacing w:before="0" w:after="0" w:line="240" w:lineRule="auto"/>
        <w:rPr>
          <w:rFonts w:cs="Arial"/>
          <w:b w:val="0"/>
        </w:rPr>
      </w:pPr>
      <w:r w:rsidRPr="00B3020A">
        <w:rPr>
          <w:rFonts w:cs="Arial"/>
          <w:b w:val="0"/>
        </w:rPr>
        <w:t xml:space="preserve">EPE achieved </w:t>
      </w:r>
      <w:r w:rsidRPr="000C6827">
        <w:rPr>
          <w:rFonts w:cs="Arial"/>
          <w:b w:val="0"/>
        </w:rPr>
        <w:t xml:space="preserve">a </w:t>
      </w:r>
      <w:r w:rsidR="00D343B3" w:rsidRPr="000C6827">
        <w:rPr>
          <w:rFonts w:cs="Arial"/>
          <w:b w:val="0"/>
        </w:rPr>
        <w:t>15.119</w:t>
      </w:r>
      <w:r w:rsidR="00FA778C" w:rsidRPr="000C6827">
        <w:rPr>
          <w:rFonts w:cs="Arial"/>
          <w:b w:val="0"/>
        </w:rPr>
        <w:t xml:space="preserve"> </w:t>
      </w:r>
      <w:r w:rsidRPr="000C6827">
        <w:rPr>
          <w:rFonts w:cs="Arial"/>
          <w:b w:val="0"/>
        </w:rPr>
        <w:t xml:space="preserve">MW reduction in demand from its energy efficiency programs offered in </w:t>
      </w:r>
      <w:r w:rsidR="003321CF" w:rsidRPr="000C6827">
        <w:rPr>
          <w:rFonts w:cs="Arial"/>
          <w:b w:val="0"/>
        </w:rPr>
        <w:t>2017</w:t>
      </w:r>
      <w:r w:rsidRPr="000C6827">
        <w:rPr>
          <w:rFonts w:cs="Arial"/>
          <w:b w:val="0"/>
        </w:rPr>
        <w:t>. EPE</w:t>
      </w:r>
      <w:r w:rsidR="00CD6042" w:rsidRPr="000C6827">
        <w:rPr>
          <w:rFonts w:cs="Arial"/>
          <w:b w:val="0"/>
        </w:rPr>
        <w:t>'</w:t>
      </w:r>
      <w:r w:rsidRPr="000C6827">
        <w:rPr>
          <w:rFonts w:cs="Arial"/>
          <w:b w:val="0"/>
        </w:rPr>
        <w:t xml:space="preserve">s demand reduction goal for </w:t>
      </w:r>
      <w:r w:rsidR="003321CF" w:rsidRPr="000C6827">
        <w:rPr>
          <w:rFonts w:cs="Arial"/>
          <w:b w:val="0"/>
        </w:rPr>
        <w:t xml:space="preserve">2017 </w:t>
      </w:r>
      <w:r w:rsidRPr="000C6827">
        <w:rPr>
          <w:rFonts w:cs="Arial"/>
          <w:b w:val="0"/>
        </w:rPr>
        <w:t xml:space="preserve">was </w:t>
      </w:r>
      <w:r w:rsidR="00734E27" w:rsidRPr="000C6827">
        <w:rPr>
          <w:rFonts w:cs="Arial"/>
          <w:b w:val="0"/>
        </w:rPr>
        <w:t>11.16</w:t>
      </w:r>
      <w:r w:rsidRPr="000C6827">
        <w:rPr>
          <w:rFonts w:cs="Arial"/>
          <w:b w:val="0"/>
        </w:rPr>
        <w:t xml:space="preserve"> MW. EPE</w:t>
      </w:r>
      <w:r w:rsidR="00CD6042" w:rsidRPr="000C6827">
        <w:rPr>
          <w:rFonts w:cs="Arial"/>
          <w:b w:val="0"/>
        </w:rPr>
        <w:t>'</w:t>
      </w:r>
      <w:r w:rsidRPr="000C6827">
        <w:rPr>
          <w:rFonts w:cs="Arial"/>
          <w:b w:val="0"/>
        </w:rPr>
        <w:t xml:space="preserve">s achievement represents </w:t>
      </w:r>
      <w:r w:rsidR="00F33F36" w:rsidRPr="000C6827">
        <w:rPr>
          <w:rFonts w:cs="Arial"/>
          <w:b w:val="0"/>
        </w:rPr>
        <w:t>1</w:t>
      </w:r>
      <w:r w:rsidR="00F84C8C" w:rsidRPr="000C6827">
        <w:rPr>
          <w:rFonts w:cs="Arial"/>
          <w:b w:val="0"/>
        </w:rPr>
        <w:t>35.47</w:t>
      </w:r>
      <w:r w:rsidRPr="000C6827">
        <w:rPr>
          <w:rFonts w:cs="Arial"/>
          <w:b w:val="0"/>
        </w:rPr>
        <w:t xml:space="preserve">% of its </w:t>
      </w:r>
      <w:r w:rsidR="00171F44" w:rsidRPr="000C6827">
        <w:rPr>
          <w:rFonts w:cs="Arial"/>
          <w:b w:val="0"/>
        </w:rPr>
        <w:t xml:space="preserve">demand reduction </w:t>
      </w:r>
      <w:r w:rsidRPr="000C6827">
        <w:rPr>
          <w:rFonts w:cs="Arial"/>
          <w:b w:val="0"/>
        </w:rPr>
        <w:t xml:space="preserve">goal, qualifying it for a performance </w:t>
      </w:r>
      <w:r w:rsidR="00845CAA" w:rsidRPr="000C6827">
        <w:rPr>
          <w:rFonts w:cs="Arial"/>
          <w:b w:val="0"/>
        </w:rPr>
        <w:t>incentive</w:t>
      </w:r>
      <w:r w:rsidRPr="000C6827">
        <w:rPr>
          <w:rFonts w:cs="Arial"/>
          <w:b w:val="0"/>
        </w:rPr>
        <w:t>. Per</w:t>
      </w:r>
      <w:r w:rsidR="00D22633" w:rsidRPr="000C6827">
        <w:rPr>
          <w:rFonts w:cs="Arial"/>
          <w:b w:val="0"/>
        </w:rPr>
        <w:t xml:space="preserve"> </w:t>
      </w:r>
      <w:r w:rsidR="003D3616" w:rsidRPr="000C6827">
        <w:rPr>
          <w:rFonts w:cs="Arial"/>
          <w:b w:val="0"/>
        </w:rPr>
        <w:t>16 TAC</w:t>
      </w:r>
      <w:r w:rsidRPr="000C6827">
        <w:rPr>
          <w:rFonts w:cs="Arial"/>
          <w:b w:val="0"/>
        </w:rPr>
        <w:t xml:space="preserve"> </w:t>
      </w:r>
      <w:r w:rsidR="003D3616" w:rsidRPr="000C6827">
        <w:rPr>
          <w:rFonts w:cs="Arial"/>
          <w:b w:val="0"/>
        </w:rPr>
        <w:t>§</w:t>
      </w:r>
      <w:r w:rsidRPr="000C6827">
        <w:rPr>
          <w:rFonts w:cs="Arial"/>
          <w:b w:val="0"/>
        </w:rPr>
        <w:t>2</w:t>
      </w:r>
      <w:r w:rsidRPr="002D31C9">
        <w:rPr>
          <w:rFonts w:cs="Arial"/>
          <w:b w:val="0"/>
        </w:rPr>
        <w:t xml:space="preserve">5.181, EPE is eligible </w:t>
      </w:r>
      <w:r w:rsidRPr="00AC4D60">
        <w:rPr>
          <w:rFonts w:cs="Arial"/>
          <w:b w:val="0"/>
        </w:rPr>
        <w:lastRenderedPageBreak/>
        <w:t xml:space="preserve">for a </w:t>
      </w:r>
      <w:r w:rsidR="005476A0" w:rsidRPr="00AC4D60">
        <w:rPr>
          <w:rFonts w:cs="Arial"/>
          <w:b w:val="0"/>
        </w:rPr>
        <w:t>p</w:t>
      </w:r>
      <w:r w:rsidRPr="00AC4D60">
        <w:rPr>
          <w:rFonts w:cs="Arial"/>
          <w:b w:val="0"/>
        </w:rPr>
        <w:t xml:space="preserve">erformance </w:t>
      </w:r>
      <w:r w:rsidR="005476A0" w:rsidRPr="00AC4D60">
        <w:rPr>
          <w:rFonts w:cs="Arial"/>
          <w:b w:val="0"/>
        </w:rPr>
        <w:t>i</w:t>
      </w:r>
      <w:r w:rsidR="00C55AFE" w:rsidRPr="00AC4D60">
        <w:rPr>
          <w:rFonts w:cs="Arial"/>
          <w:b w:val="0"/>
        </w:rPr>
        <w:t xml:space="preserve">ncentive </w:t>
      </w:r>
      <w:r w:rsidRPr="00AC4D60">
        <w:rPr>
          <w:rFonts w:cs="Arial"/>
          <w:b w:val="0"/>
        </w:rPr>
        <w:t xml:space="preserve">of </w:t>
      </w:r>
      <w:r w:rsidR="00877CF5" w:rsidRPr="00AC4D60">
        <w:rPr>
          <w:rFonts w:cs="Arial"/>
          <w:b w:val="0"/>
        </w:rPr>
        <w:t>$</w:t>
      </w:r>
      <w:r w:rsidR="003E16A3">
        <w:rPr>
          <w:rFonts w:cs="Arial"/>
          <w:b w:val="0"/>
        </w:rPr>
        <w:t>1,074,335</w:t>
      </w:r>
      <w:r w:rsidR="00A16324" w:rsidRPr="00AC4D60">
        <w:rPr>
          <w:rFonts w:cs="Arial"/>
          <w:b w:val="0"/>
        </w:rPr>
        <w:t xml:space="preserve"> </w:t>
      </w:r>
      <w:r w:rsidRPr="00AC4D60">
        <w:rPr>
          <w:rFonts w:cs="Arial"/>
          <w:b w:val="0"/>
        </w:rPr>
        <w:t xml:space="preserve">which it </w:t>
      </w:r>
      <w:r w:rsidR="000749D2" w:rsidRPr="00AC4D60">
        <w:rPr>
          <w:rFonts w:cs="Arial"/>
          <w:b w:val="0"/>
        </w:rPr>
        <w:t>plans to</w:t>
      </w:r>
      <w:r w:rsidRPr="00AC4D60">
        <w:rPr>
          <w:rFonts w:cs="Arial"/>
          <w:b w:val="0"/>
        </w:rPr>
        <w:t xml:space="preserve"> request in </w:t>
      </w:r>
      <w:r w:rsidR="009216E8" w:rsidRPr="00AC4D60">
        <w:rPr>
          <w:rFonts w:cs="Arial"/>
          <w:b w:val="0"/>
        </w:rPr>
        <w:t>its</w:t>
      </w:r>
      <w:r w:rsidR="000749D2" w:rsidRPr="00AC4D60">
        <w:rPr>
          <w:rFonts w:cs="Arial"/>
          <w:b w:val="0"/>
        </w:rPr>
        <w:t xml:space="preserve"> </w:t>
      </w:r>
      <w:r w:rsidR="003321CF" w:rsidRPr="00AC4D60">
        <w:rPr>
          <w:rFonts w:cs="Arial"/>
          <w:b w:val="0"/>
        </w:rPr>
        <w:t>201</w:t>
      </w:r>
      <w:r w:rsidR="003321CF">
        <w:rPr>
          <w:rFonts w:cs="Arial"/>
          <w:b w:val="0"/>
        </w:rPr>
        <w:t>8</w:t>
      </w:r>
      <w:r w:rsidR="003321CF" w:rsidRPr="00AC4D60">
        <w:rPr>
          <w:rFonts w:cs="Arial"/>
          <w:b w:val="0"/>
        </w:rPr>
        <w:t xml:space="preserve"> </w:t>
      </w:r>
      <w:r w:rsidR="004924A8">
        <w:rPr>
          <w:rFonts w:cs="Arial"/>
          <w:b w:val="0"/>
        </w:rPr>
        <w:t>EECRF filing, as shown below in Table 15.</w:t>
      </w:r>
    </w:p>
    <w:p w14:paraId="0894E42B" w14:textId="77777777" w:rsidR="0018537C" w:rsidRPr="00E87341" w:rsidRDefault="0018537C" w:rsidP="00911709">
      <w:pPr>
        <w:pStyle w:val="BodyText"/>
        <w:tabs>
          <w:tab w:val="left" w:pos="900"/>
        </w:tabs>
        <w:spacing w:before="0" w:after="0" w:line="240" w:lineRule="auto"/>
        <w:rPr>
          <w:rFonts w:cs="Arial"/>
          <w:b w:val="0"/>
        </w:rPr>
      </w:pPr>
    </w:p>
    <w:p w14:paraId="53020190" w14:textId="4AE54FF7" w:rsidR="0018537C" w:rsidRDefault="004924A8" w:rsidP="00911709">
      <w:pPr>
        <w:pStyle w:val="BodyText"/>
        <w:tabs>
          <w:tab w:val="left" w:pos="900"/>
        </w:tabs>
        <w:spacing w:before="0" w:after="0" w:line="240" w:lineRule="auto"/>
        <w:rPr>
          <w:rFonts w:cs="Arial"/>
          <w:b w:val="0"/>
        </w:rPr>
      </w:pPr>
      <w:r w:rsidRPr="003E16A3">
        <w:rPr>
          <w:rFonts w:cs="Arial"/>
          <w:b w:val="0"/>
        </w:rPr>
        <w:t xml:space="preserve">Docket No. 45885 </w:t>
      </w:r>
      <w:r w:rsidR="007B7194" w:rsidRPr="003E16A3">
        <w:rPr>
          <w:rFonts w:cs="Arial"/>
          <w:b w:val="0"/>
        </w:rPr>
        <w:t xml:space="preserve">did not order the recovery of 2016 EM&amp;V costs, however EM&amp;V costs were forecasted for purposes of budget planning in Project No. 46907. </w:t>
      </w:r>
      <w:r w:rsidR="00210819" w:rsidRPr="003E16A3">
        <w:rPr>
          <w:rFonts w:cs="Arial"/>
          <w:b w:val="0"/>
        </w:rPr>
        <w:t xml:space="preserve">The </w:t>
      </w:r>
      <w:r w:rsidR="00FB5B0A" w:rsidRPr="003E16A3">
        <w:rPr>
          <w:rFonts w:cs="Arial"/>
          <w:b w:val="0"/>
        </w:rPr>
        <w:t>performance incentive</w:t>
      </w:r>
      <w:r w:rsidR="00210819" w:rsidRPr="003E16A3">
        <w:rPr>
          <w:rFonts w:cs="Arial"/>
          <w:b w:val="0"/>
        </w:rPr>
        <w:t xml:space="preserve"> calculation</w:t>
      </w:r>
      <w:r w:rsidR="000F7310" w:rsidRPr="003E16A3">
        <w:rPr>
          <w:rFonts w:cs="Arial"/>
          <w:b w:val="0"/>
        </w:rPr>
        <w:t xml:space="preserve"> below</w:t>
      </w:r>
      <w:r w:rsidR="00210819" w:rsidRPr="003E16A3">
        <w:rPr>
          <w:rFonts w:cs="Arial"/>
          <w:b w:val="0"/>
        </w:rPr>
        <w:t xml:space="preserve"> also includes </w:t>
      </w:r>
      <w:r w:rsidR="00C824EA" w:rsidRPr="003E16A3">
        <w:rPr>
          <w:rFonts w:cs="Arial"/>
          <w:b w:val="0"/>
        </w:rPr>
        <w:t xml:space="preserve">the </w:t>
      </w:r>
      <w:r w:rsidR="003321CF" w:rsidRPr="003E16A3">
        <w:rPr>
          <w:rFonts w:cs="Arial"/>
          <w:b w:val="0"/>
        </w:rPr>
        <w:t xml:space="preserve">2017 </w:t>
      </w:r>
      <w:r w:rsidR="00210819" w:rsidRPr="003E16A3">
        <w:rPr>
          <w:rFonts w:cs="Arial"/>
          <w:b w:val="0"/>
        </w:rPr>
        <w:t xml:space="preserve">EECRF proceeding costs </w:t>
      </w:r>
      <w:r w:rsidR="00994FA8" w:rsidRPr="003E16A3">
        <w:rPr>
          <w:rFonts w:cs="Arial"/>
          <w:b w:val="0"/>
        </w:rPr>
        <w:t>for municipalities</w:t>
      </w:r>
      <w:r w:rsidR="00210819" w:rsidRPr="003E16A3">
        <w:rPr>
          <w:rFonts w:cs="Arial"/>
          <w:b w:val="0"/>
        </w:rPr>
        <w:t xml:space="preserve"> </w:t>
      </w:r>
      <w:r w:rsidR="00994FA8" w:rsidRPr="003E16A3">
        <w:rPr>
          <w:rFonts w:cs="Arial"/>
          <w:b w:val="0"/>
        </w:rPr>
        <w:t xml:space="preserve">of </w:t>
      </w:r>
      <w:r w:rsidR="00210819" w:rsidRPr="003E16A3">
        <w:rPr>
          <w:rFonts w:cs="Arial"/>
          <w:b w:val="0"/>
        </w:rPr>
        <w:t>$</w:t>
      </w:r>
      <w:r w:rsidR="000A7867" w:rsidRPr="003E16A3">
        <w:rPr>
          <w:rFonts w:cs="Arial"/>
          <w:b w:val="0"/>
        </w:rPr>
        <w:t>1</w:t>
      </w:r>
      <w:r w:rsidR="009D732E" w:rsidRPr="003E16A3">
        <w:rPr>
          <w:rFonts w:cs="Arial"/>
          <w:b w:val="0"/>
        </w:rPr>
        <w:t>6,700.69</w:t>
      </w:r>
      <w:r w:rsidR="00210819" w:rsidRPr="003E16A3">
        <w:rPr>
          <w:rFonts w:cs="Arial"/>
          <w:b w:val="0"/>
        </w:rPr>
        <w:t xml:space="preserve">. </w:t>
      </w:r>
      <w:r w:rsidR="003523FA" w:rsidRPr="003E16A3">
        <w:rPr>
          <w:rFonts w:cs="Arial"/>
          <w:b w:val="0"/>
        </w:rPr>
        <w:t>As a result, the total program costs</w:t>
      </w:r>
      <w:r w:rsidR="0018537C" w:rsidRPr="003E16A3">
        <w:rPr>
          <w:rFonts w:cs="Arial"/>
          <w:b w:val="0"/>
        </w:rPr>
        <w:t xml:space="preserve"> for the </w:t>
      </w:r>
      <w:r w:rsidR="00FB5B0A" w:rsidRPr="003E16A3">
        <w:rPr>
          <w:rFonts w:cs="Arial"/>
          <w:b w:val="0"/>
        </w:rPr>
        <w:t>performance incentive</w:t>
      </w:r>
      <w:r w:rsidR="0018537C" w:rsidRPr="003E16A3">
        <w:rPr>
          <w:rFonts w:cs="Arial"/>
          <w:b w:val="0"/>
        </w:rPr>
        <w:t xml:space="preserve"> calculation will not match the actual total program </w:t>
      </w:r>
      <w:r w:rsidR="003523FA" w:rsidRPr="003E16A3">
        <w:rPr>
          <w:rFonts w:cs="Arial"/>
          <w:b w:val="0"/>
        </w:rPr>
        <w:t>cost</w:t>
      </w:r>
      <w:r w:rsidR="0018537C" w:rsidRPr="003E16A3">
        <w:rPr>
          <w:rFonts w:cs="Arial"/>
          <w:b w:val="0"/>
        </w:rPr>
        <w:t>s exhibited</w:t>
      </w:r>
      <w:r w:rsidR="007B7194" w:rsidRPr="003E16A3">
        <w:rPr>
          <w:rFonts w:cs="Arial"/>
          <w:b w:val="0"/>
        </w:rPr>
        <w:t xml:space="preserve"> in Table 15 differs from </w:t>
      </w:r>
      <w:r w:rsidR="000F7310" w:rsidRPr="003E16A3">
        <w:rPr>
          <w:rFonts w:cs="Arial"/>
          <w:b w:val="0"/>
        </w:rPr>
        <w:t>Table 10.</w:t>
      </w:r>
    </w:p>
    <w:p w14:paraId="0F02D725" w14:textId="77777777" w:rsidR="00D24697" w:rsidRPr="00685541" w:rsidRDefault="00D24697" w:rsidP="00911709">
      <w:pPr>
        <w:pStyle w:val="BodyText"/>
        <w:spacing w:before="0" w:after="0" w:line="240" w:lineRule="auto"/>
        <w:rPr>
          <w:rFonts w:cs="Arial"/>
          <w:b w:val="0"/>
          <w:sz w:val="16"/>
        </w:rPr>
      </w:pPr>
    </w:p>
    <w:p w14:paraId="7B045425" w14:textId="3D4BE4CD" w:rsidR="002822C5" w:rsidRDefault="007E4021" w:rsidP="00E728DF">
      <w:pPr>
        <w:pStyle w:val="Caption"/>
        <w:keepNext/>
        <w:keepLines/>
        <w:spacing w:before="0"/>
        <w:rPr>
          <w:rFonts w:cs="Arial"/>
        </w:rPr>
      </w:pPr>
      <w:r w:rsidRPr="000D3596">
        <w:rPr>
          <w:rFonts w:cs="Arial"/>
        </w:rPr>
        <w:t xml:space="preserve">Table </w:t>
      </w:r>
      <w:r w:rsidR="002173F2" w:rsidRPr="000D3596">
        <w:rPr>
          <w:rFonts w:cs="Arial"/>
        </w:rPr>
        <w:t>1</w:t>
      </w:r>
      <w:r w:rsidRPr="000D3596">
        <w:rPr>
          <w:rFonts w:cs="Arial"/>
        </w:rPr>
        <w:t xml:space="preserve">5: </w:t>
      </w:r>
      <w:r w:rsidR="00CE0B22">
        <w:rPr>
          <w:rFonts w:cs="Arial"/>
        </w:rPr>
        <w:t>201</w:t>
      </w:r>
      <w:r w:rsidR="002537CB">
        <w:rPr>
          <w:rFonts w:cs="Arial"/>
        </w:rPr>
        <w:t>7</w:t>
      </w:r>
      <w:r w:rsidR="002A081F" w:rsidRPr="000D3596">
        <w:rPr>
          <w:rFonts w:cs="Arial"/>
        </w:rPr>
        <w:t xml:space="preserve"> </w:t>
      </w:r>
      <w:r w:rsidR="00845CAA">
        <w:rPr>
          <w:rFonts w:cs="Arial"/>
        </w:rPr>
        <w:t>Performance Incentive</w:t>
      </w:r>
      <w:r w:rsidR="00845CAA" w:rsidRPr="000D3596">
        <w:rPr>
          <w:rFonts w:cs="Arial"/>
        </w:rPr>
        <w:t xml:space="preserve"> </w:t>
      </w:r>
      <w:r w:rsidR="00436C1B" w:rsidRPr="000D3596">
        <w:rPr>
          <w:rFonts w:cs="Arial"/>
        </w:rPr>
        <w:t>Calculation</w:t>
      </w:r>
      <w:r w:rsidR="00974695">
        <w:rPr>
          <w:rFonts w:cs="Arial"/>
        </w:rPr>
        <w:t>s</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1392"/>
        <w:gridCol w:w="1392"/>
      </w:tblGrid>
      <w:tr w:rsidR="001F1EE7" w:rsidRPr="000D3596" w14:paraId="79D7C6E6" w14:textId="77777777" w:rsidTr="006D55A2">
        <w:trPr>
          <w:trHeight w:val="264"/>
          <w:jc w:val="center"/>
        </w:trPr>
        <w:tc>
          <w:tcPr>
            <w:tcW w:w="4296" w:type="dxa"/>
            <w:shd w:val="clear" w:color="auto" w:fill="F2F2F2" w:themeFill="background1" w:themeFillShade="F2"/>
            <w:noWrap/>
            <w:vAlign w:val="bottom"/>
            <w:hideMark/>
          </w:tcPr>
          <w:p w14:paraId="701D0800" w14:textId="77777777" w:rsidR="001F1EE7" w:rsidRPr="000D3596" w:rsidRDefault="001F1EE7" w:rsidP="00911709">
            <w:pPr>
              <w:keepNext/>
              <w:keepLines/>
              <w:rPr>
                <w:rFonts w:ascii="Arial" w:hAnsi="Arial" w:cs="Arial"/>
                <w:b w:val="0"/>
                <w:sz w:val="20"/>
                <w:szCs w:val="20"/>
              </w:rPr>
            </w:pPr>
            <w:r w:rsidRPr="000D3596">
              <w:rPr>
                <w:rFonts w:ascii="Arial" w:hAnsi="Arial" w:cs="Arial"/>
                <w:b w:val="0"/>
                <w:sz w:val="20"/>
                <w:szCs w:val="20"/>
              </w:rPr>
              <w:t> </w:t>
            </w:r>
          </w:p>
        </w:tc>
        <w:tc>
          <w:tcPr>
            <w:tcW w:w="1392" w:type="dxa"/>
            <w:shd w:val="clear" w:color="auto" w:fill="F2F2F2" w:themeFill="background1" w:themeFillShade="F2"/>
            <w:noWrap/>
            <w:vAlign w:val="bottom"/>
            <w:hideMark/>
          </w:tcPr>
          <w:p w14:paraId="24C8CBE2" w14:textId="77777777" w:rsidR="001F1EE7" w:rsidRPr="000D3596" w:rsidRDefault="001F1EE7" w:rsidP="00911709">
            <w:pPr>
              <w:keepNext/>
              <w:keepLines/>
              <w:jc w:val="center"/>
              <w:rPr>
                <w:rFonts w:ascii="Arial" w:hAnsi="Arial" w:cs="Arial"/>
                <w:sz w:val="20"/>
                <w:szCs w:val="20"/>
              </w:rPr>
            </w:pPr>
            <w:r w:rsidRPr="000D3596">
              <w:rPr>
                <w:rFonts w:ascii="Arial" w:hAnsi="Arial" w:cs="Arial"/>
                <w:sz w:val="20"/>
                <w:szCs w:val="20"/>
              </w:rPr>
              <w:t>kW</w:t>
            </w:r>
          </w:p>
        </w:tc>
        <w:tc>
          <w:tcPr>
            <w:tcW w:w="1392" w:type="dxa"/>
            <w:shd w:val="clear" w:color="auto" w:fill="F2F2F2" w:themeFill="background1" w:themeFillShade="F2"/>
            <w:noWrap/>
            <w:vAlign w:val="bottom"/>
            <w:hideMark/>
          </w:tcPr>
          <w:p w14:paraId="46425586" w14:textId="77777777" w:rsidR="001F1EE7" w:rsidRPr="000D3596" w:rsidRDefault="001F1EE7" w:rsidP="00911709">
            <w:pPr>
              <w:keepNext/>
              <w:keepLines/>
              <w:jc w:val="center"/>
              <w:rPr>
                <w:rFonts w:ascii="Arial" w:hAnsi="Arial" w:cs="Arial"/>
                <w:sz w:val="20"/>
                <w:szCs w:val="20"/>
              </w:rPr>
            </w:pPr>
            <w:r w:rsidRPr="000D3596">
              <w:rPr>
                <w:rFonts w:ascii="Arial" w:hAnsi="Arial" w:cs="Arial"/>
                <w:sz w:val="20"/>
                <w:szCs w:val="20"/>
              </w:rPr>
              <w:t>kWh</w:t>
            </w:r>
          </w:p>
        </w:tc>
      </w:tr>
      <w:tr w:rsidR="001F1EE7" w:rsidRPr="000D3596" w14:paraId="0D28E7BD" w14:textId="77777777" w:rsidTr="006D55A2">
        <w:trPr>
          <w:trHeight w:val="276"/>
          <w:jc w:val="center"/>
        </w:trPr>
        <w:tc>
          <w:tcPr>
            <w:tcW w:w="4296" w:type="dxa"/>
            <w:shd w:val="clear" w:color="auto" w:fill="auto"/>
            <w:noWrap/>
            <w:vAlign w:val="center"/>
            <w:hideMark/>
          </w:tcPr>
          <w:p w14:paraId="65F661DC" w14:textId="77777777" w:rsidR="001F1EE7" w:rsidRPr="000D3596" w:rsidRDefault="001F1EE7" w:rsidP="006D55A2">
            <w:pPr>
              <w:keepNext/>
              <w:keepLines/>
              <w:rPr>
                <w:rFonts w:ascii="Arial" w:hAnsi="Arial" w:cs="Arial"/>
                <w:bCs/>
                <w:sz w:val="22"/>
                <w:szCs w:val="22"/>
              </w:rPr>
            </w:pPr>
            <w:r w:rsidRPr="000D3596">
              <w:rPr>
                <w:rFonts w:ascii="Arial" w:hAnsi="Arial" w:cs="Arial"/>
                <w:bCs/>
                <w:sz w:val="22"/>
                <w:szCs w:val="22"/>
              </w:rPr>
              <w:t>Demand and Energy Goals</w:t>
            </w:r>
          </w:p>
        </w:tc>
        <w:tc>
          <w:tcPr>
            <w:tcW w:w="1392" w:type="dxa"/>
            <w:shd w:val="clear" w:color="auto" w:fill="auto"/>
            <w:noWrap/>
            <w:vAlign w:val="bottom"/>
          </w:tcPr>
          <w:p w14:paraId="38151BF3" w14:textId="77777777" w:rsidR="001F1EE7" w:rsidRPr="000D3596" w:rsidRDefault="00E7334B" w:rsidP="00911709">
            <w:pPr>
              <w:keepNext/>
              <w:keepLines/>
              <w:jc w:val="right"/>
              <w:rPr>
                <w:rFonts w:ascii="Arial" w:hAnsi="Arial" w:cs="Arial"/>
                <w:b w:val="0"/>
                <w:sz w:val="20"/>
                <w:szCs w:val="20"/>
              </w:rPr>
            </w:pPr>
            <w:r w:rsidRPr="000D3596">
              <w:rPr>
                <w:rFonts w:ascii="Arial" w:hAnsi="Arial" w:cs="Arial"/>
                <w:b w:val="0"/>
                <w:sz w:val="20"/>
                <w:szCs w:val="20"/>
              </w:rPr>
              <w:t>11,160</w:t>
            </w:r>
            <w:r w:rsidR="001F1EE7" w:rsidRPr="000D3596">
              <w:rPr>
                <w:rFonts w:ascii="Arial" w:hAnsi="Arial" w:cs="Arial"/>
                <w:b w:val="0"/>
                <w:sz w:val="20"/>
                <w:szCs w:val="20"/>
              </w:rPr>
              <w:t xml:space="preserve"> </w:t>
            </w:r>
          </w:p>
        </w:tc>
        <w:tc>
          <w:tcPr>
            <w:tcW w:w="1392" w:type="dxa"/>
            <w:shd w:val="clear" w:color="auto" w:fill="auto"/>
            <w:noWrap/>
          </w:tcPr>
          <w:p w14:paraId="1CDE09C1" w14:textId="77777777" w:rsidR="001F1EE7" w:rsidRPr="000D3596" w:rsidRDefault="001F1EE7" w:rsidP="00911709">
            <w:pPr>
              <w:keepNext/>
              <w:keepLines/>
              <w:jc w:val="right"/>
              <w:rPr>
                <w:rFonts w:ascii="Arial" w:hAnsi="Arial" w:cs="Arial"/>
                <w:b w:val="0"/>
                <w:sz w:val="20"/>
                <w:szCs w:val="20"/>
              </w:rPr>
            </w:pPr>
            <w:r w:rsidRPr="000D3596">
              <w:rPr>
                <w:rFonts w:ascii="Arial" w:hAnsi="Arial" w:cs="Arial"/>
                <w:b w:val="0"/>
                <w:sz w:val="20"/>
                <w:szCs w:val="20"/>
              </w:rPr>
              <w:t xml:space="preserve">           </w:t>
            </w:r>
            <w:r w:rsidR="00E7334B" w:rsidRPr="000D3596">
              <w:rPr>
                <w:rFonts w:ascii="Arial" w:hAnsi="Arial" w:cs="Arial"/>
                <w:b w:val="0"/>
                <w:sz w:val="20"/>
                <w:szCs w:val="20"/>
              </w:rPr>
              <w:t>19,552,320</w:t>
            </w:r>
            <w:r w:rsidR="007734BC" w:rsidRPr="000D3596">
              <w:rPr>
                <w:rFonts w:ascii="Arial" w:hAnsi="Arial" w:cs="Arial"/>
                <w:b w:val="0"/>
                <w:sz w:val="20"/>
                <w:szCs w:val="20"/>
              </w:rPr>
              <w:t xml:space="preserve"> </w:t>
            </w:r>
          </w:p>
        </w:tc>
      </w:tr>
      <w:tr w:rsidR="001F1EE7" w:rsidRPr="005A1A5B" w14:paraId="6F75E46A" w14:textId="77777777" w:rsidTr="006D55A2">
        <w:trPr>
          <w:trHeight w:val="395"/>
          <w:jc w:val="center"/>
        </w:trPr>
        <w:tc>
          <w:tcPr>
            <w:tcW w:w="4296" w:type="dxa"/>
            <w:shd w:val="clear" w:color="auto" w:fill="auto"/>
            <w:noWrap/>
            <w:vAlign w:val="center"/>
            <w:hideMark/>
          </w:tcPr>
          <w:p w14:paraId="754F0118" w14:textId="77777777" w:rsidR="001F1EE7" w:rsidRPr="005A1A5B" w:rsidRDefault="001F1EE7" w:rsidP="006D55A2">
            <w:pPr>
              <w:keepNext/>
              <w:keepLines/>
              <w:rPr>
                <w:rFonts w:ascii="Arial" w:hAnsi="Arial" w:cs="Arial"/>
                <w:bCs/>
                <w:sz w:val="22"/>
                <w:szCs w:val="22"/>
              </w:rPr>
            </w:pPr>
            <w:r w:rsidRPr="005A1A5B">
              <w:rPr>
                <w:rFonts w:ascii="Arial" w:hAnsi="Arial" w:cs="Arial"/>
                <w:bCs/>
                <w:sz w:val="22"/>
                <w:szCs w:val="22"/>
              </w:rPr>
              <w:t>Demand and Energy Savings</w:t>
            </w:r>
          </w:p>
        </w:tc>
        <w:tc>
          <w:tcPr>
            <w:tcW w:w="1392" w:type="dxa"/>
            <w:shd w:val="clear" w:color="auto" w:fill="auto"/>
            <w:noWrap/>
            <w:vAlign w:val="bottom"/>
          </w:tcPr>
          <w:p w14:paraId="72E9E1D6" w14:textId="77777777" w:rsidR="001F1EE7" w:rsidRPr="005A1A5B" w:rsidRDefault="001F1EE7" w:rsidP="00911709">
            <w:pPr>
              <w:keepNext/>
              <w:keepLines/>
              <w:rPr>
                <w:rFonts w:ascii="Arial" w:hAnsi="Arial" w:cs="Arial"/>
                <w:b w:val="0"/>
                <w:sz w:val="20"/>
                <w:szCs w:val="20"/>
              </w:rPr>
            </w:pPr>
          </w:p>
        </w:tc>
        <w:tc>
          <w:tcPr>
            <w:tcW w:w="1392" w:type="dxa"/>
            <w:shd w:val="clear" w:color="auto" w:fill="auto"/>
            <w:noWrap/>
            <w:vAlign w:val="bottom"/>
          </w:tcPr>
          <w:p w14:paraId="1189D325" w14:textId="77777777" w:rsidR="001F1EE7" w:rsidRPr="005A1A5B" w:rsidRDefault="001F1EE7" w:rsidP="00911709">
            <w:pPr>
              <w:keepNext/>
              <w:keepLines/>
              <w:rPr>
                <w:rFonts w:ascii="Arial" w:hAnsi="Arial" w:cs="Arial"/>
                <w:b w:val="0"/>
                <w:sz w:val="20"/>
                <w:szCs w:val="20"/>
              </w:rPr>
            </w:pPr>
          </w:p>
        </w:tc>
      </w:tr>
      <w:tr w:rsidR="001F1EE7" w:rsidRPr="005A1A5B" w14:paraId="21F290F5" w14:textId="77777777" w:rsidTr="006D55A2">
        <w:trPr>
          <w:trHeight w:val="458"/>
          <w:jc w:val="center"/>
        </w:trPr>
        <w:tc>
          <w:tcPr>
            <w:tcW w:w="4296" w:type="dxa"/>
            <w:shd w:val="clear" w:color="auto" w:fill="auto"/>
            <w:vAlign w:val="center"/>
            <w:hideMark/>
          </w:tcPr>
          <w:p w14:paraId="18C8BCA2" w14:textId="77777777" w:rsidR="001F1EE7" w:rsidRPr="005A1A5B" w:rsidRDefault="006D55A2" w:rsidP="006D55A2">
            <w:pPr>
              <w:keepNext/>
              <w:keepLines/>
              <w:jc w:val="center"/>
              <w:rPr>
                <w:rFonts w:ascii="Arial" w:hAnsi="Arial" w:cs="Arial"/>
                <w:b w:val="0"/>
                <w:i/>
                <w:iCs/>
                <w:sz w:val="18"/>
                <w:szCs w:val="18"/>
              </w:rPr>
            </w:pPr>
            <w:r w:rsidRPr="005A1A5B">
              <w:rPr>
                <w:rFonts w:ascii="Arial" w:hAnsi="Arial" w:cs="Arial"/>
                <w:b w:val="0"/>
                <w:i/>
                <w:iCs/>
                <w:sz w:val="18"/>
                <w:szCs w:val="18"/>
              </w:rPr>
              <w:t xml:space="preserve">    Actual Demand and Energy Savings</w:t>
            </w:r>
            <w:r w:rsidRPr="005A1A5B">
              <w:rPr>
                <w:rFonts w:ascii="Arial" w:hAnsi="Arial" w:cs="Arial"/>
                <w:b w:val="0"/>
                <w:i/>
                <w:iCs/>
                <w:sz w:val="18"/>
                <w:szCs w:val="18"/>
              </w:rPr>
              <w:br/>
              <w:t xml:space="preserve"> (</w:t>
            </w:r>
            <w:r w:rsidR="001F1EE7" w:rsidRPr="005A1A5B">
              <w:rPr>
                <w:rFonts w:ascii="Arial" w:hAnsi="Arial" w:cs="Arial"/>
                <w:b w:val="0"/>
                <w:i/>
                <w:iCs/>
                <w:sz w:val="18"/>
                <w:szCs w:val="18"/>
              </w:rPr>
              <w:t>including</w:t>
            </w:r>
            <w:r w:rsidRPr="005A1A5B">
              <w:rPr>
                <w:rFonts w:ascii="Arial" w:hAnsi="Arial" w:cs="Arial"/>
                <w:b w:val="0"/>
                <w:i/>
                <w:iCs/>
                <w:sz w:val="18"/>
                <w:szCs w:val="18"/>
              </w:rPr>
              <w:t xml:space="preserve"> Hard-to-Reach)</w:t>
            </w:r>
          </w:p>
        </w:tc>
        <w:tc>
          <w:tcPr>
            <w:tcW w:w="1392" w:type="dxa"/>
            <w:shd w:val="clear" w:color="auto" w:fill="auto"/>
            <w:noWrap/>
            <w:vAlign w:val="bottom"/>
          </w:tcPr>
          <w:p w14:paraId="67F94BB8" w14:textId="679B4E09" w:rsidR="001F1EE7" w:rsidRPr="005A1A5B" w:rsidRDefault="004E0E5C" w:rsidP="00B82187">
            <w:pPr>
              <w:keepNext/>
              <w:keepLines/>
              <w:jc w:val="right"/>
              <w:rPr>
                <w:rFonts w:ascii="Arial" w:hAnsi="Arial" w:cs="Arial"/>
                <w:b w:val="0"/>
                <w:sz w:val="20"/>
                <w:szCs w:val="20"/>
              </w:rPr>
            </w:pPr>
            <w:r>
              <w:rPr>
                <w:rFonts w:ascii="Arial" w:hAnsi="Arial" w:cs="Arial"/>
                <w:b w:val="0"/>
                <w:sz w:val="20"/>
                <w:szCs w:val="20"/>
              </w:rPr>
              <w:t>15,119</w:t>
            </w:r>
          </w:p>
        </w:tc>
        <w:tc>
          <w:tcPr>
            <w:tcW w:w="1392" w:type="dxa"/>
            <w:shd w:val="clear" w:color="auto" w:fill="auto"/>
            <w:noWrap/>
            <w:vAlign w:val="bottom"/>
          </w:tcPr>
          <w:p w14:paraId="61DACCE0" w14:textId="3EA24539" w:rsidR="00184B51" w:rsidRPr="005A1A5B" w:rsidRDefault="004E0E5C" w:rsidP="00C9213C">
            <w:pPr>
              <w:keepNext/>
              <w:keepLines/>
              <w:jc w:val="right"/>
              <w:rPr>
                <w:rFonts w:ascii="Arial" w:hAnsi="Arial" w:cs="Arial"/>
                <w:b w:val="0"/>
                <w:sz w:val="20"/>
                <w:szCs w:val="20"/>
              </w:rPr>
            </w:pPr>
            <w:r>
              <w:rPr>
                <w:rFonts w:ascii="Arial" w:hAnsi="Arial" w:cs="Arial"/>
                <w:b w:val="0"/>
                <w:sz w:val="20"/>
                <w:szCs w:val="20"/>
              </w:rPr>
              <w:t>23,330,539</w:t>
            </w:r>
          </w:p>
        </w:tc>
      </w:tr>
      <w:tr w:rsidR="001F1EE7" w:rsidRPr="005A1A5B" w14:paraId="73CC1183" w14:textId="77777777" w:rsidTr="006D55A2">
        <w:trPr>
          <w:trHeight w:val="458"/>
          <w:jc w:val="center"/>
        </w:trPr>
        <w:tc>
          <w:tcPr>
            <w:tcW w:w="4296" w:type="dxa"/>
            <w:shd w:val="clear" w:color="auto" w:fill="auto"/>
            <w:noWrap/>
            <w:vAlign w:val="center"/>
            <w:hideMark/>
          </w:tcPr>
          <w:p w14:paraId="71AFC9D6" w14:textId="77777777" w:rsidR="001F1EE7" w:rsidRPr="005A1A5B" w:rsidRDefault="001F1EE7" w:rsidP="006D55A2">
            <w:pPr>
              <w:keepNext/>
              <w:keepLines/>
              <w:jc w:val="center"/>
              <w:rPr>
                <w:rFonts w:ascii="Arial" w:hAnsi="Arial" w:cs="Arial"/>
                <w:b w:val="0"/>
                <w:i/>
                <w:iCs/>
                <w:sz w:val="18"/>
                <w:szCs w:val="18"/>
              </w:rPr>
            </w:pPr>
            <w:r w:rsidRPr="005A1A5B">
              <w:rPr>
                <w:rFonts w:ascii="Arial" w:hAnsi="Arial" w:cs="Arial"/>
                <w:b w:val="0"/>
                <w:i/>
                <w:iCs/>
                <w:sz w:val="18"/>
                <w:szCs w:val="18"/>
              </w:rPr>
              <w:t>Reported/Verified Hard-to-Reach</w:t>
            </w:r>
          </w:p>
        </w:tc>
        <w:tc>
          <w:tcPr>
            <w:tcW w:w="1392" w:type="dxa"/>
            <w:shd w:val="clear" w:color="auto" w:fill="auto"/>
            <w:noWrap/>
            <w:vAlign w:val="bottom"/>
          </w:tcPr>
          <w:p w14:paraId="7FDF17D7" w14:textId="13FB8ED4" w:rsidR="001F1EE7" w:rsidRPr="005A1A5B" w:rsidRDefault="004E0E5C" w:rsidP="00911709">
            <w:pPr>
              <w:keepNext/>
              <w:keepLines/>
              <w:jc w:val="right"/>
              <w:rPr>
                <w:rFonts w:ascii="Arial" w:hAnsi="Arial" w:cs="Arial"/>
                <w:b w:val="0"/>
                <w:sz w:val="20"/>
                <w:szCs w:val="20"/>
              </w:rPr>
            </w:pPr>
            <w:r>
              <w:rPr>
                <w:rFonts w:ascii="Arial" w:hAnsi="Arial" w:cs="Arial"/>
                <w:b w:val="0"/>
                <w:sz w:val="20"/>
                <w:szCs w:val="20"/>
              </w:rPr>
              <w:t>731</w:t>
            </w:r>
          </w:p>
        </w:tc>
        <w:tc>
          <w:tcPr>
            <w:tcW w:w="1392" w:type="dxa"/>
            <w:shd w:val="clear" w:color="auto" w:fill="auto"/>
            <w:noWrap/>
            <w:vAlign w:val="bottom"/>
          </w:tcPr>
          <w:p w14:paraId="2CA2921C" w14:textId="77777777" w:rsidR="001F1EE7" w:rsidRPr="005A1A5B" w:rsidRDefault="001F1EE7" w:rsidP="00911709">
            <w:pPr>
              <w:keepNext/>
              <w:keepLines/>
              <w:jc w:val="center"/>
              <w:rPr>
                <w:rFonts w:ascii="Arial" w:hAnsi="Arial" w:cs="Arial"/>
                <w:b w:val="0"/>
                <w:sz w:val="20"/>
                <w:szCs w:val="20"/>
              </w:rPr>
            </w:pPr>
          </w:p>
        </w:tc>
      </w:tr>
      <w:tr w:rsidR="00A46580" w:rsidRPr="005A1A5B" w14:paraId="0CF7F550" w14:textId="77777777" w:rsidTr="006D55A2">
        <w:trPr>
          <w:trHeight w:val="276"/>
          <w:jc w:val="center"/>
        </w:trPr>
        <w:tc>
          <w:tcPr>
            <w:tcW w:w="4296" w:type="dxa"/>
            <w:shd w:val="clear" w:color="auto" w:fill="auto"/>
            <w:noWrap/>
            <w:vAlign w:val="bottom"/>
          </w:tcPr>
          <w:p w14:paraId="76C8CA85" w14:textId="77777777" w:rsidR="00A46580" w:rsidRPr="005A1A5B" w:rsidRDefault="00A46580" w:rsidP="00911709">
            <w:pPr>
              <w:rPr>
                <w:rFonts w:ascii="Arial" w:hAnsi="Arial" w:cs="Arial"/>
                <w:bCs/>
                <w:sz w:val="22"/>
                <w:szCs w:val="22"/>
              </w:rPr>
            </w:pPr>
          </w:p>
        </w:tc>
        <w:tc>
          <w:tcPr>
            <w:tcW w:w="2784" w:type="dxa"/>
            <w:gridSpan w:val="2"/>
            <w:shd w:val="clear" w:color="auto" w:fill="auto"/>
            <w:noWrap/>
            <w:vAlign w:val="bottom"/>
          </w:tcPr>
          <w:p w14:paraId="100E3AF1" w14:textId="77777777" w:rsidR="00A46580" w:rsidRPr="005A1A5B" w:rsidRDefault="00A46580" w:rsidP="00911709">
            <w:pPr>
              <w:jc w:val="center"/>
              <w:rPr>
                <w:rFonts w:ascii="Arial" w:hAnsi="Arial" w:cs="Arial"/>
                <w:b w:val="0"/>
                <w:sz w:val="20"/>
                <w:szCs w:val="20"/>
              </w:rPr>
            </w:pPr>
          </w:p>
        </w:tc>
      </w:tr>
      <w:tr w:rsidR="00A46580" w:rsidRPr="005A1A5B" w14:paraId="57E39436" w14:textId="77777777" w:rsidTr="006D55A2">
        <w:trPr>
          <w:trHeight w:val="276"/>
          <w:jc w:val="center"/>
        </w:trPr>
        <w:tc>
          <w:tcPr>
            <w:tcW w:w="4296" w:type="dxa"/>
            <w:shd w:val="clear" w:color="auto" w:fill="auto"/>
            <w:noWrap/>
            <w:vAlign w:val="bottom"/>
          </w:tcPr>
          <w:p w14:paraId="1F8AB5A9" w14:textId="77777777" w:rsidR="00A46580" w:rsidRPr="005A1A5B" w:rsidRDefault="006D55A2" w:rsidP="00911709">
            <w:pPr>
              <w:rPr>
                <w:rFonts w:ascii="Arial" w:hAnsi="Arial" w:cs="Arial"/>
                <w:bCs/>
                <w:sz w:val="22"/>
                <w:szCs w:val="22"/>
              </w:rPr>
            </w:pPr>
            <w:r w:rsidRPr="005A1A5B">
              <w:rPr>
                <w:rFonts w:ascii="Arial" w:hAnsi="Arial" w:cs="Arial"/>
                <w:bCs/>
                <w:sz w:val="22"/>
                <w:szCs w:val="22"/>
              </w:rPr>
              <w:t xml:space="preserve">PUCT-Approved </w:t>
            </w:r>
            <w:r w:rsidR="00A46580" w:rsidRPr="005A1A5B">
              <w:rPr>
                <w:rFonts w:ascii="Arial" w:hAnsi="Arial" w:cs="Arial"/>
                <w:bCs/>
                <w:sz w:val="22"/>
                <w:szCs w:val="22"/>
              </w:rPr>
              <w:t>Avoided Costs</w:t>
            </w:r>
          </w:p>
        </w:tc>
        <w:tc>
          <w:tcPr>
            <w:tcW w:w="2784" w:type="dxa"/>
            <w:gridSpan w:val="2"/>
            <w:shd w:val="clear" w:color="auto" w:fill="auto"/>
            <w:noWrap/>
            <w:vAlign w:val="bottom"/>
          </w:tcPr>
          <w:p w14:paraId="2767E5B2" w14:textId="77777777" w:rsidR="00A46580" w:rsidRPr="005A1A5B" w:rsidRDefault="00A46580" w:rsidP="00911709">
            <w:pPr>
              <w:jc w:val="center"/>
              <w:rPr>
                <w:rFonts w:ascii="Arial" w:hAnsi="Arial" w:cs="Arial"/>
                <w:b w:val="0"/>
                <w:sz w:val="20"/>
                <w:szCs w:val="20"/>
              </w:rPr>
            </w:pPr>
          </w:p>
        </w:tc>
      </w:tr>
      <w:tr w:rsidR="00A46580" w:rsidRPr="005A1A5B" w14:paraId="2EE8099E" w14:textId="77777777" w:rsidTr="006D55A2">
        <w:trPr>
          <w:trHeight w:val="276"/>
          <w:jc w:val="center"/>
        </w:trPr>
        <w:tc>
          <w:tcPr>
            <w:tcW w:w="4296" w:type="dxa"/>
            <w:shd w:val="clear" w:color="auto" w:fill="auto"/>
            <w:noWrap/>
            <w:vAlign w:val="bottom"/>
          </w:tcPr>
          <w:p w14:paraId="50B9BE72" w14:textId="77777777" w:rsidR="00A46580" w:rsidRPr="005A1A5B" w:rsidRDefault="00A46580" w:rsidP="00911709">
            <w:pPr>
              <w:jc w:val="right"/>
              <w:rPr>
                <w:rFonts w:ascii="Arial" w:hAnsi="Arial" w:cs="Arial"/>
                <w:b w:val="0"/>
                <w:bCs/>
                <w:i/>
                <w:sz w:val="22"/>
                <w:szCs w:val="22"/>
              </w:rPr>
            </w:pPr>
            <w:r w:rsidRPr="005A1A5B">
              <w:rPr>
                <w:rFonts w:ascii="Arial" w:hAnsi="Arial" w:cs="Arial"/>
                <w:b w:val="0"/>
                <w:bCs/>
                <w:i/>
                <w:sz w:val="22"/>
                <w:szCs w:val="22"/>
              </w:rPr>
              <w:t>per kW</w:t>
            </w:r>
          </w:p>
        </w:tc>
        <w:tc>
          <w:tcPr>
            <w:tcW w:w="2784" w:type="dxa"/>
            <w:gridSpan w:val="2"/>
            <w:shd w:val="clear" w:color="auto" w:fill="auto"/>
            <w:noWrap/>
            <w:vAlign w:val="bottom"/>
          </w:tcPr>
          <w:p w14:paraId="00CC0BA9" w14:textId="77777777" w:rsidR="00A46580" w:rsidRPr="005A1A5B" w:rsidRDefault="00A46580" w:rsidP="00911709">
            <w:pPr>
              <w:jc w:val="center"/>
              <w:rPr>
                <w:rFonts w:ascii="Arial" w:hAnsi="Arial" w:cs="Arial"/>
                <w:b w:val="0"/>
                <w:sz w:val="20"/>
                <w:szCs w:val="20"/>
              </w:rPr>
            </w:pPr>
            <w:r w:rsidRPr="005A1A5B">
              <w:rPr>
                <w:rFonts w:ascii="Arial" w:hAnsi="Arial" w:cs="Arial"/>
                <w:b w:val="0"/>
                <w:sz w:val="20"/>
                <w:szCs w:val="20"/>
              </w:rPr>
              <w:t>$80.00</w:t>
            </w:r>
          </w:p>
        </w:tc>
      </w:tr>
      <w:tr w:rsidR="00A46580" w:rsidRPr="005A1A5B" w14:paraId="76B9773D" w14:textId="77777777" w:rsidTr="006D55A2">
        <w:trPr>
          <w:trHeight w:val="276"/>
          <w:jc w:val="center"/>
        </w:trPr>
        <w:tc>
          <w:tcPr>
            <w:tcW w:w="4296" w:type="dxa"/>
            <w:shd w:val="clear" w:color="auto" w:fill="auto"/>
            <w:noWrap/>
            <w:vAlign w:val="bottom"/>
          </w:tcPr>
          <w:p w14:paraId="16C5C739" w14:textId="77777777" w:rsidR="00A46580" w:rsidRPr="005A1A5B" w:rsidRDefault="00A46580" w:rsidP="00911709">
            <w:pPr>
              <w:jc w:val="right"/>
              <w:rPr>
                <w:rFonts w:ascii="Arial" w:hAnsi="Arial" w:cs="Arial"/>
                <w:b w:val="0"/>
                <w:bCs/>
                <w:i/>
                <w:sz w:val="22"/>
                <w:szCs w:val="22"/>
              </w:rPr>
            </w:pPr>
            <w:r w:rsidRPr="005A1A5B">
              <w:rPr>
                <w:rFonts w:ascii="Arial" w:hAnsi="Arial" w:cs="Arial"/>
                <w:b w:val="0"/>
                <w:bCs/>
                <w:i/>
                <w:sz w:val="22"/>
                <w:szCs w:val="22"/>
              </w:rPr>
              <w:t>per kWh</w:t>
            </w:r>
          </w:p>
        </w:tc>
        <w:tc>
          <w:tcPr>
            <w:tcW w:w="2784" w:type="dxa"/>
            <w:gridSpan w:val="2"/>
            <w:shd w:val="clear" w:color="auto" w:fill="auto"/>
            <w:noWrap/>
            <w:vAlign w:val="bottom"/>
          </w:tcPr>
          <w:p w14:paraId="3C788600" w14:textId="146FD553" w:rsidR="00A46580" w:rsidRPr="005A1A5B" w:rsidRDefault="00A46580" w:rsidP="0003262B">
            <w:pPr>
              <w:jc w:val="center"/>
              <w:rPr>
                <w:rFonts w:ascii="Arial" w:hAnsi="Arial" w:cs="Arial"/>
                <w:b w:val="0"/>
                <w:sz w:val="20"/>
                <w:szCs w:val="20"/>
              </w:rPr>
            </w:pPr>
            <w:r w:rsidRPr="005A1A5B">
              <w:rPr>
                <w:rFonts w:ascii="Arial" w:hAnsi="Arial" w:cs="Arial"/>
                <w:b w:val="0"/>
                <w:sz w:val="20"/>
                <w:szCs w:val="20"/>
              </w:rPr>
              <w:t>$</w:t>
            </w:r>
            <w:r w:rsidR="00141496">
              <w:rPr>
                <w:rFonts w:ascii="Arial" w:hAnsi="Arial" w:cs="Arial"/>
                <w:b w:val="0"/>
                <w:sz w:val="20"/>
                <w:szCs w:val="20"/>
              </w:rPr>
              <w:t>0.03989</w:t>
            </w:r>
          </w:p>
        </w:tc>
      </w:tr>
      <w:tr w:rsidR="00A46580" w:rsidRPr="005A1A5B" w14:paraId="527D00AF" w14:textId="77777777" w:rsidTr="006D55A2">
        <w:trPr>
          <w:trHeight w:val="276"/>
          <w:jc w:val="center"/>
        </w:trPr>
        <w:tc>
          <w:tcPr>
            <w:tcW w:w="4296" w:type="dxa"/>
            <w:shd w:val="clear" w:color="auto" w:fill="auto"/>
            <w:noWrap/>
            <w:vAlign w:val="bottom"/>
          </w:tcPr>
          <w:p w14:paraId="44206163" w14:textId="77777777" w:rsidR="00A46580" w:rsidRPr="005A1A5B" w:rsidRDefault="00A46580" w:rsidP="00911709">
            <w:pPr>
              <w:jc w:val="right"/>
              <w:rPr>
                <w:rFonts w:ascii="Arial" w:hAnsi="Arial" w:cs="Arial"/>
                <w:b w:val="0"/>
                <w:bCs/>
                <w:i/>
                <w:sz w:val="22"/>
                <w:szCs w:val="22"/>
              </w:rPr>
            </w:pPr>
            <w:r w:rsidRPr="005A1A5B">
              <w:rPr>
                <w:rFonts w:ascii="Arial" w:hAnsi="Arial" w:cs="Arial"/>
                <w:b w:val="0"/>
                <w:bCs/>
                <w:i/>
                <w:sz w:val="22"/>
                <w:szCs w:val="22"/>
              </w:rPr>
              <w:t>Inflation Rate</w:t>
            </w:r>
          </w:p>
        </w:tc>
        <w:tc>
          <w:tcPr>
            <w:tcW w:w="2784" w:type="dxa"/>
            <w:gridSpan w:val="2"/>
            <w:shd w:val="clear" w:color="auto" w:fill="auto"/>
            <w:noWrap/>
            <w:vAlign w:val="bottom"/>
          </w:tcPr>
          <w:p w14:paraId="2944E11E" w14:textId="77777777" w:rsidR="00A46580" w:rsidRPr="005A1A5B" w:rsidRDefault="00A46580" w:rsidP="00911709">
            <w:pPr>
              <w:jc w:val="center"/>
              <w:rPr>
                <w:rFonts w:ascii="Arial" w:hAnsi="Arial" w:cs="Arial"/>
                <w:b w:val="0"/>
                <w:sz w:val="20"/>
                <w:szCs w:val="20"/>
              </w:rPr>
            </w:pPr>
            <w:r w:rsidRPr="005A1A5B">
              <w:rPr>
                <w:rFonts w:ascii="Arial" w:hAnsi="Arial" w:cs="Arial"/>
                <w:b w:val="0"/>
                <w:sz w:val="20"/>
                <w:szCs w:val="20"/>
              </w:rPr>
              <w:t>2.00%</w:t>
            </w:r>
          </w:p>
        </w:tc>
      </w:tr>
      <w:tr w:rsidR="00A46580" w:rsidRPr="005A1A5B" w14:paraId="539D4750" w14:textId="77777777" w:rsidTr="006D55A2">
        <w:trPr>
          <w:trHeight w:val="276"/>
          <w:jc w:val="center"/>
        </w:trPr>
        <w:tc>
          <w:tcPr>
            <w:tcW w:w="4296" w:type="dxa"/>
            <w:shd w:val="clear" w:color="auto" w:fill="auto"/>
            <w:noWrap/>
            <w:vAlign w:val="bottom"/>
          </w:tcPr>
          <w:p w14:paraId="209009AD" w14:textId="77777777" w:rsidR="00A46580" w:rsidRPr="005A1A5B" w:rsidRDefault="00A46580" w:rsidP="00911709">
            <w:pPr>
              <w:jc w:val="right"/>
              <w:rPr>
                <w:rFonts w:ascii="Arial" w:hAnsi="Arial" w:cs="Arial"/>
                <w:b w:val="0"/>
                <w:bCs/>
                <w:i/>
                <w:sz w:val="22"/>
                <w:szCs w:val="22"/>
              </w:rPr>
            </w:pPr>
            <w:r w:rsidRPr="005A1A5B">
              <w:rPr>
                <w:rFonts w:ascii="Arial" w:hAnsi="Arial" w:cs="Arial"/>
                <w:b w:val="0"/>
                <w:bCs/>
                <w:i/>
                <w:sz w:val="22"/>
                <w:szCs w:val="22"/>
              </w:rPr>
              <w:t>Discount Rate</w:t>
            </w:r>
          </w:p>
        </w:tc>
        <w:tc>
          <w:tcPr>
            <w:tcW w:w="2784" w:type="dxa"/>
            <w:gridSpan w:val="2"/>
            <w:shd w:val="clear" w:color="auto" w:fill="auto"/>
            <w:noWrap/>
            <w:vAlign w:val="bottom"/>
          </w:tcPr>
          <w:p w14:paraId="50CFEBFE" w14:textId="35C72351" w:rsidR="00A46580" w:rsidRPr="005A1A5B" w:rsidRDefault="00141496" w:rsidP="00911709">
            <w:pPr>
              <w:jc w:val="center"/>
              <w:rPr>
                <w:rFonts w:ascii="Arial" w:hAnsi="Arial" w:cs="Arial"/>
                <w:b w:val="0"/>
                <w:sz w:val="20"/>
                <w:szCs w:val="20"/>
              </w:rPr>
            </w:pPr>
            <w:r>
              <w:rPr>
                <w:rFonts w:ascii="Arial" w:hAnsi="Arial" w:cs="Arial"/>
                <w:b w:val="0"/>
                <w:sz w:val="20"/>
                <w:szCs w:val="20"/>
              </w:rPr>
              <w:t>6.586</w:t>
            </w:r>
            <w:r w:rsidR="00A46580" w:rsidRPr="005A1A5B">
              <w:rPr>
                <w:rFonts w:ascii="Arial" w:hAnsi="Arial" w:cs="Arial"/>
                <w:b w:val="0"/>
                <w:sz w:val="20"/>
                <w:szCs w:val="20"/>
              </w:rPr>
              <w:t>%</w:t>
            </w:r>
          </w:p>
        </w:tc>
      </w:tr>
      <w:tr w:rsidR="00A46580" w:rsidRPr="005A1A5B" w14:paraId="291DCC4D" w14:textId="77777777" w:rsidTr="006D55A2">
        <w:trPr>
          <w:trHeight w:val="276"/>
          <w:jc w:val="center"/>
        </w:trPr>
        <w:tc>
          <w:tcPr>
            <w:tcW w:w="4296" w:type="dxa"/>
            <w:shd w:val="clear" w:color="auto" w:fill="auto"/>
            <w:noWrap/>
            <w:vAlign w:val="bottom"/>
          </w:tcPr>
          <w:p w14:paraId="53C5B24F" w14:textId="77777777" w:rsidR="00A46580" w:rsidRPr="005A1A5B" w:rsidRDefault="00A46580" w:rsidP="00911709">
            <w:pPr>
              <w:jc w:val="right"/>
              <w:rPr>
                <w:rFonts w:ascii="Arial" w:hAnsi="Arial" w:cs="Arial"/>
                <w:b w:val="0"/>
                <w:bCs/>
                <w:i/>
                <w:sz w:val="22"/>
                <w:szCs w:val="22"/>
              </w:rPr>
            </w:pPr>
          </w:p>
        </w:tc>
        <w:tc>
          <w:tcPr>
            <w:tcW w:w="2784" w:type="dxa"/>
            <w:gridSpan w:val="2"/>
            <w:shd w:val="clear" w:color="auto" w:fill="auto"/>
            <w:noWrap/>
            <w:vAlign w:val="bottom"/>
          </w:tcPr>
          <w:p w14:paraId="62567044" w14:textId="77777777" w:rsidR="00A46580" w:rsidRPr="005A1A5B" w:rsidRDefault="00A46580" w:rsidP="00911709">
            <w:pPr>
              <w:jc w:val="center"/>
              <w:rPr>
                <w:rFonts w:ascii="Arial" w:hAnsi="Arial" w:cs="Arial"/>
                <w:b w:val="0"/>
                <w:sz w:val="20"/>
                <w:szCs w:val="20"/>
              </w:rPr>
            </w:pPr>
          </w:p>
        </w:tc>
      </w:tr>
      <w:tr w:rsidR="00A46580" w:rsidRPr="005A1A5B" w14:paraId="2FB5B886" w14:textId="77777777" w:rsidTr="006D55A2">
        <w:trPr>
          <w:trHeight w:val="276"/>
          <w:jc w:val="center"/>
        </w:trPr>
        <w:tc>
          <w:tcPr>
            <w:tcW w:w="4296" w:type="dxa"/>
            <w:shd w:val="clear" w:color="auto" w:fill="auto"/>
            <w:noWrap/>
            <w:vAlign w:val="bottom"/>
          </w:tcPr>
          <w:p w14:paraId="77337984" w14:textId="77777777" w:rsidR="00A46580" w:rsidRPr="005A1A5B" w:rsidRDefault="00A46580" w:rsidP="00911709">
            <w:pPr>
              <w:rPr>
                <w:rFonts w:ascii="Arial" w:hAnsi="Arial" w:cs="Arial"/>
                <w:bCs/>
                <w:sz w:val="22"/>
                <w:szCs w:val="22"/>
              </w:rPr>
            </w:pPr>
            <w:r w:rsidRPr="005A1A5B">
              <w:rPr>
                <w:rFonts w:ascii="Arial" w:hAnsi="Arial" w:cs="Arial"/>
                <w:bCs/>
                <w:sz w:val="22"/>
                <w:szCs w:val="22"/>
              </w:rPr>
              <w:t>Total Avoided Costs</w:t>
            </w:r>
          </w:p>
        </w:tc>
        <w:tc>
          <w:tcPr>
            <w:tcW w:w="2784" w:type="dxa"/>
            <w:gridSpan w:val="2"/>
            <w:shd w:val="clear" w:color="auto" w:fill="auto"/>
            <w:noWrap/>
            <w:vAlign w:val="bottom"/>
          </w:tcPr>
          <w:p w14:paraId="0CC9AB1A" w14:textId="5C914CFE" w:rsidR="00A46580" w:rsidRPr="005A1A5B" w:rsidRDefault="00877CF5" w:rsidP="00B82187">
            <w:pPr>
              <w:jc w:val="center"/>
              <w:rPr>
                <w:rFonts w:ascii="Arial" w:hAnsi="Arial" w:cs="Arial"/>
                <w:b w:val="0"/>
                <w:sz w:val="20"/>
                <w:szCs w:val="20"/>
              </w:rPr>
            </w:pPr>
            <w:r w:rsidRPr="005A1A5B">
              <w:rPr>
                <w:rFonts w:ascii="Arial" w:hAnsi="Arial" w:cs="Arial"/>
                <w:b w:val="0"/>
                <w:sz w:val="20"/>
                <w:szCs w:val="20"/>
              </w:rPr>
              <w:t>$</w:t>
            </w:r>
            <w:r w:rsidR="003E16A3">
              <w:rPr>
                <w:rFonts w:ascii="Arial" w:hAnsi="Arial" w:cs="Arial"/>
                <w:b w:val="0"/>
                <w:sz w:val="20"/>
                <w:szCs w:val="20"/>
              </w:rPr>
              <w:t>15,003,793</w:t>
            </w:r>
          </w:p>
        </w:tc>
      </w:tr>
      <w:tr w:rsidR="00A46580" w:rsidRPr="005A1A5B" w14:paraId="7E50B4D4" w14:textId="77777777" w:rsidTr="006D55A2">
        <w:trPr>
          <w:trHeight w:val="276"/>
          <w:jc w:val="center"/>
        </w:trPr>
        <w:tc>
          <w:tcPr>
            <w:tcW w:w="4296" w:type="dxa"/>
            <w:shd w:val="clear" w:color="auto" w:fill="auto"/>
            <w:noWrap/>
            <w:vAlign w:val="bottom"/>
          </w:tcPr>
          <w:p w14:paraId="6974A95F" w14:textId="77777777" w:rsidR="00A46580" w:rsidRPr="005A1A5B" w:rsidRDefault="00A46580" w:rsidP="00911709">
            <w:pPr>
              <w:rPr>
                <w:rFonts w:ascii="Arial" w:hAnsi="Arial" w:cs="Arial"/>
                <w:bCs/>
                <w:sz w:val="22"/>
                <w:szCs w:val="22"/>
              </w:rPr>
            </w:pPr>
          </w:p>
        </w:tc>
        <w:tc>
          <w:tcPr>
            <w:tcW w:w="2784" w:type="dxa"/>
            <w:gridSpan w:val="2"/>
            <w:shd w:val="clear" w:color="auto" w:fill="auto"/>
            <w:noWrap/>
            <w:vAlign w:val="bottom"/>
          </w:tcPr>
          <w:p w14:paraId="3B92804C" w14:textId="77777777" w:rsidR="00A46580" w:rsidRPr="005A1A5B" w:rsidRDefault="00A46580" w:rsidP="00911709">
            <w:pPr>
              <w:jc w:val="center"/>
              <w:rPr>
                <w:rFonts w:ascii="Arial" w:hAnsi="Arial" w:cs="Arial"/>
                <w:b w:val="0"/>
                <w:sz w:val="20"/>
                <w:szCs w:val="20"/>
              </w:rPr>
            </w:pPr>
          </w:p>
        </w:tc>
      </w:tr>
      <w:tr w:rsidR="001F1EE7" w:rsidRPr="005A1A5B" w14:paraId="6060C8E9" w14:textId="77777777" w:rsidTr="006D55A2">
        <w:trPr>
          <w:trHeight w:val="276"/>
          <w:jc w:val="center"/>
        </w:trPr>
        <w:tc>
          <w:tcPr>
            <w:tcW w:w="4296" w:type="dxa"/>
            <w:shd w:val="clear" w:color="auto" w:fill="auto"/>
            <w:noWrap/>
            <w:vAlign w:val="bottom"/>
            <w:hideMark/>
          </w:tcPr>
          <w:p w14:paraId="79362552" w14:textId="7ED7A8E8" w:rsidR="005204B8" w:rsidRPr="005A1A5B" w:rsidRDefault="00CE0B22" w:rsidP="00911709">
            <w:pPr>
              <w:rPr>
                <w:rFonts w:ascii="Arial" w:hAnsi="Arial" w:cs="Arial"/>
                <w:bCs/>
                <w:sz w:val="22"/>
                <w:szCs w:val="22"/>
              </w:rPr>
            </w:pPr>
            <w:r w:rsidRPr="005A1A5B">
              <w:rPr>
                <w:rFonts w:ascii="Arial" w:hAnsi="Arial" w:cs="Arial"/>
                <w:bCs/>
                <w:sz w:val="22"/>
                <w:szCs w:val="22"/>
              </w:rPr>
              <w:t>201</w:t>
            </w:r>
            <w:r w:rsidR="00753BA1">
              <w:rPr>
                <w:rFonts w:ascii="Arial" w:hAnsi="Arial" w:cs="Arial"/>
                <w:bCs/>
                <w:sz w:val="22"/>
                <w:szCs w:val="22"/>
              </w:rPr>
              <w:t>7</w:t>
            </w:r>
            <w:r w:rsidR="00AE360D" w:rsidRPr="005A1A5B">
              <w:rPr>
                <w:rFonts w:ascii="Arial" w:hAnsi="Arial" w:cs="Arial"/>
                <w:bCs/>
                <w:sz w:val="22"/>
                <w:szCs w:val="22"/>
              </w:rPr>
              <w:t xml:space="preserve"> </w:t>
            </w:r>
            <w:r w:rsidR="001F1EE7" w:rsidRPr="005A1A5B">
              <w:rPr>
                <w:rFonts w:ascii="Arial" w:hAnsi="Arial" w:cs="Arial"/>
                <w:bCs/>
                <w:sz w:val="22"/>
                <w:szCs w:val="22"/>
              </w:rPr>
              <w:t>Program Costs</w:t>
            </w:r>
            <w:r w:rsidR="005204B8" w:rsidRPr="005A1A5B">
              <w:rPr>
                <w:rFonts w:ascii="Arial" w:hAnsi="Arial" w:cs="Arial"/>
                <w:bCs/>
                <w:sz w:val="22"/>
                <w:szCs w:val="22"/>
              </w:rPr>
              <w:t xml:space="preserve"> </w:t>
            </w:r>
          </w:p>
          <w:p w14:paraId="2D42A1D1" w14:textId="0D49893C" w:rsidR="001F1EE7" w:rsidRPr="005A1A5B" w:rsidRDefault="005204B8" w:rsidP="00911709">
            <w:pPr>
              <w:rPr>
                <w:rFonts w:ascii="Arial" w:hAnsi="Arial" w:cs="Arial"/>
                <w:bCs/>
                <w:sz w:val="22"/>
                <w:szCs w:val="22"/>
              </w:rPr>
            </w:pPr>
            <w:r w:rsidRPr="005A1A5B">
              <w:rPr>
                <w:rFonts w:ascii="Arial" w:hAnsi="Arial" w:cs="Arial"/>
                <w:bCs/>
                <w:sz w:val="18"/>
                <w:szCs w:val="18"/>
              </w:rPr>
              <w:t>(includ</w:t>
            </w:r>
            <w:r w:rsidR="00253572" w:rsidRPr="005A1A5B">
              <w:rPr>
                <w:rFonts w:ascii="Arial" w:hAnsi="Arial" w:cs="Arial"/>
                <w:bCs/>
                <w:sz w:val="18"/>
                <w:szCs w:val="18"/>
              </w:rPr>
              <w:t>es</w:t>
            </w:r>
            <w:r w:rsidRPr="005A1A5B">
              <w:rPr>
                <w:rFonts w:ascii="Arial" w:hAnsi="Arial" w:cs="Arial"/>
                <w:bCs/>
                <w:sz w:val="18"/>
                <w:szCs w:val="18"/>
              </w:rPr>
              <w:t xml:space="preserve"> al</w:t>
            </w:r>
            <w:r w:rsidR="00E41108" w:rsidRPr="005A1A5B">
              <w:rPr>
                <w:rFonts w:ascii="Arial" w:hAnsi="Arial" w:cs="Arial"/>
                <w:bCs/>
                <w:sz w:val="18"/>
                <w:szCs w:val="18"/>
              </w:rPr>
              <w:t>located</w:t>
            </w:r>
            <w:r w:rsidRPr="005A1A5B">
              <w:rPr>
                <w:rFonts w:ascii="Arial" w:hAnsi="Arial" w:cs="Arial"/>
                <w:bCs/>
                <w:sz w:val="18"/>
                <w:szCs w:val="18"/>
              </w:rPr>
              <w:t xml:space="preserve"> EM&amp;V</w:t>
            </w:r>
            <w:r w:rsidR="00210819" w:rsidRPr="005A1A5B">
              <w:rPr>
                <w:rFonts w:ascii="Arial" w:hAnsi="Arial" w:cs="Arial"/>
                <w:bCs/>
                <w:sz w:val="18"/>
                <w:szCs w:val="18"/>
              </w:rPr>
              <w:t xml:space="preserve"> and </w:t>
            </w:r>
            <w:r w:rsidR="00BC4338" w:rsidRPr="005A1A5B">
              <w:rPr>
                <w:rFonts w:ascii="Arial" w:hAnsi="Arial" w:cs="Arial"/>
                <w:bCs/>
                <w:sz w:val="18"/>
                <w:szCs w:val="18"/>
              </w:rPr>
              <w:t>municipal</w:t>
            </w:r>
            <w:r w:rsidR="00E75EF4">
              <w:rPr>
                <w:rFonts w:ascii="Arial" w:hAnsi="Arial" w:cs="Arial"/>
                <w:bCs/>
                <w:sz w:val="18"/>
                <w:szCs w:val="18"/>
              </w:rPr>
              <w:t>ities’</w:t>
            </w:r>
            <w:r w:rsidR="00BC4338" w:rsidRPr="005A1A5B">
              <w:rPr>
                <w:rFonts w:ascii="Arial" w:hAnsi="Arial" w:cs="Arial"/>
                <w:bCs/>
                <w:sz w:val="18"/>
                <w:szCs w:val="18"/>
              </w:rPr>
              <w:t xml:space="preserve"> </w:t>
            </w:r>
            <w:r w:rsidR="00210819" w:rsidRPr="005A1A5B">
              <w:rPr>
                <w:rFonts w:ascii="Arial" w:hAnsi="Arial" w:cs="Arial"/>
                <w:bCs/>
                <w:sz w:val="18"/>
                <w:szCs w:val="18"/>
              </w:rPr>
              <w:t>EECRF proceeding</w:t>
            </w:r>
            <w:r w:rsidRPr="005A1A5B">
              <w:rPr>
                <w:rFonts w:ascii="Arial" w:hAnsi="Arial" w:cs="Arial"/>
                <w:bCs/>
                <w:sz w:val="18"/>
                <w:szCs w:val="18"/>
              </w:rPr>
              <w:t xml:space="preserve"> </w:t>
            </w:r>
            <w:r w:rsidR="009D2662" w:rsidRPr="005A1A5B">
              <w:rPr>
                <w:rFonts w:ascii="Arial" w:hAnsi="Arial" w:cs="Arial"/>
                <w:bCs/>
                <w:sz w:val="18"/>
                <w:szCs w:val="18"/>
              </w:rPr>
              <w:t>costs</w:t>
            </w:r>
            <w:r w:rsidRPr="005A1A5B">
              <w:rPr>
                <w:rFonts w:ascii="Arial" w:hAnsi="Arial" w:cs="Arial"/>
                <w:bCs/>
                <w:sz w:val="18"/>
                <w:szCs w:val="18"/>
              </w:rPr>
              <w:t>)</w:t>
            </w:r>
          </w:p>
        </w:tc>
        <w:tc>
          <w:tcPr>
            <w:tcW w:w="2784" w:type="dxa"/>
            <w:gridSpan w:val="2"/>
            <w:shd w:val="clear" w:color="auto" w:fill="auto"/>
            <w:noWrap/>
            <w:vAlign w:val="bottom"/>
          </w:tcPr>
          <w:p w14:paraId="70469F79" w14:textId="35B2F339" w:rsidR="001F1EE7" w:rsidRPr="005A1A5B" w:rsidRDefault="003E16A3" w:rsidP="00184B51">
            <w:pPr>
              <w:jc w:val="center"/>
              <w:rPr>
                <w:rFonts w:ascii="Arial" w:hAnsi="Arial" w:cs="Arial"/>
                <w:b w:val="0"/>
                <w:sz w:val="20"/>
                <w:szCs w:val="20"/>
              </w:rPr>
            </w:pPr>
            <w:r>
              <w:rPr>
                <w:rFonts w:ascii="Arial" w:hAnsi="Arial" w:cs="Arial"/>
                <w:b w:val="0"/>
                <w:sz w:val="20"/>
                <w:szCs w:val="20"/>
              </w:rPr>
              <w:t>$4,260,448</w:t>
            </w:r>
          </w:p>
        </w:tc>
      </w:tr>
      <w:tr w:rsidR="00A46580" w:rsidRPr="005A1A5B" w14:paraId="390F74E4" w14:textId="77777777" w:rsidTr="006D55A2">
        <w:trPr>
          <w:trHeight w:val="276"/>
          <w:jc w:val="center"/>
        </w:trPr>
        <w:tc>
          <w:tcPr>
            <w:tcW w:w="4296" w:type="dxa"/>
            <w:shd w:val="clear" w:color="auto" w:fill="auto"/>
            <w:noWrap/>
            <w:vAlign w:val="bottom"/>
          </w:tcPr>
          <w:p w14:paraId="7C087878" w14:textId="77777777" w:rsidR="00A46580" w:rsidRPr="005A1A5B" w:rsidRDefault="00A46580" w:rsidP="00911709">
            <w:pPr>
              <w:rPr>
                <w:rFonts w:ascii="Arial" w:hAnsi="Arial" w:cs="Arial"/>
                <w:bCs/>
                <w:sz w:val="22"/>
                <w:szCs w:val="22"/>
              </w:rPr>
            </w:pPr>
          </w:p>
        </w:tc>
        <w:tc>
          <w:tcPr>
            <w:tcW w:w="2784" w:type="dxa"/>
            <w:gridSpan w:val="2"/>
            <w:shd w:val="clear" w:color="auto" w:fill="auto"/>
            <w:noWrap/>
            <w:vAlign w:val="bottom"/>
          </w:tcPr>
          <w:p w14:paraId="6C028E06" w14:textId="77777777" w:rsidR="00A46580" w:rsidRPr="005A1A5B" w:rsidRDefault="00A46580" w:rsidP="00911709">
            <w:pPr>
              <w:jc w:val="center"/>
              <w:rPr>
                <w:rFonts w:ascii="Arial" w:hAnsi="Arial" w:cs="Arial"/>
                <w:b w:val="0"/>
                <w:sz w:val="20"/>
                <w:szCs w:val="20"/>
              </w:rPr>
            </w:pPr>
          </w:p>
        </w:tc>
      </w:tr>
      <w:tr w:rsidR="005262A9" w:rsidRPr="005A1A5B" w14:paraId="4DE44F21" w14:textId="77777777" w:rsidTr="006D55A2">
        <w:trPr>
          <w:trHeight w:val="276"/>
          <w:jc w:val="center"/>
        </w:trPr>
        <w:tc>
          <w:tcPr>
            <w:tcW w:w="4296" w:type="dxa"/>
            <w:shd w:val="clear" w:color="auto" w:fill="auto"/>
            <w:noWrap/>
            <w:vAlign w:val="bottom"/>
          </w:tcPr>
          <w:p w14:paraId="21041A48" w14:textId="77777777" w:rsidR="005262A9" w:rsidRPr="005A1A5B" w:rsidRDefault="005262A9" w:rsidP="00911709">
            <w:pPr>
              <w:rPr>
                <w:rFonts w:ascii="Arial" w:hAnsi="Arial" w:cs="Arial"/>
                <w:bCs/>
                <w:sz w:val="22"/>
                <w:szCs w:val="22"/>
              </w:rPr>
            </w:pPr>
            <w:r w:rsidRPr="005A1A5B">
              <w:rPr>
                <w:rFonts w:ascii="Arial" w:hAnsi="Arial" w:cs="Arial"/>
                <w:bCs/>
                <w:sz w:val="22"/>
                <w:szCs w:val="22"/>
              </w:rPr>
              <w:t>Net Benefits</w:t>
            </w:r>
          </w:p>
        </w:tc>
        <w:tc>
          <w:tcPr>
            <w:tcW w:w="2784" w:type="dxa"/>
            <w:gridSpan w:val="2"/>
            <w:shd w:val="clear" w:color="auto" w:fill="auto"/>
            <w:noWrap/>
            <w:vAlign w:val="bottom"/>
          </w:tcPr>
          <w:p w14:paraId="357112A0" w14:textId="2E6E1C29" w:rsidR="005262A9" w:rsidRPr="005A1A5B" w:rsidRDefault="00877CF5" w:rsidP="00B82187">
            <w:pPr>
              <w:jc w:val="center"/>
              <w:rPr>
                <w:rFonts w:ascii="Arial" w:hAnsi="Arial" w:cs="Arial"/>
                <w:b w:val="0"/>
                <w:sz w:val="20"/>
                <w:szCs w:val="20"/>
              </w:rPr>
            </w:pPr>
            <w:r w:rsidRPr="005A1A5B">
              <w:rPr>
                <w:rFonts w:ascii="Arial" w:hAnsi="Arial" w:cs="Arial"/>
                <w:b w:val="0"/>
                <w:sz w:val="20"/>
                <w:szCs w:val="20"/>
              </w:rPr>
              <w:t>$</w:t>
            </w:r>
            <w:r w:rsidR="003E16A3">
              <w:rPr>
                <w:rFonts w:ascii="Arial" w:hAnsi="Arial" w:cs="Arial"/>
                <w:b w:val="0"/>
                <w:sz w:val="20"/>
                <w:szCs w:val="20"/>
              </w:rPr>
              <w:t>10,743,346</w:t>
            </w:r>
          </w:p>
        </w:tc>
      </w:tr>
      <w:tr w:rsidR="005262A9" w:rsidRPr="005A1A5B" w14:paraId="3E9B0147" w14:textId="77777777" w:rsidTr="006D55A2">
        <w:trPr>
          <w:trHeight w:val="276"/>
          <w:jc w:val="center"/>
        </w:trPr>
        <w:tc>
          <w:tcPr>
            <w:tcW w:w="4296" w:type="dxa"/>
            <w:shd w:val="clear" w:color="auto" w:fill="auto"/>
            <w:noWrap/>
            <w:vAlign w:val="bottom"/>
          </w:tcPr>
          <w:p w14:paraId="4ABC7802" w14:textId="77777777" w:rsidR="005262A9" w:rsidRPr="005A1A5B" w:rsidRDefault="005262A9" w:rsidP="00911709">
            <w:pPr>
              <w:rPr>
                <w:rFonts w:ascii="Arial" w:hAnsi="Arial" w:cs="Arial"/>
                <w:bCs/>
                <w:sz w:val="22"/>
                <w:szCs w:val="22"/>
              </w:rPr>
            </w:pPr>
          </w:p>
        </w:tc>
        <w:tc>
          <w:tcPr>
            <w:tcW w:w="2784" w:type="dxa"/>
            <w:gridSpan w:val="2"/>
            <w:shd w:val="clear" w:color="auto" w:fill="auto"/>
            <w:noWrap/>
            <w:vAlign w:val="bottom"/>
          </w:tcPr>
          <w:p w14:paraId="3B54C875" w14:textId="77777777" w:rsidR="005262A9" w:rsidRPr="005A1A5B" w:rsidRDefault="005262A9" w:rsidP="00911709">
            <w:pPr>
              <w:jc w:val="center"/>
              <w:rPr>
                <w:rFonts w:ascii="Arial" w:hAnsi="Arial" w:cs="Arial"/>
                <w:b w:val="0"/>
                <w:sz w:val="20"/>
                <w:szCs w:val="20"/>
              </w:rPr>
            </w:pPr>
          </w:p>
        </w:tc>
      </w:tr>
      <w:tr w:rsidR="001F1EE7" w:rsidRPr="000D3596" w14:paraId="46BF46C9" w14:textId="77777777" w:rsidTr="006D55A2">
        <w:trPr>
          <w:trHeight w:val="341"/>
          <w:jc w:val="center"/>
        </w:trPr>
        <w:tc>
          <w:tcPr>
            <w:tcW w:w="4296" w:type="dxa"/>
            <w:shd w:val="clear" w:color="auto" w:fill="auto"/>
            <w:noWrap/>
            <w:vAlign w:val="center"/>
            <w:hideMark/>
          </w:tcPr>
          <w:p w14:paraId="5B8CD34A" w14:textId="77777777" w:rsidR="001F1EE7" w:rsidRPr="005A1A5B" w:rsidRDefault="001F1EE7" w:rsidP="006D55A2">
            <w:pPr>
              <w:rPr>
                <w:rFonts w:ascii="Arial" w:hAnsi="Arial" w:cs="Arial"/>
                <w:bCs/>
                <w:sz w:val="22"/>
                <w:szCs w:val="22"/>
              </w:rPr>
            </w:pPr>
            <w:r w:rsidRPr="005A1A5B">
              <w:rPr>
                <w:rFonts w:ascii="Arial" w:hAnsi="Arial" w:cs="Arial"/>
                <w:bCs/>
                <w:sz w:val="22"/>
                <w:szCs w:val="22"/>
              </w:rPr>
              <w:t xml:space="preserve">Performance </w:t>
            </w:r>
            <w:r w:rsidR="00845CAA" w:rsidRPr="005A1A5B">
              <w:rPr>
                <w:rFonts w:ascii="Arial" w:hAnsi="Arial" w:cs="Arial"/>
                <w:bCs/>
                <w:sz w:val="22"/>
                <w:szCs w:val="22"/>
              </w:rPr>
              <w:t>Incentive</w:t>
            </w:r>
          </w:p>
        </w:tc>
        <w:tc>
          <w:tcPr>
            <w:tcW w:w="2784" w:type="dxa"/>
            <w:gridSpan w:val="2"/>
            <w:shd w:val="clear" w:color="auto" w:fill="auto"/>
            <w:noWrap/>
            <w:vAlign w:val="bottom"/>
          </w:tcPr>
          <w:p w14:paraId="44929733" w14:textId="5EA25D40" w:rsidR="001F1EE7" w:rsidRPr="00E87341" w:rsidRDefault="00877CF5" w:rsidP="00B82187">
            <w:pPr>
              <w:jc w:val="center"/>
              <w:rPr>
                <w:rFonts w:ascii="Arial" w:hAnsi="Arial" w:cs="Arial"/>
                <w:b w:val="0"/>
                <w:sz w:val="20"/>
                <w:szCs w:val="20"/>
              </w:rPr>
            </w:pPr>
            <w:r w:rsidRPr="005A1A5B">
              <w:rPr>
                <w:rFonts w:ascii="Arial" w:hAnsi="Arial" w:cs="Arial"/>
                <w:b w:val="0"/>
                <w:sz w:val="20"/>
                <w:szCs w:val="20"/>
              </w:rPr>
              <w:t>$</w:t>
            </w:r>
            <w:r w:rsidR="003E16A3">
              <w:rPr>
                <w:rFonts w:ascii="Arial" w:hAnsi="Arial" w:cs="Arial"/>
                <w:b w:val="0"/>
                <w:sz w:val="20"/>
                <w:szCs w:val="20"/>
              </w:rPr>
              <w:t>1,074,335</w:t>
            </w:r>
          </w:p>
        </w:tc>
      </w:tr>
    </w:tbl>
    <w:p w14:paraId="330B5CE5" w14:textId="67923A65" w:rsidR="00D26BC4" w:rsidRPr="00E968CD" w:rsidRDefault="00D26BC4" w:rsidP="00911709">
      <w:pPr>
        <w:rPr>
          <w:rFonts w:ascii="Arial" w:hAnsi="Arial" w:cs="Arial"/>
          <w:b w:val="0"/>
        </w:rPr>
        <w:sectPr w:rsidR="00D26BC4" w:rsidRPr="00E968CD" w:rsidSect="00332BF6">
          <w:footerReference w:type="default" r:id="rId35"/>
          <w:footerReference w:type="first" r:id="rId36"/>
          <w:pgSz w:w="12240" w:h="15840" w:code="1"/>
          <w:pgMar w:top="576" w:right="1008" w:bottom="720" w:left="1152" w:header="720" w:footer="720" w:gutter="0"/>
          <w:cols w:space="720"/>
          <w:titlePg/>
        </w:sectPr>
      </w:pPr>
    </w:p>
    <w:p w14:paraId="55F788CB" w14:textId="77777777" w:rsidR="008A1788" w:rsidRPr="000D3596" w:rsidRDefault="008A1788" w:rsidP="00911709">
      <w:pPr>
        <w:pStyle w:val="Heading5"/>
        <w:keepNext w:val="0"/>
        <w:spacing w:before="0" w:after="0"/>
        <w:jc w:val="center"/>
        <w:rPr>
          <w:rFonts w:cs="Arial"/>
          <w:spacing w:val="0"/>
        </w:rPr>
      </w:pPr>
      <w:bookmarkStart w:id="55" w:name="_Toc509500773"/>
      <w:r w:rsidRPr="000D3596">
        <w:rPr>
          <w:rFonts w:cs="Arial"/>
          <w:spacing w:val="0"/>
        </w:rPr>
        <w:lastRenderedPageBreak/>
        <w:t>Acronyms</w:t>
      </w:r>
      <w:bookmarkEnd w:id="54"/>
      <w:bookmarkEnd w:id="55"/>
    </w:p>
    <w:p w14:paraId="1447B827" w14:textId="77777777" w:rsidR="00D24697" w:rsidRPr="000D3596" w:rsidRDefault="00D24697" w:rsidP="00911709">
      <w:pPr>
        <w:rPr>
          <w:rFonts w:ascii="Arial" w:hAnsi="Arial" w:cs="Arial"/>
        </w:rPr>
      </w:pPr>
    </w:p>
    <w:p w14:paraId="1E7072EE" w14:textId="77777777" w:rsidR="00C30FC1" w:rsidRPr="000D3596" w:rsidRDefault="00053F09"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C&amp;I</w:t>
      </w:r>
      <w:r w:rsidRPr="000D3596">
        <w:rPr>
          <w:rFonts w:ascii="Arial" w:hAnsi="Arial" w:cs="Arial"/>
          <w:b w:val="0"/>
        </w:rPr>
        <w:tab/>
        <w:t>Commercial and Industrial</w:t>
      </w:r>
    </w:p>
    <w:p w14:paraId="26DAFC1F" w14:textId="77777777" w:rsidR="00C30FC1" w:rsidRDefault="004375DC"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DR</w:t>
      </w:r>
      <w:r w:rsidRPr="000D3596">
        <w:rPr>
          <w:rFonts w:ascii="Arial" w:hAnsi="Arial" w:cs="Arial"/>
          <w:b w:val="0"/>
        </w:rPr>
        <w:tab/>
        <w:t>Demand Response</w:t>
      </w:r>
    </w:p>
    <w:p w14:paraId="35855A76" w14:textId="57EC3BFB" w:rsidR="003643BF" w:rsidRPr="000D3596" w:rsidRDefault="003643BF"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DRPP</w:t>
      </w:r>
      <w:r>
        <w:rPr>
          <w:rFonts w:ascii="Arial" w:hAnsi="Arial" w:cs="Arial"/>
          <w:b w:val="0"/>
        </w:rPr>
        <w:tab/>
        <w:t>Residential and Small Commercial Demand Response Pilot Program</w:t>
      </w:r>
    </w:p>
    <w:p w14:paraId="3A06FF30" w14:textId="77777777" w:rsidR="00C30FC1" w:rsidRDefault="004375DC"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DSM</w:t>
      </w:r>
      <w:r w:rsidR="006628FC" w:rsidRPr="000D3596">
        <w:rPr>
          <w:rFonts w:ascii="Arial" w:hAnsi="Arial" w:cs="Arial"/>
          <w:b w:val="0"/>
        </w:rPr>
        <w:tab/>
      </w:r>
      <w:r w:rsidRPr="000D3596">
        <w:rPr>
          <w:rFonts w:ascii="Arial" w:hAnsi="Arial" w:cs="Arial"/>
          <w:b w:val="0"/>
        </w:rPr>
        <w:t>Demand Side Management</w:t>
      </w:r>
    </w:p>
    <w:p w14:paraId="1EB1E596" w14:textId="29C15FA5" w:rsidR="003B3D23" w:rsidRPr="000D3596" w:rsidRDefault="003B3D23"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EECRF</w:t>
      </w:r>
      <w:r>
        <w:rPr>
          <w:rFonts w:ascii="Arial" w:hAnsi="Arial" w:cs="Arial"/>
          <w:b w:val="0"/>
        </w:rPr>
        <w:tab/>
        <w:t>Energy Efficiency Cost Recovery Factor</w:t>
      </w:r>
    </w:p>
    <w:p w14:paraId="3978AAAE" w14:textId="77777777" w:rsidR="00C30FC1" w:rsidRDefault="008A1788"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EEPR</w:t>
      </w:r>
      <w:r w:rsidRPr="000D3596">
        <w:rPr>
          <w:rFonts w:ascii="Arial" w:hAnsi="Arial" w:cs="Arial"/>
          <w:b w:val="0"/>
        </w:rPr>
        <w:tab/>
        <w:t>Energy Efficiency Plan and Report</w:t>
      </w:r>
    </w:p>
    <w:p w14:paraId="6538B1AC" w14:textId="77777777" w:rsidR="00395A1E" w:rsidRDefault="009A3B06"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EE Rule</w:t>
      </w:r>
      <w:r w:rsidRPr="000D3596">
        <w:rPr>
          <w:rFonts w:ascii="Arial" w:hAnsi="Arial" w:cs="Arial"/>
          <w:b w:val="0"/>
        </w:rPr>
        <w:tab/>
        <w:t xml:space="preserve">Energy Efficiency Rule, </w:t>
      </w:r>
      <w:r w:rsidR="003D3616">
        <w:rPr>
          <w:rFonts w:ascii="Arial" w:hAnsi="Arial" w:cs="Arial"/>
          <w:b w:val="0"/>
        </w:rPr>
        <w:t>16 TAC</w:t>
      </w:r>
      <w:r w:rsidRPr="000D3596">
        <w:rPr>
          <w:rFonts w:ascii="Arial" w:hAnsi="Arial" w:cs="Arial"/>
          <w:b w:val="0"/>
        </w:rPr>
        <w:t xml:space="preserve"> §25.181 and §25.183</w:t>
      </w:r>
    </w:p>
    <w:p w14:paraId="4B04F2DE" w14:textId="77777777" w:rsidR="005327F7" w:rsidRPr="000D3596" w:rsidRDefault="005327F7"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EESP</w:t>
      </w:r>
      <w:r>
        <w:rPr>
          <w:rFonts w:ascii="Arial" w:hAnsi="Arial" w:cs="Arial"/>
          <w:b w:val="0"/>
        </w:rPr>
        <w:tab/>
        <w:t>Energy Efficiency Service Provider</w:t>
      </w:r>
    </w:p>
    <w:p w14:paraId="17E61142" w14:textId="77777777" w:rsidR="00C30FC1" w:rsidRPr="000D3596" w:rsidRDefault="00D53580"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EPE</w:t>
      </w:r>
      <w:r w:rsidRPr="000D3596">
        <w:rPr>
          <w:rFonts w:ascii="Arial" w:hAnsi="Arial" w:cs="Arial"/>
          <w:b w:val="0"/>
        </w:rPr>
        <w:tab/>
        <w:t>El Paso Electric Company</w:t>
      </w:r>
    </w:p>
    <w:p w14:paraId="1A26E53B" w14:textId="77777777" w:rsidR="005327F7" w:rsidRPr="000D3596" w:rsidRDefault="005327F7"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EM&amp;V</w:t>
      </w:r>
      <w:r>
        <w:rPr>
          <w:rFonts w:ascii="Arial" w:hAnsi="Arial" w:cs="Arial"/>
          <w:b w:val="0"/>
        </w:rPr>
        <w:tab/>
        <w:t>Evaluation, Measurement &amp; Verification</w:t>
      </w:r>
    </w:p>
    <w:p w14:paraId="6134B5EA" w14:textId="77777777" w:rsidR="00C30FC1" w:rsidRPr="000D3596" w:rsidRDefault="008A1788"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HTR</w:t>
      </w:r>
      <w:r w:rsidRPr="000D3596">
        <w:rPr>
          <w:rFonts w:ascii="Arial" w:hAnsi="Arial" w:cs="Arial"/>
          <w:b w:val="0"/>
        </w:rPr>
        <w:tab/>
        <w:t>Hard-To-Reach</w:t>
      </w:r>
    </w:p>
    <w:p w14:paraId="3E33B5AA" w14:textId="77777777" w:rsidR="00C30FC1" w:rsidRPr="000D3596" w:rsidRDefault="00D90D91"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M&amp;V</w:t>
      </w:r>
      <w:r w:rsidRPr="000D3596">
        <w:rPr>
          <w:rFonts w:ascii="Arial" w:hAnsi="Arial" w:cs="Arial"/>
          <w:b w:val="0"/>
        </w:rPr>
        <w:tab/>
        <w:t>Measurement and Verification</w:t>
      </w:r>
    </w:p>
    <w:p w14:paraId="60CD048F" w14:textId="77777777" w:rsidR="00C30FC1" w:rsidRPr="000D3596" w:rsidRDefault="009A3B06"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MTP</w:t>
      </w:r>
      <w:r w:rsidRPr="000D3596">
        <w:rPr>
          <w:rFonts w:ascii="Arial" w:hAnsi="Arial" w:cs="Arial"/>
          <w:b w:val="0"/>
        </w:rPr>
        <w:tab/>
        <w:t>Market Transformation Program</w:t>
      </w:r>
    </w:p>
    <w:p w14:paraId="3434DEEE" w14:textId="77777777" w:rsidR="00C30FC1" w:rsidRDefault="009A3B06"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PUCT</w:t>
      </w:r>
      <w:r w:rsidRPr="000D3596">
        <w:rPr>
          <w:rFonts w:ascii="Arial" w:hAnsi="Arial" w:cs="Arial"/>
          <w:b w:val="0"/>
        </w:rPr>
        <w:tab/>
        <w:t>Public Utility Commission of Texas</w:t>
      </w:r>
    </w:p>
    <w:p w14:paraId="6B592966" w14:textId="77777777" w:rsidR="005327F7" w:rsidRDefault="005327F7"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PURA</w:t>
      </w:r>
      <w:r>
        <w:rPr>
          <w:rFonts w:ascii="Arial" w:hAnsi="Arial" w:cs="Arial"/>
          <w:b w:val="0"/>
        </w:rPr>
        <w:tab/>
        <w:t>Public Utility Regulatory Act</w:t>
      </w:r>
    </w:p>
    <w:p w14:paraId="56961F32" w14:textId="77777777" w:rsidR="005327F7" w:rsidRDefault="005327F7"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PV</w:t>
      </w:r>
      <w:r>
        <w:rPr>
          <w:rFonts w:ascii="Arial" w:hAnsi="Arial" w:cs="Arial"/>
          <w:b w:val="0"/>
        </w:rPr>
        <w:tab/>
        <w:t>Photovoltaic</w:t>
      </w:r>
    </w:p>
    <w:p w14:paraId="5837A5CB" w14:textId="77777777" w:rsidR="005327F7" w:rsidRPr="000D3596" w:rsidRDefault="005327F7"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R&amp;D</w:t>
      </w:r>
      <w:r>
        <w:rPr>
          <w:rFonts w:ascii="Arial" w:hAnsi="Arial" w:cs="Arial"/>
          <w:b w:val="0"/>
        </w:rPr>
        <w:tab/>
        <w:t>Research and Development</w:t>
      </w:r>
    </w:p>
    <w:p w14:paraId="59478DEA" w14:textId="77777777" w:rsidR="00C30FC1" w:rsidRPr="000D3596" w:rsidRDefault="00053F09"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RES</w:t>
      </w:r>
      <w:r w:rsidRPr="000D3596">
        <w:rPr>
          <w:rFonts w:ascii="Arial" w:hAnsi="Arial" w:cs="Arial"/>
          <w:b w:val="0"/>
        </w:rPr>
        <w:tab/>
        <w:t>Residential</w:t>
      </w:r>
    </w:p>
    <w:p w14:paraId="291C27D2" w14:textId="77777777" w:rsidR="00C30FC1" w:rsidRPr="000D3596" w:rsidRDefault="009A3B06"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SCORE</w:t>
      </w:r>
      <w:r w:rsidRPr="000D3596">
        <w:rPr>
          <w:rFonts w:ascii="Arial" w:hAnsi="Arial" w:cs="Arial"/>
          <w:b w:val="0"/>
        </w:rPr>
        <w:tab/>
        <w:t xml:space="preserve">Schools </w:t>
      </w:r>
      <w:r w:rsidR="005327F7">
        <w:rPr>
          <w:rFonts w:ascii="Arial" w:hAnsi="Arial" w:cs="Arial"/>
          <w:b w:val="0"/>
        </w:rPr>
        <w:t xml:space="preserve">and Cities </w:t>
      </w:r>
      <w:r w:rsidRPr="000D3596">
        <w:rPr>
          <w:rFonts w:ascii="Arial" w:hAnsi="Arial" w:cs="Arial"/>
          <w:b w:val="0"/>
        </w:rPr>
        <w:t>Conserving Resources</w:t>
      </w:r>
      <w:r w:rsidR="00FC7823">
        <w:rPr>
          <w:rFonts w:ascii="Arial" w:hAnsi="Arial" w:cs="Arial"/>
          <w:b w:val="0"/>
        </w:rPr>
        <w:t xml:space="preserve"> </w:t>
      </w:r>
    </w:p>
    <w:p w14:paraId="383066A7" w14:textId="77777777" w:rsidR="00C30FC1" w:rsidRDefault="008A1788"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sidRPr="000D3596">
        <w:rPr>
          <w:rFonts w:ascii="Arial" w:hAnsi="Arial" w:cs="Arial"/>
          <w:b w:val="0"/>
        </w:rPr>
        <w:t>SOP</w:t>
      </w:r>
      <w:r w:rsidRPr="000D3596">
        <w:rPr>
          <w:rFonts w:ascii="Arial" w:hAnsi="Arial" w:cs="Arial"/>
          <w:b w:val="0"/>
        </w:rPr>
        <w:tab/>
        <w:t>Standard Offer Program</w:t>
      </w:r>
    </w:p>
    <w:p w14:paraId="33DED375" w14:textId="77777777" w:rsidR="003D3616" w:rsidRDefault="003D3616" w:rsidP="00911709">
      <w:pPr>
        <w:pStyle w:val="SR1"/>
        <w:tabs>
          <w:tab w:val="clear" w:pos="2495"/>
          <w:tab w:val="clear" w:pos="3071"/>
          <w:tab w:val="clear" w:pos="3647"/>
          <w:tab w:val="clear" w:pos="8910"/>
          <w:tab w:val="left" w:pos="1890"/>
        </w:tabs>
        <w:spacing w:after="240"/>
        <w:ind w:left="3420" w:hanging="2790"/>
        <w:jc w:val="left"/>
        <w:rPr>
          <w:rFonts w:ascii="Arial" w:hAnsi="Arial" w:cs="Arial"/>
          <w:b w:val="0"/>
        </w:rPr>
      </w:pPr>
      <w:r>
        <w:rPr>
          <w:rFonts w:ascii="Arial" w:hAnsi="Arial" w:cs="Arial"/>
          <w:b w:val="0"/>
        </w:rPr>
        <w:t>TAC</w:t>
      </w:r>
      <w:r>
        <w:rPr>
          <w:rFonts w:ascii="Arial" w:hAnsi="Arial" w:cs="Arial"/>
          <w:b w:val="0"/>
        </w:rPr>
        <w:tab/>
        <w:t>Texas Administrative Code</w:t>
      </w:r>
    </w:p>
    <w:p w14:paraId="06631197" w14:textId="77777777" w:rsidR="00FC7823" w:rsidRDefault="00FC7823" w:rsidP="00911709">
      <w:pPr>
        <w:pStyle w:val="SR1"/>
        <w:tabs>
          <w:tab w:val="clear" w:pos="2495"/>
          <w:tab w:val="clear" w:pos="3071"/>
          <w:tab w:val="clear" w:pos="3647"/>
          <w:tab w:val="clear" w:pos="8910"/>
          <w:tab w:val="left" w:pos="2340"/>
        </w:tabs>
        <w:ind w:left="2700" w:hanging="2700"/>
        <w:jc w:val="left"/>
        <w:rPr>
          <w:rFonts w:ascii="Arial" w:hAnsi="Arial" w:cs="Arial"/>
          <w:b w:val="0"/>
        </w:rPr>
      </w:pPr>
    </w:p>
    <w:p w14:paraId="21A6786B" w14:textId="77777777" w:rsidR="00DC1348" w:rsidRDefault="008A1788" w:rsidP="00911709">
      <w:pPr>
        <w:pStyle w:val="Heading5"/>
        <w:keepNext w:val="0"/>
        <w:spacing w:before="0" w:after="0"/>
        <w:jc w:val="center"/>
        <w:rPr>
          <w:rFonts w:cs="Arial"/>
          <w:spacing w:val="0"/>
        </w:rPr>
      </w:pPr>
      <w:bookmarkStart w:id="56" w:name="_Toc509500774"/>
      <w:r w:rsidRPr="00CF0738">
        <w:rPr>
          <w:rFonts w:cs="Arial"/>
          <w:spacing w:val="0"/>
        </w:rPr>
        <w:t>Glossary</w:t>
      </w:r>
      <w:bookmarkEnd w:id="56"/>
    </w:p>
    <w:p w14:paraId="0A665AF2" w14:textId="77777777" w:rsidR="00FC7823" w:rsidRDefault="00FC7823" w:rsidP="00911709"/>
    <w:p w14:paraId="13BBA0A0" w14:textId="77777777" w:rsidR="00FC7823" w:rsidRPr="006D2FDD" w:rsidRDefault="00FC7823" w:rsidP="00911709">
      <w:pPr>
        <w:rPr>
          <w:rFonts w:ascii="Arial" w:hAnsi="Arial" w:cs="Arial"/>
          <w:b w:val="0"/>
        </w:rPr>
      </w:pPr>
      <w:r w:rsidRPr="006D2FDD">
        <w:rPr>
          <w:rFonts w:ascii="Arial" w:hAnsi="Arial" w:cs="Arial"/>
          <w:b w:val="0"/>
        </w:rPr>
        <w:t>Glossary is the same as</w:t>
      </w:r>
      <w:r w:rsidR="00260E87" w:rsidRPr="006D2FDD">
        <w:rPr>
          <w:rFonts w:ascii="Arial" w:hAnsi="Arial" w:cs="Arial"/>
          <w:b w:val="0"/>
        </w:rPr>
        <w:t xml:space="preserve"> the defini</w:t>
      </w:r>
      <w:r w:rsidRPr="006D2FDD">
        <w:rPr>
          <w:rFonts w:ascii="Arial" w:hAnsi="Arial" w:cs="Arial"/>
          <w:b w:val="0"/>
        </w:rPr>
        <w:t xml:space="preserve">tions in </w:t>
      </w:r>
      <w:r w:rsidR="003D3616">
        <w:rPr>
          <w:rFonts w:ascii="Arial" w:hAnsi="Arial" w:cs="Arial"/>
          <w:b w:val="0"/>
        </w:rPr>
        <w:t>16 TAC</w:t>
      </w:r>
      <w:r w:rsidRPr="006D2FDD">
        <w:rPr>
          <w:rFonts w:ascii="Arial" w:hAnsi="Arial" w:cs="Arial"/>
          <w:b w:val="0"/>
        </w:rPr>
        <w:t xml:space="preserve"> §25.181(c).</w:t>
      </w:r>
    </w:p>
    <w:p w14:paraId="200DE222" w14:textId="77777777" w:rsidR="00C30FC1" w:rsidRPr="00CF0738" w:rsidRDefault="00C30FC1" w:rsidP="00911709">
      <w:pPr>
        <w:pStyle w:val="BodyText"/>
        <w:spacing w:before="0" w:after="0" w:line="240" w:lineRule="auto"/>
        <w:rPr>
          <w:rFonts w:cs="Arial"/>
        </w:rPr>
      </w:pPr>
    </w:p>
    <w:p w14:paraId="0052A0AD" w14:textId="3FAACDEE" w:rsidR="006E01AC" w:rsidRDefault="006E01AC">
      <w:pPr>
        <w:rPr>
          <w:rFonts w:ascii="Arial" w:hAnsi="Arial"/>
          <w:caps/>
          <w:szCs w:val="32"/>
        </w:rPr>
      </w:pPr>
      <w:bookmarkStart w:id="57" w:name="_Toc190729546"/>
      <w:bookmarkStart w:id="58" w:name="_Toc226260431"/>
      <w:bookmarkStart w:id="59" w:name="_Toc349833395"/>
      <w:bookmarkStart w:id="60" w:name="_Toc477536983"/>
    </w:p>
    <w:p w14:paraId="00AA7C06" w14:textId="77777777" w:rsidR="004757EA" w:rsidRDefault="004757EA">
      <w:pPr>
        <w:rPr>
          <w:rFonts w:ascii="Arial" w:hAnsi="Arial"/>
          <w:caps/>
          <w:szCs w:val="32"/>
        </w:rPr>
      </w:pPr>
      <w:bookmarkStart w:id="61" w:name="_Toc509500775"/>
      <w:r>
        <w:br w:type="page"/>
      </w:r>
    </w:p>
    <w:p w14:paraId="20B902D5" w14:textId="426D92EE" w:rsidR="00C30FC1" w:rsidRPr="00E540C9" w:rsidRDefault="002764CB" w:rsidP="00911709">
      <w:pPr>
        <w:pStyle w:val="Heading5"/>
        <w:spacing w:before="0" w:after="0"/>
        <w:jc w:val="center"/>
        <w:rPr>
          <w:spacing w:val="0"/>
        </w:rPr>
      </w:pPr>
      <w:r w:rsidRPr="00E540C9">
        <w:rPr>
          <w:spacing w:val="0"/>
        </w:rPr>
        <w:lastRenderedPageBreak/>
        <w:t xml:space="preserve">Appendix A: </w:t>
      </w:r>
      <w:bookmarkEnd w:id="57"/>
      <w:r w:rsidR="00317270" w:rsidRPr="00E540C9">
        <w:rPr>
          <w:spacing w:val="0"/>
        </w:rPr>
        <w:t>Reported Demand and Energy Reduction by County</w:t>
      </w:r>
      <w:bookmarkEnd w:id="58"/>
      <w:bookmarkEnd w:id="59"/>
      <w:bookmarkEnd w:id="60"/>
      <w:bookmarkEnd w:id="61"/>
    </w:p>
    <w:p w14:paraId="74AE672A" w14:textId="77777777" w:rsidR="0042204E" w:rsidRPr="00E540C9" w:rsidRDefault="0042204E" w:rsidP="00911709">
      <w:pPr>
        <w:pStyle w:val="Caption"/>
        <w:spacing w:before="0" w:after="0"/>
        <w:rPr>
          <w:rFonts w:cs="Arial"/>
          <w:sz w:val="24"/>
        </w:rPr>
      </w:pPr>
    </w:p>
    <w:p w14:paraId="61B8A287" w14:textId="77777777" w:rsidR="002822C5" w:rsidRPr="00E540C9" w:rsidRDefault="00996786" w:rsidP="00911709">
      <w:pPr>
        <w:pStyle w:val="Caption"/>
        <w:spacing w:before="0" w:after="0"/>
        <w:rPr>
          <w:rFonts w:cs="Arial"/>
          <w:sz w:val="24"/>
        </w:rPr>
      </w:pPr>
      <w:r w:rsidRPr="00E540C9">
        <w:rPr>
          <w:rFonts w:cs="Arial"/>
          <w:sz w:val="24"/>
        </w:rPr>
        <w:t xml:space="preserve">Table </w:t>
      </w:r>
      <w:r w:rsidR="00D77C35" w:rsidRPr="00E540C9">
        <w:rPr>
          <w:rFonts w:cs="Arial"/>
          <w:sz w:val="24"/>
        </w:rPr>
        <w:t>16</w:t>
      </w:r>
      <w:r w:rsidRPr="00E540C9">
        <w:rPr>
          <w:rFonts w:cs="Arial"/>
          <w:sz w:val="24"/>
        </w:rPr>
        <w:t>: Program Savings by County</w:t>
      </w:r>
    </w:p>
    <w:p w14:paraId="03400105" w14:textId="77777777" w:rsidR="007F3403" w:rsidRPr="00E540C9" w:rsidRDefault="007F3403" w:rsidP="00911709">
      <w:pPr>
        <w:rPr>
          <w:rFonts w:ascii="Arial" w:hAnsi="Arial" w:cs="Arial"/>
        </w:rPr>
      </w:pPr>
    </w:p>
    <w:p w14:paraId="4973C67A" w14:textId="77777777" w:rsidR="00F67C4E" w:rsidRDefault="00F67C4E" w:rsidP="00911709">
      <w:pPr>
        <w:rPr>
          <w:rFonts w:ascii="Arial" w:hAnsi="Arial" w:cs="Arial"/>
        </w:rPr>
      </w:pPr>
      <w:r w:rsidRPr="00E540C9">
        <w:rPr>
          <w:rFonts w:ascii="Arial" w:hAnsi="Arial" w:cs="Arial"/>
        </w:rPr>
        <w:t>Commercial SOP</w:t>
      </w:r>
    </w:p>
    <w:p w14:paraId="79920FDC" w14:textId="77777777" w:rsidR="008F0732" w:rsidRPr="00E540C9" w:rsidRDefault="008F0732" w:rsidP="00911709">
      <w:pPr>
        <w:rPr>
          <w:rFonts w:ascii="Arial" w:hAnsi="Arial" w:cs="Arial"/>
        </w:rPr>
      </w:pPr>
    </w:p>
    <w:tbl>
      <w:tblPr>
        <w:tblW w:w="8020" w:type="dxa"/>
        <w:jc w:val="center"/>
        <w:tblLook w:val="04A0" w:firstRow="1" w:lastRow="0" w:firstColumn="1" w:lastColumn="0" w:noHBand="0" w:noVBand="1"/>
      </w:tblPr>
      <w:tblGrid>
        <w:gridCol w:w="2540"/>
        <w:gridCol w:w="2320"/>
        <w:gridCol w:w="1346"/>
        <w:gridCol w:w="1814"/>
      </w:tblGrid>
      <w:tr w:rsidR="008F0732" w:rsidRPr="008F0732" w14:paraId="5EFE19B4"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775E15"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6152E0"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B52FF8"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Reported Savings </w:t>
            </w:r>
          </w:p>
        </w:tc>
      </w:tr>
      <w:tr w:rsidR="008F0732" w:rsidRPr="008F0732" w14:paraId="23A85FCF" w14:textId="77777777" w:rsidTr="007B113C">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552CFBB6" w14:textId="77777777" w:rsidR="008F0732" w:rsidRPr="00420243"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39C14F7B" w14:textId="77777777" w:rsidR="008F0732" w:rsidRPr="00420243"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4812FDC5"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 </w:t>
            </w:r>
          </w:p>
        </w:tc>
        <w:tc>
          <w:tcPr>
            <w:tcW w:w="1814" w:type="dxa"/>
            <w:tcBorders>
              <w:top w:val="nil"/>
              <w:left w:val="nil"/>
              <w:bottom w:val="single" w:sz="8" w:space="0" w:color="auto"/>
              <w:right w:val="single" w:sz="8" w:space="0" w:color="auto"/>
            </w:tcBorders>
            <w:shd w:val="clear" w:color="auto" w:fill="auto"/>
            <w:noWrap/>
            <w:vAlign w:val="center"/>
            <w:hideMark/>
          </w:tcPr>
          <w:p w14:paraId="1B9E5179"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kWh </w:t>
            </w:r>
          </w:p>
        </w:tc>
      </w:tr>
      <w:tr w:rsidR="008F0732" w:rsidRPr="008F0732" w14:paraId="23F36D2B" w14:textId="77777777" w:rsidTr="007B113C">
        <w:trPr>
          <w:trHeight w:val="315"/>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0D703B4E" w14:textId="77777777" w:rsidR="008F0732" w:rsidRPr="00420243" w:rsidRDefault="008F0732" w:rsidP="00911709">
            <w:pPr>
              <w:rPr>
                <w:rFonts w:ascii="Arial" w:hAnsi="Arial" w:cs="Arial"/>
                <w:b w:val="0"/>
                <w:color w:val="000000"/>
              </w:rPr>
            </w:pPr>
            <w:r w:rsidRPr="00420243">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259FCE2B" w14:textId="6DE6F1C1" w:rsidR="008F0732" w:rsidRPr="00420243" w:rsidRDefault="00420243" w:rsidP="00911709">
            <w:pPr>
              <w:jc w:val="center"/>
              <w:rPr>
                <w:rFonts w:ascii="Arial" w:hAnsi="Arial" w:cs="Arial"/>
                <w:b w:val="0"/>
                <w:color w:val="000000"/>
              </w:rPr>
            </w:pPr>
            <w:r>
              <w:rPr>
                <w:rFonts w:ascii="Arial" w:hAnsi="Arial" w:cs="Arial"/>
                <w:b w:val="0"/>
                <w:color w:val="000000"/>
              </w:rPr>
              <w:t>5</w:t>
            </w:r>
          </w:p>
        </w:tc>
        <w:tc>
          <w:tcPr>
            <w:tcW w:w="1346" w:type="dxa"/>
            <w:tcBorders>
              <w:top w:val="nil"/>
              <w:left w:val="nil"/>
              <w:bottom w:val="single" w:sz="8" w:space="0" w:color="auto"/>
              <w:right w:val="single" w:sz="8" w:space="0" w:color="auto"/>
            </w:tcBorders>
            <w:shd w:val="clear" w:color="auto" w:fill="auto"/>
            <w:noWrap/>
            <w:vAlign w:val="center"/>
            <w:hideMark/>
          </w:tcPr>
          <w:p w14:paraId="7EB50F40" w14:textId="48B1934C" w:rsidR="008F0732" w:rsidRPr="00420243" w:rsidRDefault="00420243" w:rsidP="00911709">
            <w:pPr>
              <w:jc w:val="right"/>
              <w:rPr>
                <w:rFonts w:ascii="Arial" w:hAnsi="Arial" w:cs="Arial"/>
                <w:b w:val="0"/>
                <w:color w:val="000000"/>
              </w:rPr>
            </w:pPr>
            <w:r>
              <w:rPr>
                <w:rFonts w:ascii="Arial" w:hAnsi="Arial" w:cs="Arial"/>
                <w:b w:val="0"/>
                <w:color w:val="000000"/>
              </w:rPr>
              <w:t>51.26</w:t>
            </w:r>
          </w:p>
        </w:tc>
        <w:tc>
          <w:tcPr>
            <w:tcW w:w="1814" w:type="dxa"/>
            <w:tcBorders>
              <w:top w:val="nil"/>
              <w:left w:val="nil"/>
              <w:bottom w:val="single" w:sz="8" w:space="0" w:color="auto"/>
              <w:right w:val="single" w:sz="8" w:space="0" w:color="auto"/>
            </w:tcBorders>
            <w:shd w:val="clear" w:color="auto" w:fill="auto"/>
            <w:noWrap/>
            <w:vAlign w:val="center"/>
            <w:hideMark/>
          </w:tcPr>
          <w:p w14:paraId="0316FCF8" w14:textId="6345BDE5" w:rsidR="008F0732" w:rsidRPr="00420243" w:rsidRDefault="00420243" w:rsidP="00EA009D">
            <w:pPr>
              <w:jc w:val="right"/>
              <w:rPr>
                <w:rFonts w:ascii="Arial" w:hAnsi="Arial" w:cs="Arial"/>
                <w:b w:val="0"/>
                <w:color w:val="000000"/>
              </w:rPr>
            </w:pPr>
            <w:r>
              <w:rPr>
                <w:rFonts w:ascii="Arial" w:hAnsi="Arial" w:cs="Arial"/>
                <w:b w:val="0"/>
                <w:color w:val="000000"/>
              </w:rPr>
              <w:t>277,531</w:t>
            </w:r>
          </w:p>
        </w:tc>
      </w:tr>
      <w:tr w:rsidR="003240A8" w:rsidRPr="008F0732" w14:paraId="4228A2ED"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CAFD181" w14:textId="77777777" w:rsidR="003240A8" w:rsidRPr="00420243" w:rsidRDefault="003240A8" w:rsidP="00911709">
            <w:pPr>
              <w:rPr>
                <w:rFonts w:ascii="Arial" w:hAnsi="Arial" w:cs="Arial"/>
                <w:b w:val="0"/>
                <w:color w:val="000000"/>
              </w:rPr>
            </w:pPr>
            <w:r w:rsidRPr="00420243">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10052C44" w14:textId="48770E62" w:rsidR="003240A8" w:rsidRPr="00420243" w:rsidRDefault="00420243" w:rsidP="00911709">
            <w:pPr>
              <w:jc w:val="center"/>
              <w:rPr>
                <w:rFonts w:ascii="Arial" w:hAnsi="Arial" w:cs="Arial"/>
                <w:b w:val="0"/>
                <w:color w:val="000000"/>
              </w:rPr>
            </w:pPr>
            <w:r>
              <w:rPr>
                <w:rFonts w:ascii="Arial" w:hAnsi="Arial" w:cs="Arial"/>
                <w:b w:val="0"/>
                <w:color w:val="000000"/>
              </w:rPr>
              <w:t>5</w:t>
            </w:r>
          </w:p>
        </w:tc>
        <w:tc>
          <w:tcPr>
            <w:tcW w:w="1346" w:type="dxa"/>
            <w:tcBorders>
              <w:top w:val="nil"/>
              <w:left w:val="nil"/>
              <w:bottom w:val="single" w:sz="8" w:space="0" w:color="auto"/>
              <w:right w:val="single" w:sz="8" w:space="0" w:color="auto"/>
            </w:tcBorders>
            <w:shd w:val="clear" w:color="auto" w:fill="auto"/>
            <w:noWrap/>
            <w:vAlign w:val="center"/>
            <w:hideMark/>
          </w:tcPr>
          <w:p w14:paraId="317FDD7C" w14:textId="67EA6A8E" w:rsidR="003240A8" w:rsidRPr="00420243" w:rsidRDefault="00420243" w:rsidP="00911709">
            <w:pPr>
              <w:jc w:val="right"/>
              <w:rPr>
                <w:rFonts w:ascii="Arial" w:hAnsi="Arial" w:cs="Arial"/>
                <w:b w:val="0"/>
                <w:color w:val="000000"/>
              </w:rPr>
            </w:pPr>
            <w:r>
              <w:rPr>
                <w:rFonts w:ascii="Arial" w:hAnsi="Arial" w:cs="Arial"/>
                <w:b w:val="0"/>
                <w:color w:val="000000"/>
              </w:rPr>
              <w:t>51.26</w:t>
            </w:r>
          </w:p>
        </w:tc>
        <w:tc>
          <w:tcPr>
            <w:tcW w:w="1814" w:type="dxa"/>
            <w:tcBorders>
              <w:top w:val="nil"/>
              <w:left w:val="nil"/>
              <w:bottom w:val="single" w:sz="8" w:space="0" w:color="auto"/>
              <w:right w:val="single" w:sz="8" w:space="0" w:color="auto"/>
            </w:tcBorders>
            <w:shd w:val="clear" w:color="auto" w:fill="auto"/>
            <w:noWrap/>
            <w:vAlign w:val="center"/>
            <w:hideMark/>
          </w:tcPr>
          <w:p w14:paraId="11609B0B" w14:textId="3EEFB73B" w:rsidR="003240A8" w:rsidRPr="00420243" w:rsidRDefault="00420243" w:rsidP="00EA009D">
            <w:pPr>
              <w:jc w:val="right"/>
              <w:rPr>
                <w:rFonts w:ascii="Arial" w:hAnsi="Arial" w:cs="Arial"/>
                <w:b w:val="0"/>
                <w:color w:val="000000"/>
              </w:rPr>
            </w:pPr>
            <w:r>
              <w:rPr>
                <w:rFonts w:ascii="Arial" w:hAnsi="Arial" w:cs="Arial"/>
                <w:b w:val="0"/>
                <w:color w:val="000000"/>
              </w:rPr>
              <w:t>277,531</w:t>
            </w:r>
          </w:p>
        </w:tc>
      </w:tr>
    </w:tbl>
    <w:p w14:paraId="2BFF4533" w14:textId="77777777" w:rsidR="00CF0738" w:rsidRPr="00CF0738" w:rsidRDefault="00CF0738" w:rsidP="00911709">
      <w:pPr>
        <w:rPr>
          <w:rFonts w:ascii="Arial" w:hAnsi="Arial" w:cs="Arial"/>
        </w:rPr>
      </w:pPr>
    </w:p>
    <w:p w14:paraId="7B0E8CF7" w14:textId="77777777" w:rsidR="00F67C4E" w:rsidRPr="00CF0738" w:rsidRDefault="00F67C4E" w:rsidP="00911709">
      <w:pPr>
        <w:rPr>
          <w:rFonts w:ascii="Arial" w:hAnsi="Arial" w:cs="Arial"/>
        </w:rPr>
      </w:pPr>
    </w:p>
    <w:p w14:paraId="7842DEF5" w14:textId="77777777" w:rsidR="009D2C31" w:rsidRDefault="009D2C31" w:rsidP="00911709">
      <w:pPr>
        <w:keepNext/>
        <w:rPr>
          <w:rFonts w:ascii="Arial" w:hAnsi="Arial" w:cs="Arial"/>
        </w:rPr>
      </w:pPr>
      <w:r w:rsidRPr="00CF0738">
        <w:rPr>
          <w:rFonts w:ascii="Arial" w:hAnsi="Arial" w:cs="Arial"/>
        </w:rPr>
        <w:t>Small Commercial Solutions MTP</w:t>
      </w:r>
    </w:p>
    <w:p w14:paraId="38704754" w14:textId="77777777" w:rsidR="008F0732" w:rsidRDefault="008F0732" w:rsidP="00911709">
      <w:pPr>
        <w:keepNext/>
        <w:rPr>
          <w:rFonts w:ascii="Arial" w:hAnsi="Arial" w:cs="Arial"/>
        </w:rPr>
      </w:pPr>
    </w:p>
    <w:tbl>
      <w:tblPr>
        <w:tblW w:w="8425" w:type="dxa"/>
        <w:jc w:val="center"/>
        <w:tblLook w:val="04A0" w:firstRow="1" w:lastRow="0" w:firstColumn="1" w:lastColumn="0" w:noHBand="0" w:noVBand="1"/>
      </w:tblPr>
      <w:tblGrid>
        <w:gridCol w:w="2540"/>
        <w:gridCol w:w="2320"/>
        <w:gridCol w:w="1346"/>
        <w:gridCol w:w="2219"/>
      </w:tblGrid>
      <w:tr w:rsidR="008F0732" w:rsidRPr="008F0732" w14:paraId="1687626D" w14:textId="77777777" w:rsidTr="003240A8">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6D31C4"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1AF448"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of Participants</w:t>
            </w:r>
          </w:p>
        </w:tc>
        <w:tc>
          <w:tcPr>
            <w:tcW w:w="356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31A6452"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Reported Savings </w:t>
            </w:r>
          </w:p>
        </w:tc>
      </w:tr>
      <w:tr w:rsidR="008F0732" w:rsidRPr="008F0732" w14:paraId="5C01FA88" w14:textId="77777777" w:rsidTr="003240A8">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62D7B1C2" w14:textId="77777777" w:rsidR="008F0732" w:rsidRPr="008F0732"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07CB483B" w14:textId="77777777" w:rsidR="008F0732" w:rsidRPr="008F0732"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1C9EB05D"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 </w:t>
            </w:r>
          </w:p>
        </w:tc>
        <w:tc>
          <w:tcPr>
            <w:tcW w:w="2219" w:type="dxa"/>
            <w:tcBorders>
              <w:top w:val="nil"/>
              <w:left w:val="nil"/>
              <w:bottom w:val="single" w:sz="8" w:space="0" w:color="auto"/>
              <w:right w:val="single" w:sz="8" w:space="0" w:color="auto"/>
            </w:tcBorders>
            <w:shd w:val="clear" w:color="auto" w:fill="auto"/>
            <w:noWrap/>
            <w:vAlign w:val="center"/>
            <w:hideMark/>
          </w:tcPr>
          <w:p w14:paraId="0EE0AAB7"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kWh </w:t>
            </w:r>
          </w:p>
        </w:tc>
      </w:tr>
      <w:tr w:rsidR="008F0732" w:rsidRPr="008F0732" w14:paraId="7995CA21" w14:textId="77777777" w:rsidTr="003240A8">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52F51B42" w14:textId="77777777" w:rsidR="008F0732" w:rsidRPr="008F0732" w:rsidRDefault="008F0732" w:rsidP="00911709">
            <w:pPr>
              <w:rPr>
                <w:rFonts w:ascii="Arial" w:hAnsi="Arial" w:cs="Arial"/>
                <w:b w:val="0"/>
                <w:color w:val="000000"/>
              </w:rPr>
            </w:pPr>
            <w:r w:rsidRPr="008F0732">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20238360" w14:textId="56E1C0CE" w:rsidR="008F0732" w:rsidRPr="008F0732" w:rsidRDefault="00C94B78" w:rsidP="00911709">
            <w:pPr>
              <w:jc w:val="center"/>
              <w:rPr>
                <w:rFonts w:ascii="Arial" w:hAnsi="Arial" w:cs="Arial"/>
                <w:b w:val="0"/>
                <w:color w:val="000000"/>
              </w:rPr>
            </w:pPr>
            <w:r>
              <w:rPr>
                <w:rFonts w:ascii="Arial" w:hAnsi="Arial" w:cs="Arial"/>
                <w:b w:val="0"/>
                <w:color w:val="000000"/>
              </w:rPr>
              <w:t>350</w:t>
            </w:r>
          </w:p>
        </w:tc>
        <w:tc>
          <w:tcPr>
            <w:tcW w:w="1346" w:type="dxa"/>
            <w:tcBorders>
              <w:top w:val="nil"/>
              <w:left w:val="nil"/>
              <w:bottom w:val="single" w:sz="8" w:space="0" w:color="auto"/>
              <w:right w:val="single" w:sz="8" w:space="0" w:color="auto"/>
            </w:tcBorders>
            <w:shd w:val="clear" w:color="auto" w:fill="auto"/>
            <w:noWrap/>
            <w:vAlign w:val="center"/>
            <w:hideMark/>
          </w:tcPr>
          <w:p w14:paraId="0D73CFE5" w14:textId="37384840" w:rsidR="008F0732" w:rsidRPr="008F0732" w:rsidRDefault="00254A2E" w:rsidP="00AD70FB">
            <w:pPr>
              <w:jc w:val="right"/>
              <w:rPr>
                <w:rFonts w:ascii="Arial" w:hAnsi="Arial" w:cs="Arial"/>
                <w:b w:val="0"/>
                <w:color w:val="000000"/>
              </w:rPr>
            </w:pPr>
            <w:r>
              <w:rPr>
                <w:rFonts w:ascii="Arial" w:hAnsi="Arial" w:cs="Arial"/>
                <w:b w:val="0"/>
                <w:color w:val="000000"/>
              </w:rPr>
              <w:t>745.66</w:t>
            </w:r>
            <w:r w:rsidR="00AD70FB" w:rsidRPr="008F0732">
              <w:rPr>
                <w:rFonts w:ascii="Arial" w:hAnsi="Arial" w:cs="Arial"/>
                <w:b w:val="0"/>
                <w:color w:val="000000"/>
              </w:rPr>
              <w:t xml:space="preserve"> </w:t>
            </w:r>
          </w:p>
        </w:tc>
        <w:tc>
          <w:tcPr>
            <w:tcW w:w="2219" w:type="dxa"/>
            <w:tcBorders>
              <w:top w:val="nil"/>
              <w:left w:val="nil"/>
              <w:bottom w:val="single" w:sz="8" w:space="0" w:color="auto"/>
              <w:right w:val="single" w:sz="8" w:space="0" w:color="auto"/>
            </w:tcBorders>
            <w:shd w:val="clear" w:color="auto" w:fill="auto"/>
            <w:noWrap/>
            <w:vAlign w:val="center"/>
            <w:hideMark/>
          </w:tcPr>
          <w:p w14:paraId="2EFB4BC0" w14:textId="41609835" w:rsidR="008F0732" w:rsidRPr="008F0732" w:rsidRDefault="000C6827" w:rsidP="00911709">
            <w:pPr>
              <w:jc w:val="right"/>
              <w:rPr>
                <w:rFonts w:ascii="Arial" w:hAnsi="Arial" w:cs="Arial"/>
                <w:b w:val="0"/>
                <w:color w:val="000000"/>
              </w:rPr>
            </w:pPr>
            <w:r>
              <w:rPr>
                <w:rFonts w:ascii="Arial" w:hAnsi="Arial" w:cs="Arial"/>
                <w:b w:val="0"/>
                <w:color w:val="000000"/>
              </w:rPr>
              <w:t>3,687,641</w:t>
            </w:r>
            <w:r w:rsidR="008F0732" w:rsidRPr="008F0732">
              <w:rPr>
                <w:rFonts w:ascii="Arial" w:hAnsi="Arial" w:cs="Arial"/>
                <w:b w:val="0"/>
                <w:color w:val="000000"/>
              </w:rPr>
              <w:t xml:space="preserve"> </w:t>
            </w:r>
          </w:p>
        </w:tc>
      </w:tr>
      <w:tr w:rsidR="003240A8" w:rsidRPr="008F0732" w14:paraId="6FE559D6" w14:textId="77777777" w:rsidTr="003240A8">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02785BD6" w14:textId="77777777" w:rsidR="003240A8" w:rsidRPr="008F0732" w:rsidRDefault="003240A8" w:rsidP="00911709">
            <w:pPr>
              <w:rPr>
                <w:rFonts w:ascii="Arial" w:hAnsi="Arial" w:cs="Arial"/>
                <w:b w:val="0"/>
                <w:color w:val="000000"/>
              </w:rPr>
            </w:pPr>
            <w:r w:rsidRPr="008F0732">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5E67E05B" w14:textId="182A841A" w:rsidR="003240A8" w:rsidRPr="008F0732" w:rsidRDefault="00C94B78" w:rsidP="00911709">
            <w:pPr>
              <w:jc w:val="center"/>
              <w:rPr>
                <w:rFonts w:ascii="Arial" w:hAnsi="Arial" w:cs="Arial"/>
                <w:b w:val="0"/>
                <w:color w:val="000000"/>
              </w:rPr>
            </w:pPr>
            <w:r>
              <w:rPr>
                <w:rFonts w:ascii="Arial" w:hAnsi="Arial" w:cs="Arial"/>
                <w:b w:val="0"/>
                <w:color w:val="000000"/>
              </w:rPr>
              <w:t>350</w:t>
            </w:r>
          </w:p>
        </w:tc>
        <w:tc>
          <w:tcPr>
            <w:tcW w:w="1346" w:type="dxa"/>
            <w:tcBorders>
              <w:top w:val="nil"/>
              <w:left w:val="nil"/>
              <w:bottom w:val="single" w:sz="8" w:space="0" w:color="auto"/>
              <w:right w:val="single" w:sz="8" w:space="0" w:color="auto"/>
            </w:tcBorders>
            <w:shd w:val="clear" w:color="auto" w:fill="auto"/>
            <w:noWrap/>
            <w:vAlign w:val="center"/>
            <w:hideMark/>
          </w:tcPr>
          <w:p w14:paraId="5216E511" w14:textId="6408BF0C" w:rsidR="003240A8" w:rsidRPr="008F0732" w:rsidRDefault="00254A2E" w:rsidP="00911709">
            <w:pPr>
              <w:jc w:val="right"/>
              <w:rPr>
                <w:rFonts w:ascii="Arial" w:hAnsi="Arial" w:cs="Arial"/>
                <w:b w:val="0"/>
                <w:color w:val="000000"/>
              </w:rPr>
            </w:pPr>
            <w:r>
              <w:rPr>
                <w:rFonts w:ascii="Arial" w:hAnsi="Arial" w:cs="Arial"/>
                <w:b w:val="0"/>
                <w:color w:val="000000"/>
              </w:rPr>
              <w:t>745.66</w:t>
            </w:r>
            <w:r w:rsidR="00AD70FB" w:rsidRPr="008F0732">
              <w:rPr>
                <w:rFonts w:ascii="Arial" w:hAnsi="Arial" w:cs="Arial"/>
                <w:b w:val="0"/>
                <w:color w:val="000000"/>
              </w:rPr>
              <w:t xml:space="preserve"> </w:t>
            </w:r>
          </w:p>
        </w:tc>
        <w:tc>
          <w:tcPr>
            <w:tcW w:w="2219" w:type="dxa"/>
            <w:tcBorders>
              <w:top w:val="nil"/>
              <w:left w:val="nil"/>
              <w:bottom w:val="single" w:sz="8" w:space="0" w:color="auto"/>
              <w:right w:val="single" w:sz="8" w:space="0" w:color="auto"/>
            </w:tcBorders>
            <w:shd w:val="clear" w:color="auto" w:fill="auto"/>
            <w:noWrap/>
            <w:vAlign w:val="center"/>
            <w:hideMark/>
          </w:tcPr>
          <w:p w14:paraId="535E9E22" w14:textId="15D235C1" w:rsidR="003240A8" w:rsidRPr="008F0732" w:rsidRDefault="000C6827" w:rsidP="00911709">
            <w:pPr>
              <w:jc w:val="right"/>
              <w:rPr>
                <w:rFonts w:ascii="Arial" w:hAnsi="Arial" w:cs="Arial"/>
                <w:b w:val="0"/>
                <w:color w:val="000000"/>
              </w:rPr>
            </w:pPr>
            <w:r>
              <w:rPr>
                <w:rFonts w:ascii="Arial" w:hAnsi="Arial" w:cs="Arial"/>
                <w:b w:val="0"/>
                <w:color w:val="000000"/>
              </w:rPr>
              <w:t>3,687,641</w:t>
            </w:r>
            <w:r w:rsidR="003240A8" w:rsidRPr="008F0732">
              <w:rPr>
                <w:rFonts w:ascii="Arial" w:hAnsi="Arial" w:cs="Arial"/>
                <w:b w:val="0"/>
                <w:color w:val="000000"/>
              </w:rPr>
              <w:t xml:space="preserve"> </w:t>
            </w:r>
          </w:p>
        </w:tc>
      </w:tr>
    </w:tbl>
    <w:p w14:paraId="4CB45EA1" w14:textId="77777777" w:rsidR="009D2C31" w:rsidRDefault="009D2C31" w:rsidP="00911709">
      <w:pPr>
        <w:keepNext/>
        <w:rPr>
          <w:rFonts w:ascii="Arial" w:hAnsi="Arial" w:cs="Arial"/>
        </w:rPr>
      </w:pPr>
    </w:p>
    <w:p w14:paraId="3E9F11F1" w14:textId="77777777" w:rsidR="009D2C31" w:rsidRPr="00CF0738" w:rsidRDefault="009D2C31" w:rsidP="00911709">
      <w:pPr>
        <w:rPr>
          <w:rFonts w:ascii="Arial" w:hAnsi="Arial" w:cs="Arial"/>
        </w:rPr>
      </w:pPr>
    </w:p>
    <w:p w14:paraId="77802104" w14:textId="77777777" w:rsidR="00D148B4" w:rsidRDefault="00D148B4" w:rsidP="00911709">
      <w:pPr>
        <w:keepNext/>
        <w:keepLines/>
        <w:rPr>
          <w:rFonts w:ascii="Arial" w:hAnsi="Arial" w:cs="Arial"/>
        </w:rPr>
      </w:pPr>
      <w:r w:rsidRPr="00CF0738">
        <w:rPr>
          <w:rFonts w:ascii="Arial" w:hAnsi="Arial" w:cs="Arial"/>
        </w:rPr>
        <w:t xml:space="preserve">Large </w:t>
      </w:r>
      <w:r w:rsidR="00B00506">
        <w:rPr>
          <w:rFonts w:ascii="Arial" w:hAnsi="Arial" w:cs="Arial"/>
        </w:rPr>
        <w:t>C&amp;I</w:t>
      </w:r>
      <w:r w:rsidR="00B00506" w:rsidRPr="00CF0738">
        <w:rPr>
          <w:rFonts w:ascii="Arial" w:hAnsi="Arial" w:cs="Arial"/>
        </w:rPr>
        <w:t xml:space="preserve"> </w:t>
      </w:r>
      <w:r w:rsidRPr="00CF0738">
        <w:rPr>
          <w:rFonts w:ascii="Arial" w:hAnsi="Arial" w:cs="Arial"/>
        </w:rPr>
        <w:t>Solutions MTP</w:t>
      </w:r>
    </w:p>
    <w:p w14:paraId="097F87D3" w14:textId="77777777" w:rsidR="00D148B4" w:rsidRDefault="00D148B4" w:rsidP="00911709">
      <w:pPr>
        <w:keepNext/>
        <w:keepLines/>
        <w:rPr>
          <w:rFonts w:ascii="Arial" w:hAnsi="Arial" w:cs="Arial"/>
        </w:rPr>
      </w:pPr>
    </w:p>
    <w:tbl>
      <w:tblPr>
        <w:tblW w:w="8020" w:type="dxa"/>
        <w:jc w:val="center"/>
        <w:tblLook w:val="04A0" w:firstRow="1" w:lastRow="0" w:firstColumn="1" w:lastColumn="0" w:noHBand="0" w:noVBand="1"/>
      </w:tblPr>
      <w:tblGrid>
        <w:gridCol w:w="2540"/>
        <w:gridCol w:w="2320"/>
        <w:gridCol w:w="1346"/>
        <w:gridCol w:w="1814"/>
      </w:tblGrid>
      <w:tr w:rsidR="008F0732" w:rsidRPr="008F0732" w14:paraId="0301A300" w14:textId="77777777" w:rsidTr="00C94B78">
        <w:trPr>
          <w:trHeight w:val="317"/>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8A5662"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20D84C"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116CEA0"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Reported Savings </w:t>
            </w:r>
          </w:p>
        </w:tc>
      </w:tr>
      <w:tr w:rsidR="008F0732" w:rsidRPr="008F0732" w14:paraId="7B2DAA91" w14:textId="77777777" w:rsidTr="00C94B78">
        <w:trPr>
          <w:trHeight w:val="317"/>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70D6E66D" w14:textId="77777777" w:rsidR="008F0732" w:rsidRPr="008F0732"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7F52E2F9" w14:textId="77777777" w:rsidR="008F0732" w:rsidRPr="008F0732"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29DA79A6"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 </w:t>
            </w:r>
          </w:p>
        </w:tc>
        <w:tc>
          <w:tcPr>
            <w:tcW w:w="1814" w:type="dxa"/>
            <w:tcBorders>
              <w:top w:val="nil"/>
              <w:left w:val="nil"/>
              <w:bottom w:val="single" w:sz="8" w:space="0" w:color="auto"/>
              <w:right w:val="single" w:sz="8" w:space="0" w:color="auto"/>
            </w:tcBorders>
            <w:shd w:val="clear" w:color="auto" w:fill="auto"/>
            <w:noWrap/>
            <w:vAlign w:val="center"/>
            <w:hideMark/>
          </w:tcPr>
          <w:p w14:paraId="3D798D47"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kWh </w:t>
            </w:r>
          </w:p>
        </w:tc>
      </w:tr>
      <w:tr w:rsidR="00EA009D" w:rsidRPr="008F0732" w14:paraId="37E53D40" w14:textId="77777777" w:rsidTr="00C94B78">
        <w:trPr>
          <w:trHeight w:val="317"/>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21F56B59" w14:textId="77777777" w:rsidR="00EA009D" w:rsidRPr="008F0732" w:rsidRDefault="00EA009D" w:rsidP="00911709">
            <w:pPr>
              <w:rPr>
                <w:rFonts w:ascii="Arial" w:hAnsi="Arial" w:cs="Arial"/>
                <w:b w:val="0"/>
                <w:color w:val="000000"/>
              </w:rPr>
            </w:pPr>
            <w:r w:rsidRPr="008F0732">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5F23F3BF" w14:textId="5472DCDC" w:rsidR="00EA009D" w:rsidRPr="008F0732" w:rsidRDefault="00C94B78" w:rsidP="00911709">
            <w:pPr>
              <w:jc w:val="center"/>
              <w:rPr>
                <w:rFonts w:ascii="Arial" w:hAnsi="Arial" w:cs="Arial"/>
                <w:b w:val="0"/>
                <w:color w:val="000000"/>
              </w:rPr>
            </w:pPr>
            <w:r>
              <w:rPr>
                <w:rFonts w:ascii="Arial" w:hAnsi="Arial" w:cs="Arial"/>
                <w:b w:val="0"/>
                <w:color w:val="000000"/>
              </w:rPr>
              <w:t>210</w:t>
            </w:r>
          </w:p>
        </w:tc>
        <w:tc>
          <w:tcPr>
            <w:tcW w:w="1346" w:type="dxa"/>
            <w:tcBorders>
              <w:top w:val="nil"/>
              <w:left w:val="nil"/>
              <w:bottom w:val="single" w:sz="8" w:space="0" w:color="auto"/>
              <w:right w:val="single" w:sz="8" w:space="0" w:color="auto"/>
            </w:tcBorders>
            <w:shd w:val="clear" w:color="auto" w:fill="auto"/>
            <w:noWrap/>
            <w:vAlign w:val="center"/>
            <w:hideMark/>
          </w:tcPr>
          <w:p w14:paraId="014ACBFE" w14:textId="3B0956A8" w:rsidR="00EA009D" w:rsidRPr="00EA009D" w:rsidRDefault="00C94B78" w:rsidP="00AD70FB">
            <w:pPr>
              <w:jc w:val="right"/>
              <w:rPr>
                <w:rFonts w:ascii="Arial" w:hAnsi="Arial" w:cs="Arial"/>
                <w:b w:val="0"/>
                <w:color w:val="000000"/>
              </w:rPr>
            </w:pPr>
            <w:r>
              <w:rPr>
                <w:rFonts w:ascii="Arial" w:hAnsi="Arial" w:cs="Arial"/>
                <w:b w:val="0"/>
              </w:rPr>
              <w:t>2,073.10</w:t>
            </w:r>
            <w:r w:rsidR="00EA009D" w:rsidRPr="00EA009D">
              <w:rPr>
                <w:rFonts w:ascii="Arial" w:hAnsi="Arial" w:cs="Arial"/>
                <w:b w:val="0"/>
              </w:rPr>
              <w:t xml:space="preserve"> </w:t>
            </w:r>
          </w:p>
        </w:tc>
        <w:tc>
          <w:tcPr>
            <w:tcW w:w="1814" w:type="dxa"/>
            <w:tcBorders>
              <w:top w:val="nil"/>
              <w:left w:val="nil"/>
              <w:bottom w:val="single" w:sz="8" w:space="0" w:color="auto"/>
              <w:right w:val="single" w:sz="8" w:space="0" w:color="auto"/>
            </w:tcBorders>
            <w:shd w:val="clear" w:color="auto" w:fill="auto"/>
            <w:noWrap/>
            <w:vAlign w:val="center"/>
            <w:hideMark/>
          </w:tcPr>
          <w:p w14:paraId="2D808E70" w14:textId="06E03D52" w:rsidR="00EA009D" w:rsidRPr="008F0732" w:rsidRDefault="00254A2E" w:rsidP="000C6827">
            <w:pPr>
              <w:jc w:val="right"/>
              <w:rPr>
                <w:rFonts w:ascii="Arial" w:hAnsi="Arial" w:cs="Arial"/>
                <w:b w:val="0"/>
                <w:color w:val="000000"/>
              </w:rPr>
            </w:pPr>
            <w:r>
              <w:rPr>
                <w:rFonts w:ascii="Arial" w:hAnsi="Arial" w:cs="Arial"/>
                <w:b w:val="0"/>
                <w:color w:val="000000"/>
              </w:rPr>
              <w:t>11,230,30</w:t>
            </w:r>
            <w:r w:rsidR="000C6827">
              <w:rPr>
                <w:rFonts w:ascii="Arial" w:hAnsi="Arial" w:cs="Arial"/>
                <w:b w:val="0"/>
                <w:color w:val="000000"/>
              </w:rPr>
              <w:t>7</w:t>
            </w:r>
          </w:p>
        </w:tc>
      </w:tr>
      <w:tr w:rsidR="00EA009D" w:rsidRPr="008F0732" w14:paraId="6199D449" w14:textId="77777777" w:rsidTr="00C94B78">
        <w:trPr>
          <w:trHeight w:val="317"/>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080310FD" w14:textId="77777777" w:rsidR="00EA009D" w:rsidRPr="008F0732" w:rsidRDefault="00EA009D" w:rsidP="00911709">
            <w:pPr>
              <w:rPr>
                <w:rFonts w:ascii="Arial" w:hAnsi="Arial" w:cs="Arial"/>
                <w:b w:val="0"/>
                <w:color w:val="000000"/>
              </w:rPr>
            </w:pPr>
            <w:r w:rsidRPr="008F0732">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78AF60CB" w14:textId="06E2AE58" w:rsidR="00EA009D" w:rsidRPr="008F0732" w:rsidRDefault="00C94B78" w:rsidP="00911709">
            <w:pPr>
              <w:jc w:val="center"/>
              <w:rPr>
                <w:rFonts w:ascii="Arial" w:hAnsi="Arial" w:cs="Arial"/>
                <w:b w:val="0"/>
                <w:color w:val="000000"/>
              </w:rPr>
            </w:pPr>
            <w:r>
              <w:rPr>
                <w:rFonts w:ascii="Arial" w:hAnsi="Arial" w:cs="Arial"/>
                <w:b w:val="0"/>
                <w:color w:val="000000"/>
              </w:rPr>
              <w:t>210</w:t>
            </w:r>
          </w:p>
        </w:tc>
        <w:tc>
          <w:tcPr>
            <w:tcW w:w="1346" w:type="dxa"/>
            <w:tcBorders>
              <w:top w:val="nil"/>
              <w:left w:val="nil"/>
              <w:bottom w:val="single" w:sz="8" w:space="0" w:color="auto"/>
              <w:right w:val="single" w:sz="8" w:space="0" w:color="auto"/>
            </w:tcBorders>
            <w:shd w:val="clear" w:color="auto" w:fill="auto"/>
            <w:noWrap/>
            <w:vAlign w:val="center"/>
            <w:hideMark/>
          </w:tcPr>
          <w:p w14:paraId="7B21565C" w14:textId="113CF067" w:rsidR="00EA009D" w:rsidRPr="00EA009D" w:rsidRDefault="00C94B78" w:rsidP="00AD70FB">
            <w:pPr>
              <w:jc w:val="right"/>
              <w:rPr>
                <w:rFonts w:ascii="Arial" w:hAnsi="Arial" w:cs="Arial"/>
                <w:b w:val="0"/>
                <w:color w:val="000000"/>
              </w:rPr>
            </w:pPr>
            <w:r>
              <w:rPr>
                <w:rFonts w:ascii="Arial" w:hAnsi="Arial" w:cs="Arial"/>
                <w:b w:val="0"/>
              </w:rPr>
              <w:t>2,073.10</w:t>
            </w:r>
            <w:r w:rsidR="00EA009D" w:rsidRPr="00EA009D">
              <w:rPr>
                <w:rFonts w:ascii="Arial" w:hAnsi="Arial" w:cs="Arial"/>
                <w:b w:val="0"/>
              </w:rPr>
              <w:t xml:space="preserve"> </w:t>
            </w:r>
          </w:p>
        </w:tc>
        <w:tc>
          <w:tcPr>
            <w:tcW w:w="1814" w:type="dxa"/>
            <w:tcBorders>
              <w:top w:val="nil"/>
              <w:left w:val="nil"/>
              <w:bottom w:val="single" w:sz="8" w:space="0" w:color="auto"/>
              <w:right w:val="single" w:sz="8" w:space="0" w:color="auto"/>
            </w:tcBorders>
            <w:shd w:val="clear" w:color="auto" w:fill="auto"/>
            <w:noWrap/>
            <w:vAlign w:val="center"/>
            <w:hideMark/>
          </w:tcPr>
          <w:p w14:paraId="48FB091F" w14:textId="20F3F7CE" w:rsidR="00EA009D" w:rsidRPr="008F0732" w:rsidRDefault="000C6827" w:rsidP="00AD70FB">
            <w:pPr>
              <w:jc w:val="right"/>
              <w:rPr>
                <w:rFonts w:ascii="Arial" w:hAnsi="Arial" w:cs="Arial"/>
                <w:b w:val="0"/>
                <w:color w:val="000000"/>
              </w:rPr>
            </w:pPr>
            <w:r>
              <w:rPr>
                <w:rFonts w:ascii="Arial" w:hAnsi="Arial" w:cs="Arial"/>
                <w:b w:val="0"/>
                <w:color w:val="000000"/>
              </w:rPr>
              <w:t>11,230,307</w:t>
            </w:r>
          </w:p>
        </w:tc>
      </w:tr>
    </w:tbl>
    <w:p w14:paraId="6571CF2E" w14:textId="77777777" w:rsidR="00F67C4E" w:rsidRPr="00CF0738" w:rsidRDefault="00F67C4E" w:rsidP="00911709">
      <w:pPr>
        <w:rPr>
          <w:rFonts w:ascii="Arial" w:hAnsi="Arial" w:cs="Arial"/>
        </w:rPr>
      </w:pPr>
    </w:p>
    <w:p w14:paraId="5A260FAB" w14:textId="77777777" w:rsidR="00FF7F2F" w:rsidRDefault="00FF7F2F" w:rsidP="00911709">
      <w:pPr>
        <w:keepNext/>
        <w:keepLines/>
        <w:rPr>
          <w:rFonts w:ascii="Arial" w:hAnsi="Arial" w:cs="Arial"/>
        </w:rPr>
      </w:pPr>
      <w:r w:rsidRPr="00CF0738">
        <w:rPr>
          <w:rFonts w:ascii="Arial" w:hAnsi="Arial" w:cs="Arial"/>
        </w:rPr>
        <w:t>Texas SCORE MTP</w:t>
      </w:r>
    </w:p>
    <w:p w14:paraId="01340BE9" w14:textId="77777777" w:rsidR="00FF7F2F" w:rsidRDefault="00FF7F2F" w:rsidP="00911709">
      <w:pPr>
        <w:keepNext/>
        <w:keepLines/>
        <w:rPr>
          <w:rFonts w:ascii="Arial" w:hAnsi="Arial" w:cs="Arial"/>
        </w:rPr>
      </w:pPr>
    </w:p>
    <w:tbl>
      <w:tblPr>
        <w:tblW w:w="8020" w:type="dxa"/>
        <w:jc w:val="center"/>
        <w:tblLook w:val="04A0" w:firstRow="1" w:lastRow="0" w:firstColumn="1" w:lastColumn="0" w:noHBand="0" w:noVBand="1"/>
      </w:tblPr>
      <w:tblGrid>
        <w:gridCol w:w="2540"/>
        <w:gridCol w:w="2320"/>
        <w:gridCol w:w="1346"/>
        <w:gridCol w:w="1814"/>
      </w:tblGrid>
      <w:tr w:rsidR="008F0732" w:rsidRPr="008F0732" w14:paraId="5D02FD24"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B995A1"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AE0CDF"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6307B9D"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Reported Savings </w:t>
            </w:r>
          </w:p>
        </w:tc>
      </w:tr>
      <w:tr w:rsidR="008F0732" w:rsidRPr="008F0732" w14:paraId="2F3CD0C5" w14:textId="77777777" w:rsidTr="007B113C">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56B63661" w14:textId="77777777" w:rsidR="008F0732" w:rsidRPr="008F0732"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2750FB16" w14:textId="77777777" w:rsidR="008F0732" w:rsidRPr="008F0732"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68BD3848"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 </w:t>
            </w:r>
          </w:p>
        </w:tc>
        <w:tc>
          <w:tcPr>
            <w:tcW w:w="1814" w:type="dxa"/>
            <w:tcBorders>
              <w:top w:val="nil"/>
              <w:left w:val="nil"/>
              <w:bottom w:val="single" w:sz="8" w:space="0" w:color="auto"/>
              <w:right w:val="single" w:sz="8" w:space="0" w:color="auto"/>
            </w:tcBorders>
            <w:shd w:val="clear" w:color="auto" w:fill="auto"/>
            <w:noWrap/>
            <w:vAlign w:val="center"/>
            <w:hideMark/>
          </w:tcPr>
          <w:p w14:paraId="3E251253"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kWh </w:t>
            </w:r>
          </w:p>
        </w:tc>
      </w:tr>
      <w:tr w:rsidR="008F0732" w:rsidRPr="008F0732" w14:paraId="2FD4620C"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B21EE82" w14:textId="77777777" w:rsidR="008F0732" w:rsidRPr="008F0732" w:rsidRDefault="008F0732" w:rsidP="00911709">
            <w:pPr>
              <w:rPr>
                <w:rFonts w:ascii="Arial" w:hAnsi="Arial" w:cs="Arial"/>
                <w:b w:val="0"/>
                <w:color w:val="000000"/>
              </w:rPr>
            </w:pPr>
            <w:r w:rsidRPr="008F0732">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6FC7BC01" w14:textId="54467B3D" w:rsidR="008F0732" w:rsidRPr="008F0732" w:rsidRDefault="001227AE" w:rsidP="00911709">
            <w:pPr>
              <w:jc w:val="center"/>
              <w:rPr>
                <w:rFonts w:ascii="Arial" w:hAnsi="Arial" w:cs="Arial"/>
                <w:b w:val="0"/>
                <w:color w:val="000000"/>
              </w:rPr>
            </w:pPr>
            <w:r>
              <w:rPr>
                <w:rFonts w:ascii="Arial" w:hAnsi="Arial" w:cs="Arial"/>
                <w:b w:val="0"/>
                <w:color w:val="000000"/>
              </w:rPr>
              <w:t>108</w:t>
            </w:r>
          </w:p>
        </w:tc>
        <w:tc>
          <w:tcPr>
            <w:tcW w:w="1346" w:type="dxa"/>
            <w:tcBorders>
              <w:top w:val="nil"/>
              <w:left w:val="nil"/>
              <w:bottom w:val="single" w:sz="8" w:space="0" w:color="auto"/>
              <w:right w:val="single" w:sz="8" w:space="0" w:color="auto"/>
            </w:tcBorders>
            <w:shd w:val="clear" w:color="auto" w:fill="auto"/>
            <w:noWrap/>
            <w:vAlign w:val="center"/>
            <w:hideMark/>
          </w:tcPr>
          <w:p w14:paraId="5C8456D7" w14:textId="45523DE7" w:rsidR="008F0732" w:rsidRPr="008F0732" w:rsidRDefault="00254A2E" w:rsidP="00911709">
            <w:pPr>
              <w:jc w:val="right"/>
              <w:rPr>
                <w:rFonts w:ascii="Arial" w:hAnsi="Arial" w:cs="Arial"/>
                <w:b w:val="0"/>
                <w:color w:val="000000"/>
              </w:rPr>
            </w:pPr>
            <w:r>
              <w:rPr>
                <w:rFonts w:ascii="Arial" w:hAnsi="Arial" w:cs="Arial"/>
                <w:b w:val="0"/>
                <w:color w:val="000000"/>
              </w:rPr>
              <w:t>870.69</w:t>
            </w:r>
          </w:p>
        </w:tc>
        <w:tc>
          <w:tcPr>
            <w:tcW w:w="1814" w:type="dxa"/>
            <w:tcBorders>
              <w:top w:val="nil"/>
              <w:left w:val="nil"/>
              <w:bottom w:val="single" w:sz="8" w:space="0" w:color="auto"/>
              <w:right w:val="single" w:sz="8" w:space="0" w:color="auto"/>
            </w:tcBorders>
            <w:shd w:val="clear" w:color="auto" w:fill="auto"/>
            <w:noWrap/>
            <w:vAlign w:val="center"/>
            <w:hideMark/>
          </w:tcPr>
          <w:p w14:paraId="5C046646" w14:textId="3520429A" w:rsidR="008F0732" w:rsidRPr="008F0732" w:rsidRDefault="001227AE" w:rsidP="00AD70FB">
            <w:pPr>
              <w:jc w:val="right"/>
              <w:rPr>
                <w:rFonts w:ascii="Arial" w:hAnsi="Arial" w:cs="Arial"/>
                <w:b w:val="0"/>
                <w:color w:val="000000"/>
              </w:rPr>
            </w:pPr>
            <w:r>
              <w:rPr>
                <w:rFonts w:ascii="Arial" w:hAnsi="Arial" w:cs="Arial"/>
                <w:b w:val="0"/>
                <w:color w:val="000000"/>
              </w:rPr>
              <w:t>4,401,389</w:t>
            </w:r>
          </w:p>
        </w:tc>
      </w:tr>
      <w:tr w:rsidR="003240A8" w:rsidRPr="008F0732" w14:paraId="53879D34"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01C23F4E" w14:textId="77777777" w:rsidR="003240A8" w:rsidRPr="008F0732" w:rsidRDefault="003240A8" w:rsidP="00911709">
            <w:pPr>
              <w:rPr>
                <w:rFonts w:ascii="Arial" w:hAnsi="Arial" w:cs="Arial"/>
                <w:b w:val="0"/>
                <w:color w:val="000000"/>
              </w:rPr>
            </w:pPr>
            <w:r w:rsidRPr="008F0732">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140337C1" w14:textId="30C0D534" w:rsidR="003240A8" w:rsidRPr="008F0732" w:rsidRDefault="001227AE" w:rsidP="00911709">
            <w:pPr>
              <w:jc w:val="center"/>
              <w:rPr>
                <w:rFonts w:ascii="Arial" w:hAnsi="Arial" w:cs="Arial"/>
                <w:b w:val="0"/>
                <w:color w:val="000000"/>
              </w:rPr>
            </w:pPr>
            <w:r>
              <w:rPr>
                <w:rFonts w:ascii="Arial" w:hAnsi="Arial" w:cs="Arial"/>
                <w:b w:val="0"/>
                <w:color w:val="000000"/>
              </w:rPr>
              <w:t>108</w:t>
            </w:r>
          </w:p>
        </w:tc>
        <w:tc>
          <w:tcPr>
            <w:tcW w:w="1346" w:type="dxa"/>
            <w:tcBorders>
              <w:top w:val="nil"/>
              <w:left w:val="nil"/>
              <w:bottom w:val="single" w:sz="8" w:space="0" w:color="auto"/>
              <w:right w:val="single" w:sz="8" w:space="0" w:color="auto"/>
            </w:tcBorders>
            <w:shd w:val="clear" w:color="auto" w:fill="auto"/>
            <w:noWrap/>
            <w:vAlign w:val="center"/>
            <w:hideMark/>
          </w:tcPr>
          <w:p w14:paraId="5A7EA53B" w14:textId="2EE9616F" w:rsidR="003240A8" w:rsidRPr="008F0732" w:rsidRDefault="00254A2E" w:rsidP="00911709">
            <w:pPr>
              <w:jc w:val="right"/>
              <w:rPr>
                <w:rFonts w:ascii="Arial" w:hAnsi="Arial" w:cs="Arial"/>
                <w:b w:val="0"/>
                <w:color w:val="000000"/>
              </w:rPr>
            </w:pPr>
            <w:r>
              <w:rPr>
                <w:rFonts w:ascii="Arial" w:hAnsi="Arial" w:cs="Arial"/>
                <w:b w:val="0"/>
                <w:color w:val="000000"/>
              </w:rPr>
              <w:t>870.69</w:t>
            </w:r>
          </w:p>
        </w:tc>
        <w:tc>
          <w:tcPr>
            <w:tcW w:w="1814" w:type="dxa"/>
            <w:tcBorders>
              <w:top w:val="nil"/>
              <w:left w:val="nil"/>
              <w:bottom w:val="single" w:sz="8" w:space="0" w:color="auto"/>
              <w:right w:val="single" w:sz="8" w:space="0" w:color="auto"/>
            </w:tcBorders>
            <w:shd w:val="clear" w:color="auto" w:fill="auto"/>
            <w:noWrap/>
            <w:vAlign w:val="center"/>
            <w:hideMark/>
          </w:tcPr>
          <w:p w14:paraId="4795A92A" w14:textId="386068DD" w:rsidR="003240A8" w:rsidRPr="008F0732" w:rsidRDefault="001227AE" w:rsidP="00AD70FB">
            <w:pPr>
              <w:jc w:val="right"/>
              <w:rPr>
                <w:rFonts w:ascii="Arial" w:hAnsi="Arial" w:cs="Arial"/>
                <w:b w:val="0"/>
                <w:color w:val="000000"/>
              </w:rPr>
            </w:pPr>
            <w:r>
              <w:rPr>
                <w:rFonts w:ascii="Arial" w:hAnsi="Arial" w:cs="Arial"/>
                <w:b w:val="0"/>
                <w:color w:val="000000"/>
              </w:rPr>
              <w:t>4,401,389</w:t>
            </w:r>
          </w:p>
        </w:tc>
      </w:tr>
    </w:tbl>
    <w:p w14:paraId="14A6B1C7" w14:textId="77777777" w:rsidR="00FF7F2F" w:rsidRPr="00CF0738" w:rsidRDefault="00FF7F2F" w:rsidP="00911709">
      <w:pPr>
        <w:rPr>
          <w:rFonts w:ascii="Arial" w:hAnsi="Arial" w:cs="Arial"/>
        </w:rPr>
      </w:pPr>
    </w:p>
    <w:p w14:paraId="59FEE99F" w14:textId="77777777" w:rsidR="00F67C4E" w:rsidRDefault="00F67C4E" w:rsidP="00911709">
      <w:pPr>
        <w:keepNext/>
        <w:rPr>
          <w:rFonts w:ascii="Arial" w:hAnsi="Arial" w:cs="Arial"/>
        </w:rPr>
      </w:pPr>
      <w:r w:rsidRPr="00CF0738">
        <w:rPr>
          <w:rFonts w:ascii="Arial" w:hAnsi="Arial" w:cs="Arial"/>
        </w:rPr>
        <w:t>Load Management SOP</w:t>
      </w:r>
    </w:p>
    <w:p w14:paraId="235559CC" w14:textId="77777777" w:rsidR="00756C77" w:rsidRDefault="00756C77" w:rsidP="00911709">
      <w:pPr>
        <w:keepNext/>
        <w:rPr>
          <w:rFonts w:ascii="Arial" w:hAnsi="Arial" w:cs="Arial"/>
        </w:rPr>
      </w:pPr>
    </w:p>
    <w:tbl>
      <w:tblPr>
        <w:tblW w:w="8020" w:type="dxa"/>
        <w:jc w:val="center"/>
        <w:tblLook w:val="04A0" w:firstRow="1" w:lastRow="0" w:firstColumn="1" w:lastColumn="0" w:noHBand="0" w:noVBand="1"/>
      </w:tblPr>
      <w:tblGrid>
        <w:gridCol w:w="2540"/>
        <w:gridCol w:w="2320"/>
        <w:gridCol w:w="1346"/>
        <w:gridCol w:w="1814"/>
      </w:tblGrid>
      <w:tr w:rsidR="008F0732" w:rsidRPr="008F0732" w14:paraId="59C977D9"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62A334"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1BCF4B"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8EC3C13"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Reported Savings </w:t>
            </w:r>
          </w:p>
        </w:tc>
      </w:tr>
      <w:tr w:rsidR="008F0732" w:rsidRPr="008F0732" w14:paraId="545DC782" w14:textId="77777777" w:rsidTr="007B113C">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21079C98" w14:textId="77777777" w:rsidR="008F0732" w:rsidRPr="00420243"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3C0F481D" w14:textId="77777777" w:rsidR="008F0732" w:rsidRPr="00420243"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314E52A8"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 </w:t>
            </w:r>
          </w:p>
        </w:tc>
        <w:tc>
          <w:tcPr>
            <w:tcW w:w="1814" w:type="dxa"/>
            <w:tcBorders>
              <w:top w:val="nil"/>
              <w:left w:val="nil"/>
              <w:bottom w:val="single" w:sz="8" w:space="0" w:color="auto"/>
              <w:right w:val="single" w:sz="8" w:space="0" w:color="auto"/>
            </w:tcBorders>
            <w:shd w:val="clear" w:color="auto" w:fill="auto"/>
            <w:noWrap/>
            <w:vAlign w:val="center"/>
            <w:hideMark/>
          </w:tcPr>
          <w:p w14:paraId="24C5D3DF"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kWh </w:t>
            </w:r>
          </w:p>
        </w:tc>
      </w:tr>
      <w:tr w:rsidR="008F0732" w:rsidRPr="008F0732" w14:paraId="6FF2A433"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2CBBBA97" w14:textId="77777777" w:rsidR="008F0732" w:rsidRPr="00420243" w:rsidRDefault="008F0732" w:rsidP="00911709">
            <w:pPr>
              <w:rPr>
                <w:rFonts w:ascii="Arial" w:hAnsi="Arial" w:cs="Arial"/>
                <w:b w:val="0"/>
                <w:color w:val="000000"/>
              </w:rPr>
            </w:pPr>
            <w:r w:rsidRPr="00420243">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38F21011" w14:textId="14FB28D9" w:rsidR="008F0732" w:rsidRPr="00420243" w:rsidRDefault="00420243" w:rsidP="00911709">
            <w:pPr>
              <w:jc w:val="center"/>
              <w:rPr>
                <w:rFonts w:ascii="Arial" w:hAnsi="Arial" w:cs="Arial"/>
                <w:b w:val="0"/>
                <w:color w:val="000000"/>
              </w:rPr>
            </w:pPr>
            <w:r>
              <w:rPr>
                <w:rFonts w:ascii="Arial" w:hAnsi="Arial" w:cs="Arial"/>
                <w:b w:val="0"/>
                <w:color w:val="000000"/>
              </w:rPr>
              <w:t>10</w:t>
            </w:r>
          </w:p>
        </w:tc>
        <w:tc>
          <w:tcPr>
            <w:tcW w:w="1346" w:type="dxa"/>
            <w:tcBorders>
              <w:top w:val="nil"/>
              <w:left w:val="nil"/>
              <w:bottom w:val="single" w:sz="8" w:space="0" w:color="auto"/>
              <w:right w:val="single" w:sz="8" w:space="0" w:color="auto"/>
            </w:tcBorders>
            <w:shd w:val="clear" w:color="auto" w:fill="auto"/>
            <w:noWrap/>
            <w:vAlign w:val="center"/>
            <w:hideMark/>
          </w:tcPr>
          <w:p w14:paraId="395F3484" w14:textId="64490FDA" w:rsidR="008F0732" w:rsidRPr="00420243" w:rsidRDefault="00420243" w:rsidP="00E655BA">
            <w:pPr>
              <w:jc w:val="right"/>
              <w:rPr>
                <w:rFonts w:ascii="Arial" w:hAnsi="Arial" w:cs="Arial"/>
                <w:b w:val="0"/>
                <w:color w:val="000000"/>
              </w:rPr>
            </w:pPr>
            <w:r>
              <w:rPr>
                <w:rFonts w:ascii="Arial" w:hAnsi="Arial" w:cs="Arial"/>
                <w:b w:val="0"/>
                <w:color w:val="000000"/>
              </w:rPr>
              <w:t>9,678.89</w:t>
            </w:r>
          </w:p>
        </w:tc>
        <w:tc>
          <w:tcPr>
            <w:tcW w:w="1814" w:type="dxa"/>
            <w:tcBorders>
              <w:top w:val="nil"/>
              <w:left w:val="nil"/>
              <w:bottom w:val="single" w:sz="8" w:space="0" w:color="auto"/>
              <w:right w:val="single" w:sz="8" w:space="0" w:color="auto"/>
            </w:tcBorders>
            <w:shd w:val="clear" w:color="auto" w:fill="auto"/>
            <w:noWrap/>
            <w:vAlign w:val="center"/>
            <w:hideMark/>
          </w:tcPr>
          <w:p w14:paraId="146E8BB7" w14:textId="43CCEBEA" w:rsidR="008F0732" w:rsidRPr="00420243" w:rsidRDefault="00420243" w:rsidP="00911709">
            <w:pPr>
              <w:jc w:val="right"/>
              <w:rPr>
                <w:rFonts w:ascii="Arial" w:hAnsi="Arial" w:cs="Arial"/>
                <w:b w:val="0"/>
                <w:color w:val="000000"/>
              </w:rPr>
            </w:pPr>
            <w:r>
              <w:rPr>
                <w:rFonts w:ascii="Arial" w:hAnsi="Arial" w:cs="Arial"/>
                <w:b w:val="0"/>
                <w:color w:val="000000"/>
              </w:rPr>
              <w:t>24,993</w:t>
            </w:r>
          </w:p>
        </w:tc>
      </w:tr>
      <w:tr w:rsidR="003240A8" w:rsidRPr="008F0732" w14:paraId="39315559"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A92259F" w14:textId="77777777" w:rsidR="003240A8" w:rsidRPr="00420243" w:rsidRDefault="003240A8" w:rsidP="00911709">
            <w:pPr>
              <w:rPr>
                <w:rFonts w:ascii="Arial" w:hAnsi="Arial" w:cs="Arial"/>
                <w:b w:val="0"/>
                <w:color w:val="000000"/>
              </w:rPr>
            </w:pPr>
            <w:r w:rsidRPr="00420243">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63BA3095" w14:textId="728FBA54" w:rsidR="003240A8" w:rsidRPr="00420243" w:rsidRDefault="00420243" w:rsidP="00911709">
            <w:pPr>
              <w:jc w:val="center"/>
              <w:rPr>
                <w:rFonts w:ascii="Arial" w:hAnsi="Arial" w:cs="Arial"/>
                <w:b w:val="0"/>
                <w:color w:val="000000"/>
              </w:rPr>
            </w:pPr>
            <w:r>
              <w:rPr>
                <w:rFonts w:ascii="Arial" w:hAnsi="Arial" w:cs="Arial"/>
                <w:b w:val="0"/>
                <w:color w:val="000000"/>
              </w:rPr>
              <w:t>10</w:t>
            </w:r>
          </w:p>
        </w:tc>
        <w:tc>
          <w:tcPr>
            <w:tcW w:w="1346" w:type="dxa"/>
            <w:tcBorders>
              <w:top w:val="nil"/>
              <w:left w:val="nil"/>
              <w:bottom w:val="single" w:sz="8" w:space="0" w:color="auto"/>
              <w:right w:val="single" w:sz="8" w:space="0" w:color="auto"/>
            </w:tcBorders>
            <w:shd w:val="clear" w:color="auto" w:fill="auto"/>
            <w:noWrap/>
            <w:vAlign w:val="center"/>
            <w:hideMark/>
          </w:tcPr>
          <w:p w14:paraId="78E6AC93" w14:textId="2FE913CB" w:rsidR="003240A8" w:rsidRPr="00420243" w:rsidRDefault="00420243" w:rsidP="00E655BA">
            <w:pPr>
              <w:jc w:val="right"/>
              <w:rPr>
                <w:rFonts w:ascii="Arial" w:hAnsi="Arial" w:cs="Arial"/>
                <w:b w:val="0"/>
                <w:color w:val="000000"/>
              </w:rPr>
            </w:pPr>
            <w:r>
              <w:rPr>
                <w:rFonts w:ascii="Arial" w:hAnsi="Arial" w:cs="Arial"/>
                <w:b w:val="0"/>
                <w:color w:val="000000"/>
              </w:rPr>
              <w:t>9,678.89</w:t>
            </w:r>
          </w:p>
        </w:tc>
        <w:tc>
          <w:tcPr>
            <w:tcW w:w="1814" w:type="dxa"/>
            <w:tcBorders>
              <w:top w:val="nil"/>
              <w:left w:val="nil"/>
              <w:bottom w:val="single" w:sz="8" w:space="0" w:color="auto"/>
              <w:right w:val="single" w:sz="8" w:space="0" w:color="auto"/>
            </w:tcBorders>
            <w:shd w:val="clear" w:color="auto" w:fill="auto"/>
            <w:noWrap/>
            <w:vAlign w:val="center"/>
            <w:hideMark/>
          </w:tcPr>
          <w:p w14:paraId="44778B8C" w14:textId="734D34A6" w:rsidR="003240A8" w:rsidRPr="00420243" w:rsidRDefault="00420243" w:rsidP="00911709">
            <w:pPr>
              <w:jc w:val="right"/>
              <w:rPr>
                <w:rFonts w:ascii="Arial" w:hAnsi="Arial" w:cs="Arial"/>
                <w:b w:val="0"/>
                <w:color w:val="000000"/>
              </w:rPr>
            </w:pPr>
            <w:r>
              <w:rPr>
                <w:rFonts w:ascii="Arial" w:hAnsi="Arial" w:cs="Arial"/>
                <w:b w:val="0"/>
                <w:color w:val="000000"/>
              </w:rPr>
              <w:t>24,993</w:t>
            </w:r>
          </w:p>
        </w:tc>
      </w:tr>
    </w:tbl>
    <w:p w14:paraId="34A408DB" w14:textId="77777777" w:rsidR="00F67C4E" w:rsidRPr="00756C77" w:rsidRDefault="00F67C4E" w:rsidP="00911709">
      <w:pPr>
        <w:rPr>
          <w:rFonts w:ascii="Arial" w:hAnsi="Arial" w:cs="Arial"/>
          <w:b w:val="0"/>
        </w:rPr>
      </w:pPr>
    </w:p>
    <w:p w14:paraId="53F92AF4" w14:textId="77777777" w:rsidR="00FF7F2F" w:rsidRPr="008F0732" w:rsidRDefault="00FF7F2F" w:rsidP="00911709">
      <w:pPr>
        <w:keepNext/>
        <w:keepLines/>
        <w:rPr>
          <w:rFonts w:ascii="Arial" w:hAnsi="Arial" w:cs="Arial"/>
          <w:sz w:val="18"/>
          <w:szCs w:val="18"/>
        </w:rPr>
      </w:pPr>
    </w:p>
    <w:p w14:paraId="6422E4AE" w14:textId="77777777" w:rsidR="00FF7F2F" w:rsidRDefault="00FF7F2F" w:rsidP="00911709">
      <w:pPr>
        <w:rPr>
          <w:rFonts w:ascii="Arial" w:hAnsi="Arial" w:cs="Arial"/>
        </w:rPr>
      </w:pPr>
    </w:p>
    <w:p w14:paraId="58233302" w14:textId="77777777" w:rsidR="004757EA" w:rsidRDefault="004757EA">
      <w:pPr>
        <w:rPr>
          <w:rFonts w:ascii="Arial" w:hAnsi="Arial" w:cs="Arial"/>
        </w:rPr>
      </w:pPr>
      <w:r>
        <w:rPr>
          <w:rFonts w:ascii="Arial" w:hAnsi="Arial" w:cs="Arial"/>
        </w:rPr>
        <w:br w:type="page"/>
      </w:r>
    </w:p>
    <w:p w14:paraId="29ABE52B" w14:textId="27649134" w:rsidR="00F67C4E" w:rsidRDefault="00F67C4E" w:rsidP="00911709">
      <w:pPr>
        <w:rPr>
          <w:rFonts w:ascii="Arial" w:hAnsi="Arial" w:cs="Arial"/>
        </w:rPr>
      </w:pPr>
      <w:r w:rsidRPr="00CF0738">
        <w:rPr>
          <w:rFonts w:ascii="Arial" w:hAnsi="Arial" w:cs="Arial"/>
        </w:rPr>
        <w:lastRenderedPageBreak/>
        <w:t xml:space="preserve">Residential </w:t>
      </w:r>
      <w:r w:rsidR="00EC29B2" w:rsidRPr="00CF0738">
        <w:rPr>
          <w:rFonts w:ascii="Arial" w:hAnsi="Arial" w:cs="Arial"/>
        </w:rPr>
        <w:t>Solutions MTP</w:t>
      </w:r>
    </w:p>
    <w:p w14:paraId="4283630F" w14:textId="77777777" w:rsidR="00756C77" w:rsidRPr="008F0732" w:rsidRDefault="00756C77" w:rsidP="00911709">
      <w:pPr>
        <w:rPr>
          <w:rFonts w:ascii="Arial" w:hAnsi="Arial" w:cs="Arial"/>
          <w:sz w:val="18"/>
          <w:szCs w:val="18"/>
        </w:rPr>
      </w:pPr>
    </w:p>
    <w:tbl>
      <w:tblPr>
        <w:tblW w:w="8020" w:type="dxa"/>
        <w:jc w:val="center"/>
        <w:tblLook w:val="04A0" w:firstRow="1" w:lastRow="0" w:firstColumn="1" w:lastColumn="0" w:noHBand="0" w:noVBand="1"/>
      </w:tblPr>
      <w:tblGrid>
        <w:gridCol w:w="2540"/>
        <w:gridCol w:w="2320"/>
        <w:gridCol w:w="1346"/>
        <w:gridCol w:w="1814"/>
      </w:tblGrid>
      <w:tr w:rsidR="008F0732" w:rsidRPr="008F0732" w14:paraId="678332F1"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7C1861"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C02A96"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2EA52B"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Reported Savings </w:t>
            </w:r>
          </w:p>
        </w:tc>
      </w:tr>
      <w:tr w:rsidR="008F0732" w:rsidRPr="008F0732" w14:paraId="35BA6521" w14:textId="77777777" w:rsidTr="007B113C">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2F463CF7" w14:textId="77777777" w:rsidR="008F0732" w:rsidRPr="008F0732"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349D9B69" w14:textId="77777777" w:rsidR="008F0732" w:rsidRPr="008F0732" w:rsidRDefault="008F0732" w:rsidP="00911709">
            <w:pPr>
              <w:rPr>
                <w:rFonts w:ascii="Arial" w:hAnsi="Arial" w:cs="Arial"/>
                <w:bCs/>
                <w:color w:val="000000"/>
              </w:rPr>
            </w:pPr>
          </w:p>
        </w:tc>
        <w:tc>
          <w:tcPr>
            <w:tcW w:w="1346" w:type="dxa"/>
            <w:tcBorders>
              <w:top w:val="nil"/>
              <w:left w:val="nil"/>
              <w:bottom w:val="single" w:sz="8" w:space="0" w:color="auto"/>
              <w:right w:val="single" w:sz="8" w:space="0" w:color="auto"/>
            </w:tcBorders>
            <w:shd w:val="clear" w:color="auto" w:fill="auto"/>
            <w:noWrap/>
            <w:vAlign w:val="center"/>
            <w:hideMark/>
          </w:tcPr>
          <w:p w14:paraId="1D5FD028"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 </w:t>
            </w:r>
          </w:p>
        </w:tc>
        <w:tc>
          <w:tcPr>
            <w:tcW w:w="1814" w:type="dxa"/>
            <w:tcBorders>
              <w:top w:val="nil"/>
              <w:left w:val="nil"/>
              <w:bottom w:val="single" w:sz="8" w:space="0" w:color="auto"/>
              <w:right w:val="single" w:sz="8" w:space="0" w:color="auto"/>
            </w:tcBorders>
            <w:shd w:val="clear" w:color="auto" w:fill="auto"/>
            <w:noWrap/>
            <w:vAlign w:val="center"/>
            <w:hideMark/>
          </w:tcPr>
          <w:p w14:paraId="7FC14D2B"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kWh </w:t>
            </w:r>
          </w:p>
        </w:tc>
      </w:tr>
      <w:tr w:rsidR="008F0732" w:rsidRPr="008F0732" w14:paraId="3812C8D3"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AC67C3A" w14:textId="77777777" w:rsidR="008F0732" w:rsidRPr="008F0732" w:rsidRDefault="008F0732" w:rsidP="00911709">
            <w:pPr>
              <w:rPr>
                <w:rFonts w:ascii="Arial" w:hAnsi="Arial" w:cs="Arial"/>
                <w:b w:val="0"/>
                <w:color w:val="000000"/>
              </w:rPr>
            </w:pPr>
            <w:r w:rsidRPr="008F0732">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3B98A3B9" w14:textId="2CC56AA9" w:rsidR="008F0732" w:rsidRPr="008F0732" w:rsidRDefault="001227AE" w:rsidP="00911709">
            <w:pPr>
              <w:jc w:val="center"/>
              <w:rPr>
                <w:rFonts w:ascii="Arial" w:hAnsi="Arial" w:cs="Arial"/>
                <w:b w:val="0"/>
                <w:color w:val="000000"/>
              </w:rPr>
            </w:pPr>
            <w:r>
              <w:rPr>
                <w:rFonts w:ascii="Arial" w:hAnsi="Arial" w:cs="Arial"/>
                <w:b w:val="0"/>
                <w:color w:val="000000"/>
              </w:rPr>
              <w:t>3,140</w:t>
            </w:r>
          </w:p>
        </w:tc>
        <w:tc>
          <w:tcPr>
            <w:tcW w:w="1346" w:type="dxa"/>
            <w:tcBorders>
              <w:top w:val="nil"/>
              <w:left w:val="nil"/>
              <w:bottom w:val="single" w:sz="8" w:space="0" w:color="auto"/>
              <w:right w:val="single" w:sz="8" w:space="0" w:color="auto"/>
            </w:tcBorders>
            <w:shd w:val="clear" w:color="auto" w:fill="auto"/>
            <w:noWrap/>
            <w:vAlign w:val="center"/>
            <w:hideMark/>
          </w:tcPr>
          <w:p w14:paraId="69CDC433" w14:textId="54846384" w:rsidR="008F0732" w:rsidRPr="008F0732" w:rsidRDefault="00254A2E" w:rsidP="00AD70FB">
            <w:pPr>
              <w:jc w:val="right"/>
              <w:rPr>
                <w:rFonts w:ascii="Arial" w:hAnsi="Arial" w:cs="Arial"/>
                <w:b w:val="0"/>
                <w:color w:val="000000"/>
              </w:rPr>
            </w:pPr>
            <w:r>
              <w:rPr>
                <w:rFonts w:ascii="Arial" w:hAnsi="Arial" w:cs="Arial"/>
                <w:b w:val="0"/>
                <w:color w:val="000000"/>
              </w:rPr>
              <w:t>429.01</w:t>
            </w:r>
          </w:p>
        </w:tc>
        <w:tc>
          <w:tcPr>
            <w:tcW w:w="1814" w:type="dxa"/>
            <w:tcBorders>
              <w:top w:val="nil"/>
              <w:left w:val="nil"/>
              <w:bottom w:val="single" w:sz="8" w:space="0" w:color="auto"/>
              <w:right w:val="single" w:sz="8" w:space="0" w:color="auto"/>
            </w:tcBorders>
            <w:shd w:val="clear" w:color="auto" w:fill="auto"/>
            <w:noWrap/>
            <w:vAlign w:val="center"/>
            <w:hideMark/>
          </w:tcPr>
          <w:p w14:paraId="15ECCA1F" w14:textId="089207CD" w:rsidR="008F0732" w:rsidRPr="008F0732" w:rsidRDefault="001227AE" w:rsidP="00911709">
            <w:pPr>
              <w:jc w:val="right"/>
              <w:rPr>
                <w:rFonts w:ascii="Arial" w:hAnsi="Arial" w:cs="Arial"/>
                <w:b w:val="0"/>
                <w:color w:val="000000"/>
              </w:rPr>
            </w:pPr>
            <w:r>
              <w:rPr>
                <w:rFonts w:ascii="Arial" w:hAnsi="Arial" w:cs="Arial"/>
                <w:b w:val="0"/>
                <w:color w:val="000000"/>
              </w:rPr>
              <w:t>870,295</w:t>
            </w:r>
          </w:p>
        </w:tc>
      </w:tr>
      <w:tr w:rsidR="001227AE" w:rsidRPr="008F0732" w14:paraId="1B34E346"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tcPr>
          <w:p w14:paraId="0572EDF4" w14:textId="56FFA342" w:rsidR="001227AE" w:rsidRPr="008F0732" w:rsidRDefault="001227AE" w:rsidP="00911709">
            <w:pPr>
              <w:rPr>
                <w:rFonts w:ascii="Arial" w:hAnsi="Arial" w:cs="Arial"/>
                <w:b w:val="0"/>
                <w:color w:val="000000"/>
              </w:rPr>
            </w:pPr>
            <w:r>
              <w:rPr>
                <w:rFonts w:ascii="Arial" w:hAnsi="Arial" w:cs="Arial"/>
                <w:b w:val="0"/>
                <w:color w:val="000000"/>
              </w:rPr>
              <w:t>Hudspeth County</w:t>
            </w:r>
          </w:p>
        </w:tc>
        <w:tc>
          <w:tcPr>
            <w:tcW w:w="2320" w:type="dxa"/>
            <w:tcBorders>
              <w:top w:val="nil"/>
              <w:left w:val="nil"/>
              <w:bottom w:val="single" w:sz="8" w:space="0" w:color="auto"/>
              <w:right w:val="single" w:sz="8" w:space="0" w:color="auto"/>
            </w:tcBorders>
            <w:shd w:val="clear" w:color="auto" w:fill="auto"/>
            <w:noWrap/>
            <w:vAlign w:val="center"/>
          </w:tcPr>
          <w:p w14:paraId="251F5F5E" w14:textId="2C99AD49" w:rsidR="001227AE" w:rsidRDefault="001227AE" w:rsidP="00911709">
            <w:pPr>
              <w:jc w:val="center"/>
              <w:rPr>
                <w:rFonts w:ascii="Arial" w:hAnsi="Arial" w:cs="Arial"/>
                <w:b w:val="0"/>
                <w:color w:val="000000"/>
              </w:rPr>
            </w:pPr>
            <w:r>
              <w:rPr>
                <w:rFonts w:ascii="Arial" w:hAnsi="Arial" w:cs="Arial"/>
                <w:b w:val="0"/>
                <w:color w:val="000000"/>
              </w:rPr>
              <w:t>1</w:t>
            </w:r>
          </w:p>
        </w:tc>
        <w:tc>
          <w:tcPr>
            <w:tcW w:w="1346" w:type="dxa"/>
            <w:tcBorders>
              <w:top w:val="nil"/>
              <w:left w:val="nil"/>
              <w:bottom w:val="single" w:sz="8" w:space="0" w:color="auto"/>
              <w:right w:val="single" w:sz="8" w:space="0" w:color="auto"/>
            </w:tcBorders>
            <w:shd w:val="clear" w:color="auto" w:fill="auto"/>
            <w:noWrap/>
            <w:vAlign w:val="center"/>
          </w:tcPr>
          <w:p w14:paraId="3F9A55B1" w14:textId="75EAAFB8" w:rsidR="001227AE" w:rsidRDefault="001227AE" w:rsidP="00AD70FB">
            <w:pPr>
              <w:jc w:val="right"/>
              <w:rPr>
                <w:rFonts w:ascii="Arial" w:hAnsi="Arial" w:cs="Arial"/>
                <w:b w:val="0"/>
                <w:color w:val="000000"/>
              </w:rPr>
            </w:pPr>
            <w:r>
              <w:rPr>
                <w:rFonts w:ascii="Arial" w:hAnsi="Arial" w:cs="Arial"/>
                <w:b w:val="0"/>
                <w:color w:val="000000"/>
              </w:rPr>
              <w:t>0</w:t>
            </w:r>
            <w:r w:rsidR="00254A2E">
              <w:rPr>
                <w:rFonts w:ascii="Arial" w:hAnsi="Arial" w:cs="Arial"/>
                <w:b w:val="0"/>
                <w:color w:val="000000"/>
              </w:rPr>
              <w:t>.36</w:t>
            </w:r>
          </w:p>
        </w:tc>
        <w:tc>
          <w:tcPr>
            <w:tcW w:w="1814" w:type="dxa"/>
            <w:tcBorders>
              <w:top w:val="nil"/>
              <w:left w:val="nil"/>
              <w:bottom w:val="single" w:sz="8" w:space="0" w:color="auto"/>
              <w:right w:val="single" w:sz="8" w:space="0" w:color="auto"/>
            </w:tcBorders>
            <w:shd w:val="clear" w:color="auto" w:fill="auto"/>
            <w:noWrap/>
            <w:vAlign w:val="center"/>
          </w:tcPr>
          <w:p w14:paraId="1ED63827" w14:textId="6541F692" w:rsidR="001227AE" w:rsidRDefault="001227AE" w:rsidP="00911709">
            <w:pPr>
              <w:jc w:val="right"/>
              <w:rPr>
                <w:rFonts w:ascii="Arial" w:hAnsi="Arial" w:cs="Arial"/>
                <w:b w:val="0"/>
                <w:color w:val="000000"/>
              </w:rPr>
            </w:pPr>
            <w:r>
              <w:rPr>
                <w:rFonts w:ascii="Arial" w:hAnsi="Arial" w:cs="Arial"/>
                <w:b w:val="0"/>
                <w:color w:val="000000"/>
              </w:rPr>
              <w:t>556</w:t>
            </w:r>
          </w:p>
        </w:tc>
      </w:tr>
      <w:tr w:rsidR="003240A8" w:rsidRPr="008F0732" w14:paraId="1C64C464"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3AF1E05" w14:textId="77777777" w:rsidR="003240A8" w:rsidRPr="008F0732" w:rsidRDefault="003240A8" w:rsidP="00911709">
            <w:pPr>
              <w:rPr>
                <w:rFonts w:ascii="Arial" w:hAnsi="Arial" w:cs="Arial"/>
                <w:b w:val="0"/>
                <w:color w:val="000000"/>
              </w:rPr>
            </w:pPr>
            <w:r w:rsidRPr="008F0732">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301F77B7" w14:textId="077BADD4" w:rsidR="003240A8" w:rsidRPr="008F0732" w:rsidRDefault="001227AE" w:rsidP="00911709">
            <w:pPr>
              <w:jc w:val="center"/>
              <w:rPr>
                <w:rFonts w:ascii="Arial" w:hAnsi="Arial" w:cs="Arial"/>
                <w:b w:val="0"/>
                <w:color w:val="000000"/>
              </w:rPr>
            </w:pPr>
            <w:r>
              <w:rPr>
                <w:rFonts w:ascii="Arial" w:hAnsi="Arial" w:cs="Arial"/>
                <w:b w:val="0"/>
                <w:color w:val="000000"/>
              </w:rPr>
              <w:t>3,141</w:t>
            </w:r>
          </w:p>
        </w:tc>
        <w:tc>
          <w:tcPr>
            <w:tcW w:w="1346" w:type="dxa"/>
            <w:tcBorders>
              <w:top w:val="nil"/>
              <w:left w:val="nil"/>
              <w:bottom w:val="single" w:sz="8" w:space="0" w:color="auto"/>
              <w:right w:val="single" w:sz="8" w:space="0" w:color="auto"/>
            </w:tcBorders>
            <w:shd w:val="clear" w:color="auto" w:fill="auto"/>
            <w:noWrap/>
            <w:vAlign w:val="center"/>
            <w:hideMark/>
          </w:tcPr>
          <w:p w14:paraId="42406F69" w14:textId="47640DD8" w:rsidR="003240A8" w:rsidRPr="008F0732" w:rsidRDefault="001227AE" w:rsidP="00AD70FB">
            <w:pPr>
              <w:jc w:val="right"/>
              <w:rPr>
                <w:rFonts w:ascii="Arial" w:hAnsi="Arial" w:cs="Arial"/>
                <w:b w:val="0"/>
                <w:color w:val="000000"/>
              </w:rPr>
            </w:pPr>
            <w:r>
              <w:rPr>
                <w:rFonts w:ascii="Arial" w:hAnsi="Arial" w:cs="Arial"/>
                <w:b w:val="0"/>
                <w:color w:val="000000"/>
              </w:rPr>
              <w:t>429</w:t>
            </w:r>
            <w:r w:rsidR="00254A2E">
              <w:rPr>
                <w:rFonts w:ascii="Arial" w:hAnsi="Arial" w:cs="Arial"/>
                <w:b w:val="0"/>
                <w:color w:val="000000"/>
              </w:rPr>
              <w:t>.37</w:t>
            </w:r>
          </w:p>
        </w:tc>
        <w:tc>
          <w:tcPr>
            <w:tcW w:w="1814" w:type="dxa"/>
            <w:tcBorders>
              <w:top w:val="nil"/>
              <w:left w:val="nil"/>
              <w:bottom w:val="single" w:sz="8" w:space="0" w:color="auto"/>
              <w:right w:val="single" w:sz="8" w:space="0" w:color="auto"/>
            </w:tcBorders>
            <w:shd w:val="clear" w:color="auto" w:fill="auto"/>
            <w:noWrap/>
            <w:vAlign w:val="center"/>
            <w:hideMark/>
          </w:tcPr>
          <w:p w14:paraId="3CFEF75F" w14:textId="60DDC736" w:rsidR="003240A8" w:rsidRPr="008F0732" w:rsidRDefault="001227AE" w:rsidP="00911709">
            <w:pPr>
              <w:jc w:val="right"/>
              <w:rPr>
                <w:rFonts w:ascii="Arial" w:hAnsi="Arial" w:cs="Arial"/>
                <w:b w:val="0"/>
                <w:color w:val="000000"/>
              </w:rPr>
            </w:pPr>
            <w:r>
              <w:rPr>
                <w:rFonts w:ascii="Arial" w:hAnsi="Arial" w:cs="Arial"/>
                <w:b w:val="0"/>
                <w:color w:val="000000"/>
              </w:rPr>
              <w:t>870,851</w:t>
            </w:r>
          </w:p>
        </w:tc>
      </w:tr>
    </w:tbl>
    <w:p w14:paraId="60CEF1BD" w14:textId="77777777" w:rsidR="00756C77" w:rsidRPr="00756C77" w:rsidRDefault="00756C77" w:rsidP="00911709">
      <w:pPr>
        <w:rPr>
          <w:rFonts w:ascii="Arial" w:hAnsi="Arial" w:cs="Arial"/>
          <w:b w:val="0"/>
        </w:rPr>
      </w:pPr>
    </w:p>
    <w:p w14:paraId="7E1CCF73" w14:textId="77777777" w:rsidR="00745984" w:rsidRPr="007853AF" w:rsidRDefault="00ED0A9B" w:rsidP="00911709">
      <w:pPr>
        <w:keepNext/>
        <w:keepLines/>
        <w:rPr>
          <w:rFonts w:ascii="Arial" w:hAnsi="Arial" w:cs="Arial"/>
        </w:rPr>
      </w:pPr>
      <w:r w:rsidRPr="00CF0738">
        <w:rPr>
          <w:rFonts w:ascii="Arial" w:hAnsi="Arial" w:cs="Arial"/>
        </w:rPr>
        <w:t>LivingWise</w:t>
      </w:r>
      <w:r w:rsidR="007853AF" w:rsidRPr="001F061D">
        <w:rPr>
          <w:b w:val="0"/>
          <w:vertAlign w:val="superscript"/>
        </w:rPr>
        <w:t>®</w:t>
      </w:r>
      <w:r w:rsidR="00FF7F2F">
        <w:rPr>
          <w:b w:val="0"/>
          <w:vertAlign w:val="superscript"/>
        </w:rPr>
        <w:t xml:space="preserve"> </w:t>
      </w:r>
      <w:r w:rsidR="007853AF" w:rsidRPr="00D148B4">
        <w:rPr>
          <w:rFonts w:ascii="Arial" w:hAnsi="Arial" w:cs="Arial"/>
        </w:rPr>
        <w:t>MTP</w:t>
      </w:r>
    </w:p>
    <w:p w14:paraId="324F6F48" w14:textId="77777777" w:rsidR="00B72713" w:rsidRPr="008F0732" w:rsidRDefault="00B72713" w:rsidP="00911709">
      <w:pPr>
        <w:keepNext/>
        <w:keepLines/>
        <w:rPr>
          <w:rFonts w:ascii="Arial" w:hAnsi="Arial" w:cs="Arial"/>
          <w:sz w:val="18"/>
          <w:szCs w:val="18"/>
        </w:rPr>
      </w:pPr>
    </w:p>
    <w:tbl>
      <w:tblPr>
        <w:tblW w:w="8020" w:type="dxa"/>
        <w:jc w:val="center"/>
        <w:tblLook w:val="04A0" w:firstRow="1" w:lastRow="0" w:firstColumn="1" w:lastColumn="0" w:noHBand="0" w:noVBand="1"/>
      </w:tblPr>
      <w:tblGrid>
        <w:gridCol w:w="2540"/>
        <w:gridCol w:w="2320"/>
        <w:gridCol w:w="1436"/>
        <w:gridCol w:w="1724"/>
      </w:tblGrid>
      <w:tr w:rsidR="008F0732" w:rsidRPr="008F0732" w14:paraId="2B84944C"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6CE46A"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838661"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8C72935"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Reported Savings </w:t>
            </w:r>
          </w:p>
        </w:tc>
      </w:tr>
      <w:tr w:rsidR="008F0732" w:rsidRPr="008F0732" w14:paraId="74A1B065" w14:textId="77777777" w:rsidTr="00912DB0">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1839EA60" w14:textId="77777777" w:rsidR="008F0732" w:rsidRPr="00420243"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00E11249" w14:textId="77777777" w:rsidR="008F0732" w:rsidRPr="00420243" w:rsidRDefault="008F0732" w:rsidP="00911709">
            <w:pPr>
              <w:rPr>
                <w:rFonts w:ascii="Arial" w:hAnsi="Arial" w:cs="Arial"/>
                <w:bCs/>
                <w:color w:val="000000"/>
              </w:rPr>
            </w:pPr>
          </w:p>
        </w:tc>
        <w:tc>
          <w:tcPr>
            <w:tcW w:w="1436" w:type="dxa"/>
            <w:tcBorders>
              <w:top w:val="nil"/>
              <w:left w:val="nil"/>
              <w:bottom w:val="single" w:sz="8" w:space="0" w:color="auto"/>
              <w:right w:val="single" w:sz="8" w:space="0" w:color="auto"/>
            </w:tcBorders>
            <w:shd w:val="clear" w:color="auto" w:fill="auto"/>
            <w:noWrap/>
            <w:vAlign w:val="center"/>
            <w:hideMark/>
          </w:tcPr>
          <w:p w14:paraId="558730D7"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 </w:t>
            </w:r>
          </w:p>
        </w:tc>
        <w:tc>
          <w:tcPr>
            <w:tcW w:w="1724" w:type="dxa"/>
            <w:tcBorders>
              <w:top w:val="nil"/>
              <w:left w:val="nil"/>
              <w:bottom w:val="single" w:sz="8" w:space="0" w:color="auto"/>
              <w:right w:val="single" w:sz="8" w:space="0" w:color="auto"/>
            </w:tcBorders>
            <w:shd w:val="clear" w:color="auto" w:fill="auto"/>
            <w:noWrap/>
            <w:vAlign w:val="center"/>
            <w:hideMark/>
          </w:tcPr>
          <w:p w14:paraId="3E699C65" w14:textId="77777777" w:rsidR="008F0732" w:rsidRPr="00420243" w:rsidRDefault="008F0732" w:rsidP="00911709">
            <w:pPr>
              <w:jc w:val="center"/>
              <w:rPr>
                <w:rFonts w:ascii="Arial" w:hAnsi="Arial" w:cs="Arial"/>
                <w:bCs/>
                <w:color w:val="000000"/>
              </w:rPr>
            </w:pPr>
            <w:r w:rsidRPr="00420243">
              <w:rPr>
                <w:rFonts w:ascii="Arial" w:hAnsi="Arial" w:cs="Arial"/>
                <w:bCs/>
                <w:color w:val="000000"/>
              </w:rPr>
              <w:t xml:space="preserve"> kWh </w:t>
            </w:r>
          </w:p>
        </w:tc>
      </w:tr>
      <w:tr w:rsidR="00184373" w:rsidRPr="008F0732" w14:paraId="46BD062E" w14:textId="77777777" w:rsidTr="00184373">
        <w:trPr>
          <w:trHeight w:val="430"/>
          <w:jc w:val="center"/>
        </w:trPr>
        <w:tc>
          <w:tcPr>
            <w:tcW w:w="2540" w:type="dxa"/>
            <w:tcBorders>
              <w:top w:val="nil"/>
              <w:left w:val="single" w:sz="8" w:space="0" w:color="auto"/>
              <w:bottom w:val="single" w:sz="8" w:space="0" w:color="auto"/>
              <w:right w:val="single" w:sz="8" w:space="0" w:color="auto"/>
            </w:tcBorders>
            <w:shd w:val="clear" w:color="auto" w:fill="auto"/>
            <w:noWrap/>
            <w:vAlign w:val="center"/>
          </w:tcPr>
          <w:p w14:paraId="79F90D7F" w14:textId="77777777" w:rsidR="00184373" w:rsidRPr="00420243" w:rsidRDefault="00184373" w:rsidP="00911709">
            <w:pPr>
              <w:rPr>
                <w:rFonts w:ascii="Arial" w:hAnsi="Arial" w:cs="Arial"/>
                <w:b w:val="0"/>
                <w:color w:val="000000"/>
              </w:rPr>
            </w:pPr>
            <w:r w:rsidRPr="00420243">
              <w:rPr>
                <w:rFonts w:ascii="Arial" w:hAnsi="Arial" w:cs="Arial"/>
                <w:b w:val="0"/>
                <w:color w:val="000000"/>
              </w:rPr>
              <w:t>Culberson</w:t>
            </w:r>
          </w:p>
        </w:tc>
        <w:tc>
          <w:tcPr>
            <w:tcW w:w="2320" w:type="dxa"/>
            <w:tcBorders>
              <w:top w:val="nil"/>
              <w:left w:val="nil"/>
              <w:bottom w:val="single" w:sz="8" w:space="0" w:color="auto"/>
              <w:right w:val="single" w:sz="8" w:space="0" w:color="auto"/>
            </w:tcBorders>
            <w:shd w:val="clear" w:color="auto" w:fill="auto"/>
            <w:noWrap/>
            <w:vAlign w:val="center"/>
          </w:tcPr>
          <w:p w14:paraId="6287B63F" w14:textId="6616CFBC" w:rsidR="00184373" w:rsidRPr="00420243" w:rsidRDefault="00420243" w:rsidP="00911709">
            <w:pPr>
              <w:jc w:val="center"/>
              <w:rPr>
                <w:rFonts w:ascii="Arial" w:hAnsi="Arial" w:cs="Arial"/>
                <w:b w:val="0"/>
                <w:color w:val="000000"/>
              </w:rPr>
            </w:pPr>
            <w:r>
              <w:rPr>
                <w:rFonts w:ascii="Arial" w:hAnsi="Arial" w:cs="Arial"/>
                <w:b w:val="0"/>
                <w:color w:val="000000"/>
              </w:rPr>
              <w:t>23</w:t>
            </w:r>
          </w:p>
        </w:tc>
        <w:tc>
          <w:tcPr>
            <w:tcW w:w="1436" w:type="dxa"/>
            <w:tcBorders>
              <w:top w:val="nil"/>
              <w:left w:val="nil"/>
              <w:bottom w:val="single" w:sz="8" w:space="0" w:color="auto"/>
              <w:right w:val="single" w:sz="8" w:space="0" w:color="auto"/>
            </w:tcBorders>
            <w:shd w:val="clear" w:color="auto" w:fill="auto"/>
            <w:noWrap/>
            <w:vAlign w:val="center"/>
          </w:tcPr>
          <w:p w14:paraId="0B678B7F" w14:textId="3D18C00E" w:rsidR="00184373" w:rsidRPr="00420243" w:rsidRDefault="00420243" w:rsidP="00184373">
            <w:pPr>
              <w:jc w:val="right"/>
              <w:rPr>
                <w:rFonts w:ascii="Arial" w:hAnsi="Arial" w:cs="Arial"/>
                <w:b w:val="0"/>
                <w:color w:val="000000"/>
              </w:rPr>
            </w:pPr>
            <w:r>
              <w:rPr>
                <w:rFonts w:ascii="Arial" w:hAnsi="Arial" w:cs="Arial"/>
                <w:b w:val="0"/>
                <w:color w:val="000000"/>
              </w:rPr>
              <w:t>1.39</w:t>
            </w:r>
          </w:p>
        </w:tc>
        <w:tc>
          <w:tcPr>
            <w:tcW w:w="1724" w:type="dxa"/>
            <w:tcBorders>
              <w:top w:val="nil"/>
              <w:left w:val="nil"/>
              <w:bottom w:val="single" w:sz="8" w:space="0" w:color="auto"/>
              <w:right w:val="single" w:sz="8" w:space="0" w:color="auto"/>
            </w:tcBorders>
            <w:shd w:val="clear" w:color="auto" w:fill="auto"/>
            <w:noWrap/>
            <w:vAlign w:val="center"/>
          </w:tcPr>
          <w:p w14:paraId="1E5F3D3D" w14:textId="6F447C71" w:rsidR="00184373" w:rsidRPr="00420243" w:rsidRDefault="00420243" w:rsidP="00184373">
            <w:pPr>
              <w:jc w:val="right"/>
              <w:rPr>
                <w:rFonts w:ascii="Arial" w:hAnsi="Arial" w:cs="Arial"/>
                <w:b w:val="0"/>
                <w:color w:val="000000"/>
              </w:rPr>
            </w:pPr>
            <w:r>
              <w:rPr>
                <w:rFonts w:ascii="Arial" w:hAnsi="Arial" w:cs="Arial"/>
                <w:b w:val="0"/>
              </w:rPr>
              <w:t>3,566</w:t>
            </w:r>
          </w:p>
        </w:tc>
      </w:tr>
      <w:tr w:rsidR="00184373" w:rsidRPr="008F0732" w14:paraId="662C56CC" w14:textId="77777777" w:rsidTr="00184373">
        <w:trPr>
          <w:trHeight w:val="394"/>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5CA2F551" w14:textId="77777777" w:rsidR="00184373" w:rsidRPr="00420243" w:rsidRDefault="00184373" w:rsidP="00911709">
            <w:pPr>
              <w:rPr>
                <w:rFonts w:ascii="Arial" w:hAnsi="Arial" w:cs="Arial"/>
                <w:b w:val="0"/>
                <w:color w:val="000000"/>
              </w:rPr>
            </w:pPr>
            <w:r w:rsidRPr="00420243">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72A9FFC3" w14:textId="005C3C99" w:rsidR="00184373" w:rsidRPr="00420243" w:rsidRDefault="00420243" w:rsidP="00911709">
            <w:pPr>
              <w:jc w:val="center"/>
              <w:rPr>
                <w:rFonts w:ascii="Arial" w:hAnsi="Arial" w:cs="Arial"/>
                <w:b w:val="0"/>
                <w:color w:val="000000"/>
              </w:rPr>
            </w:pPr>
            <w:r>
              <w:rPr>
                <w:rFonts w:ascii="Arial" w:hAnsi="Arial" w:cs="Arial"/>
                <w:b w:val="0"/>
                <w:color w:val="000000"/>
              </w:rPr>
              <w:t>8,887</w:t>
            </w:r>
          </w:p>
        </w:tc>
        <w:tc>
          <w:tcPr>
            <w:tcW w:w="1436" w:type="dxa"/>
            <w:tcBorders>
              <w:top w:val="nil"/>
              <w:left w:val="nil"/>
              <w:bottom w:val="single" w:sz="8" w:space="0" w:color="auto"/>
              <w:right w:val="single" w:sz="8" w:space="0" w:color="auto"/>
            </w:tcBorders>
            <w:shd w:val="clear" w:color="auto" w:fill="auto"/>
            <w:noWrap/>
            <w:vAlign w:val="center"/>
            <w:hideMark/>
          </w:tcPr>
          <w:p w14:paraId="7EC5C5C9" w14:textId="24BEEB06" w:rsidR="00184373" w:rsidRPr="00420243" w:rsidRDefault="00420243" w:rsidP="00184373">
            <w:pPr>
              <w:jc w:val="right"/>
              <w:rPr>
                <w:rFonts w:ascii="Arial" w:hAnsi="Arial" w:cs="Arial"/>
                <w:b w:val="0"/>
                <w:color w:val="000000"/>
              </w:rPr>
            </w:pPr>
            <w:r>
              <w:rPr>
                <w:rFonts w:ascii="Arial" w:hAnsi="Arial" w:cs="Arial"/>
                <w:b w:val="0"/>
                <w:color w:val="000000"/>
              </w:rPr>
              <w:t>536.24</w:t>
            </w:r>
          </w:p>
        </w:tc>
        <w:tc>
          <w:tcPr>
            <w:tcW w:w="1724" w:type="dxa"/>
            <w:tcBorders>
              <w:top w:val="nil"/>
              <w:left w:val="nil"/>
              <w:bottom w:val="single" w:sz="8" w:space="0" w:color="auto"/>
              <w:right w:val="single" w:sz="8" w:space="0" w:color="auto"/>
            </w:tcBorders>
            <w:shd w:val="clear" w:color="auto" w:fill="auto"/>
            <w:noWrap/>
            <w:vAlign w:val="center"/>
            <w:hideMark/>
          </w:tcPr>
          <w:p w14:paraId="0441AA3B" w14:textId="545A9A09" w:rsidR="00184373" w:rsidRPr="00420243" w:rsidRDefault="00420243" w:rsidP="00184373">
            <w:pPr>
              <w:jc w:val="right"/>
              <w:rPr>
                <w:rFonts w:ascii="Arial" w:hAnsi="Arial" w:cs="Arial"/>
                <w:b w:val="0"/>
                <w:color w:val="000000"/>
              </w:rPr>
            </w:pPr>
            <w:r>
              <w:rPr>
                <w:rFonts w:ascii="Arial" w:hAnsi="Arial" w:cs="Arial"/>
                <w:b w:val="0"/>
              </w:rPr>
              <w:t>1,377,996</w:t>
            </w:r>
          </w:p>
        </w:tc>
      </w:tr>
      <w:tr w:rsidR="00184373" w:rsidRPr="008F0732" w14:paraId="40F2C470" w14:textId="77777777" w:rsidTr="00184373">
        <w:trPr>
          <w:trHeight w:val="367"/>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4E0AC73F" w14:textId="77777777" w:rsidR="00184373" w:rsidRPr="00420243" w:rsidRDefault="00184373" w:rsidP="00911709">
            <w:pPr>
              <w:rPr>
                <w:rFonts w:ascii="Arial" w:hAnsi="Arial" w:cs="Arial"/>
                <w:b w:val="0"/>
                <w:color w:val="000000"/>
              </w:rPr>
            </w:pPr>
            <w:r w:rsidRPr="00420243">
              <w:rPr>
                <w:rFonts w:ascii="Arial" w:hAnsi="Arial" w:cs="Arial"/>
                <w:b w:val="0"/>
                <w:color w:val="000000"/>
              </w:rPr>
              <w:t>Hudspeth County</w:t>
            </w:r>
          </w:p>
        </w:tc>
        <w:tc>
          <w:tcPr>
            <w:tcW w:w="2320" w:type="dxa"/>
            <w:tcBorders>
              <w:top w:val="nil"/>
              <w:left w:val="nil"/>
              <w:bottom w:val="single" w:sz="8" w:space="0" w:color="auto"/>
              <w:right w:val="single" w:sz="8" w:space="0" w:color="auto"/>
            </w:tcBorders>
            <w:shd w:val="clear" w:color="auto" w:fill="auto"/>
            <w:noWrap/>
            <w:vAlign w:val="center"/>
            <w:hideMark/>
          </w:tcPr>
          <w:p w14:paraId="0E8A8E63" w14:textId="63CBFF12" w:rsidR="00184373" w:rsidRPr="00420243" w:rsidRDefault="00420243" w:rsidP="00911709">
            <w:pPr>
              <w:jc w:val="center"/>
              <w:rPr>
                <w:rFonts w:ascii="Arial" w:hAnsi="Arial" w:cs="Arial"/>
                <w:b w:val="0"/>
                <w:color w:val="000000"/>
              </w:rPr>
            </w:pPr>
            <w:r>
              <w:rPr>
                <w:rFonts w:ascii="Arial" w:hAnsi="Arial" w:cs="Arial"/>
                <w:b w:val="0"/>
                <w:color w:val="000000"/>
              </w:rPr>
              <w:t>29</w:t>
            </w:r>
          </w:p>
        </w:tc>
        <w:tc>
          <w:tcPr>
            <w:tcW w:w="1436" w:type="dxa"/>
            <w:tcBorders>
              <w:top w:val="nil"/>
              <w:left w:val="nil"/>
              <w:bottom w:val="single" w:sz="8" w:space="0" w:color="auto"/>
              <w:right w:val="single" w:sz="8" w:space="0" w:color="auto"/>
            </w:tcBorders>
            <w:shd w:val="clear" w:color="auto" w:fill="auto"/>
            <w:noWrap/>
            <w:vAlign w:val="center"/>
            <w:hideMark/>
          </w:tcPr>
          <w:p w14:paraId="74851EEA" w14:textId="18208076" w:rsidR="00184373" w:rsidRPr="00420243" w:rsidRDefault="00420243" w:rsidP="00184373">
            <w:pPr>
              <w:jc w:val="right"/>
              <w:rPr>
                <w:rFonts w:ascii="Arial" w:hAnsi="Arial" w:cs="Arial"/>
                <w:b w:val="0"/>
                <w:color w:val="000000"/>
              </w:rPr>
            </w:pPr>
            <w:r>
              <w:rPr>
                <w:rFonts w:ascii="Arial" w:hAnsi="Arial" w:cs="Arial"/>
                <w:b w:val="0"/>
                <w:color w:val="000000"/>
              </w:rPr>
              <w:t>1.75</w:t>
            </w:r>
          </w:p>
        </w:tc>
        <w:tc>
          <w:tcPr>
            <w:tcW w:w="1724" w:type="dxa"/>
            <w:tcBorders>
              <w:top w:val="nil"/>
              <w:left w:val="nil"/>
              <w:bottom w:val="single" w:sz="8" w:space="0" w:color="auto"/>
              <w:right w:val="single" w:sz="8" w:space="0" w:color="auto"/>
            </w:tcBorders>
            <w:shd w:val="clear" w:color="auto" w:fill="auto"/>
            <w:noWrap/>
            <w:vAlign w:val="center"/>
            <w:hideMark/>
          </w:tcPr>
          <w:p w14:paraId="31FFE4A1" w14:textId="10894A5F" w:rsidR="00184373" w:rsidRPr="00420243" w:rsidRDefault="00420243" w:rsidP="00184373">
            <w:pPr>
              <w:jc w:val="right"/>
              <w:rPr>
                <w:rFonts w:ascii="Arial" w:hAnsi="Arial" w:cs="Arial"/>
                <w:b w:val="0"/>
                <w:color w:val="000000"/>
              </w:rPr>
            </w:pPr>
            <w:r>
              <w:rPr>
                <w:rFonts w:ascii="Arial" w:hAnsi="Arial" w:cs="Arial"/>
                <w:b w:val="0"/>
              </w:rPr>
              <w:t>4,497</w:t>
            </w:r>
          </w:p>
        </w:tc>
      </w:tr>
      <w:tr w:rsidR="00184373" w:rsidRPr="008F0732" w14:paraId="0A082920" w14:textId="77777777" w:rsidTr="00912DB0">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3C66CF42" w14:textId="77777777" w:rsidR="00184373" w:rsidRPr="00420243" w:rsidRDefault="00184373" w:rsidP="00911709">
            <w:pPr>
              <w:rPr>
                <w:rFonts w:ascii="Arial" w:hAnsi="Arial" w:cs="Arial"/>
                <w:b w:val="0"/>
                <w:color w:val="000000"/>
              </w:rPr>
            </w:pPr>
            <w:r w:rsidRPr="00420243">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4F29F742" w14:textId="7A5E3B36" w:rsidR="00184373" w:rsidRPr="00420243" w:rsidRDefault="00420243" w:rsidP="00911709">
            <w:pPr>
              <w:jc w:val="center"/>
              <w:rPr>
                <w:rFonts w:ascii="Arial" w:hAnsi="Arial" w:cs="Arial"/>
                <w:b w:val="0"/>
                <w:color w:val="000000"/>
              </w:rPr>
            </w:pPr>
            <w:r>
              <w:rPr>
                <w:rFonts w:ascii="Arial" w:hAnsi="Arial" w:cs="Arial"/>
                <w:b w:val="0"/>
                <w:color w:val="000000"/>
              </w:rPr>
              <w:t>8,939</w:t>
            </w:r>
          </w:p>
        </w:tc>
        <w:tc>
          <w:tcPr>
            <w:tcW w:w="1436" w:type="dxa"/>
            <w:tcBorders>
              <w:top w:val="nil"/>
              <w:left w:val="nil"/>
              <w:bottom w:val="single" w:sz="8" w:space="0" w:color="auto"/>
              <w:right w:val="single" w:sz="8" w:space="0" w:color="auto"/>
            </w:tcBorders>
            <w:shd w:val="clear" w:color="auto" w:fill="auto"/>
            <w:noWrap/>
            <w:vAlign w:val="center"/>
            <w:hideMark/>
          </w:tcPr>
          <w:p w14:paraId="17FF887A" w14:textId="6AA539C1" w:rsidR="00184373" w:rsidRPr="00420243" w:rsidRDefault="00420243" w:rsidP="00184373">
            <w:pPr>
              <w:jc w:val="right"/>
              <w:rPr>
                <w:rFonts w:ascii="Arial" w:hAnsi="Arial" w:cs="Arial"/>
                <w:b w:val="0"/>
                <w:color w:val="000000"/>
              </w:rPr>
            </w:pPr>
            <w:r>
              <w:rPr>
                <w:rFonts w:ascii="Arial" w:hAnsi="Arial" w:cs="Arial"/>
                <w:b w:val="0"/>
                <w:color w:val="000000"/>
              </w:rPr>
              <w:t>539.38</w:t>
            </w:r>
          </w:p>
        </w:tc>
        <w:tc>
          <w:tcPr>
            <w:tcW w:w="1724" w:type="dxa"/>
            <w:tcBorders>
              <w:top w:val="nil"/>
              <w:left w:val="nil"/>
              <w:bottom w:val="single" w:sz="8" w:space="0" w:color="auto"/>
              <w:right w:val="single" w:sz="8" w:space="0" w:color="auto"/>
            </w:tcBorders>
            <w:shd w:val="clear" w:color="auto" w:fill="auto"/>
            <w:noWrap/>
            <w:vAlign w:val="center"/>
            <w:hideMark/>
          </w:tcPr>
          <w:p w14:paraId="41238092" w14:textId="02893593" w:rsidR="00184373" w:rsidRPr="00420243" w:rsidRDefault="00420243" w:rsidP="00184373">
            <w:pPr>
              <w:jc w:val="right"/>
              <w:rPr>
                <w:rFonts w:ascii="Arial" w:hAnsi="Arial" w:cs="Arial"/>
                <w:b w:val="0"/>
                <w:color w:val="000000"/>
              </w:rPr>
            </w:pPr>
            <w:r>
              <w:rPr>
                <w:rFonts w:ascii="Arial" w:hAnsi="Arial" w:cs="Arial"/>
                <w:b w:val="0"/>
              </w:rPr>
              <w:t>1,386,059</w:t>
            </w:r>
          </w:p>
        </w:tc>
      </w:tr>
    </w:tbl>
    <w:p w14:paraId="761E5A0F" w14:textId="77777777" w:rsidR="009D2C31" w:rsidRPr="00CF0738" w:rsidRDefault="009D2C31" w:rsidP="00911709">
      <w:pPr>
        <w:rPr>
          <w:rFonts w:ascii="Arial" w:hAnsi="Arial" w:cs="Arial"/>
        </w:rPr>
      </w:pPr>
    </w:p>
    <w:p w14:paraId="0571DC73" w14:textId="77777777" w:rsidR="009D2C31" w:rsidRDefault="009D2C31" w:rsidP="00911709">
      <w:pPr>
        <w:keepNext/>
        <w:keepLines/>
        <w:rPr>
          <w:rFonts w:ascii="Arial" w:hAnsi="Arial" w:cs="Arial"/>
        </w:rPr>
      </w:pPr>
      <w:r w:rsidRPr="00CF0738">
        <w:rPr>
          <w:rFonts w:ascii="Arial" w:hAnsi="Arial" w:cs="Arial"/>
        </w:rPr>
        <w:t>Hard-to-Reach Solutions MTP</w:t>
      </w:r>
    </w:p>
    <w:p w14:paraId="7C22E9F0" w14:textId="77777777" w:rsidR="009D2C31" w:rsidRPr="008F0732" w:rsidRDefault="009D2C31" w:rsidP="00911709">
      <w:pPr>
        <w:keepNext/>
        <w:keepLines/>
        <w:rPr>
          <w:rFonts w:ascii="Arial" w:hAnsi="Arial" w:cs="Arial"/>
          <w:sz w:val="18"/>
          <w:szCs w:val="18"/>
        </w:rPr>
      </w:pPr>
    </w:p>
    <w:tbl>
      <w:tblPr>
        <w:tblW w:w="8020" w:type="dxa"/>
        <w:jc w:val="center"/>
        <w:tblLook w:val="04A0" w:firstRow="1" w:lastRow="0" w:firstColumn="1" w:lastColumn="0" w:noHBand="0" w:noVBand="1"/>
      </w:tblPr>
      <w:tblGrid>
        <w:gridCol w:w="2540"/>
        <w:gridCol w:w="2320"/>
        <w:gridCol w:w="1436"/>
        <w:gridCol w:w="1724"/>
      </w:tblGrid>
      <w:tr w:rsidR="008F0732" w:rsidRPr="008F0732" w14:paraId="0F522DDF" w14:textId="77777777" w:rsidTr="008F0732">
        <w:trPr>
          <w:trHeight w:val="324"/>
          <w:jc w:val="center"/>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7584EF"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County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79C2A1"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of Participants</w:t>
            </w:r>
          </w:p>
        </w:tc>
        <w:tc>
          <w:tcPr>
            <w:tcW w:w="31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72C735A"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Reported Savings </w:t>
            </w:r>
          </w:p>
        </w:tc>
      </w:tr>
      <w:tr w:rsidR="008F0732" w:rsidRPr="008F0732" w14:paraId="5D44E270" w14:textId="77777777" w:rsidTr="007B113C">
        <w:trPr>
          <w:trHeight w:val="324"/>
          <w:jc w:val="center"/>
        </w:trPr>
        <w:tc>
          <w:tcPr>
            <w:tcW w:w="2540" w:type="dxa"/>
            <w:vMerge/>
            <w:tcBorders>
              <w:top w:val="single" w:sz="8" w:space="0" w:color="auto"/>
              <w:left w:val="single" w:sz="8" w:space="0" w:color="auto"/>
              <w:bottom w:val="single" w:sz="8" w:space="0" w:color="000000"/>
              <w:right w:val="single" w:sz="8" w:space="0" w:color="auto"/>
            </w:tcBorders>
            <w:vAlign w:val="center"/>
            <w:hideMark/>
          </w:tcPr>
          <w:p w14:paraId="5EB6863F" w14:textId="77777777" w:rsidR="008F0732" w:rsidRPr="008F0732" w:rsidRDefault="008F0732" w:rsidP="00911709">
            <w:pPr>
              <w:rPr>
                <w:rFonts w:ascii="Arial" w:hAnsi="Arial" w:cs="Arial"/>
                <w:bCs/>
                <w:color w:val="00000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1B490E9B" w14:textId="77777777" w:rsidR="008F0732" w:rsidRPr="008F0732" w:rsidRDefault="008F0732" w:rsidP="00911709">
            <w:pPr>
              <w:rPr>
                <w:rFonts w:ascii="Arial" w:hAnsi="Arial" w:cs="Arial"/>
                <w:bCs/>
                <w:color w:val="000000"/>
              </w:rPr>
            </w:pPr>
          </w:p>
        </w:tc>
        <w:tc>
          <w:tcPr>
            <w:tcW w:w="1436" w:type="dxa"/>
            <w:tcBorders>
              <w:top w:val="nil"/>
              <w:left w:val="nil"/>
              <w:bottom w:val="single" w:sz="8" w:space="0" w:color="auto"/>
              <w:right w:val="single" w:sz="8" w:space="0" w:color="auto"/>
            </w:tcBorders>
            <w:shd w:val="clear" w:color="auto" w:fill="auto"/>
            <w:noWrap/>
            <w:vAlign w:val="center"/>
            <w:hideMark/>
          </w:tcPr>
          <w:p w14:paraId="5CC2237A"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 </w:t>
            </w:r>
          </w:p>
        </w:tc>
        <w:tc>
          <w:tcPr>
            <w:tcW w:w="1724" w:type="dxa"/>
            <w:tcBorders>
              <w:top w:val="nil"/>
              <w:left w:val="nil"/>
              <w:bottom w:val="single" w:sz="8" w:space="0" w:color="auto"/>
              <w:right w:val="single" w:sz="8" w:space="0" w:color="auto"/>
            </w:tcBorders>
            <w:shd w:val="clear" w:color="auto" w:fill="auto"/>
            <w:noWrap/>
            <w:vAlign w:val="center"/>
            <w:hideMark/>
          </w:tcPr>
          <w:p w14:paraId="1ED7F0FD" w14:textId="77777777" w:rsidR="008F0732" w:rsidRPr="008F0732" w:rsidRDefault="008F0732" w:rsidP="00911709">
            <w:pPr>
              <w:jc w:val="center"/>
              <w:rPr>
                <w:rFonts w:ascii="Arial" w:hAnsi="Arial" w:cs="Arial"/>
                <w:bCs/>
                <w:color w:val="000000"/>
              </w:rPr>
            </w:pPr>
            <w:r w:rsidRPr="008F0732">
              <w:rPr>
                <w:rFonts w:ascii="Arial" w:hAnsi="Arial" w:cs="Arial"/>
                <w:bCs/>
                <w:color w:val="000000"/>
              </w:rPr>
              <w:t xml:space="preserve"> kWh </w:t>
            </w:r>
          </w:p>
        </w:tc>
      </w:tr>
      <w:tr w:rsidR="008F0732" w:rsidRPr="008F0732" w14:paraId="716C3E5D"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36AFDC4C" w14:textId="77777777" w:rsidR="008F0732" w:rsidRPr="008F0732" w:rsidRDefault="008F0732" w:rsidP="00911709">
            <w:pPr>
              <w:rPr>
                <w:rFonts w:ascii="Arial" w:hAnsi="Arial" w:cs="Arial"/>
                <w:b w:val="0"/>
                <w:color w:val="000000"/>
              </w:rPr>
            </w:pPr>
            <w:r w:rsidRPr="008F0732">
              <w:rPr>
                <w:rFonts w:ascii="Arial" w:hAnsi="Arial" w:cs="Arial"/>
                <w:b w:val="0"/>
                <w:color w:val="000000"/>
              </w:rPr>
              <w:t>El Paso County</w:t>
            </w:r>
          </w:p>
        </w:tc>
        <w:tc>
          <w:tcPr>
            <w:tcW w:w="2320" w:type="dxa"/>
            <w:tcBorders>
              <w:top w:val="nil"/>
              <w:left w:val="nil"/>
              <w:bottom w:val="single" w:sz="8" w:space="0" w:color="auto"/>
              <w:right w:val="single" w:sz="8" w:space="0" w:color="auto"/>
            </w:tcBorders>
            <w:shd w:val="clear" w:color="auto" w:fill="auto"/>
            <w:noWrap/>
            <w:vAlign w:val="center"/>
            <w:hideMark/>
          </w:tcPr>
          <w:p w14:paraId="13A321E2" w14:textId="4A5C105D" w:rsidR="008F0732" w:rsidRPr="008F0732" w:rsidRDefault="001227AE" w:rsidP="00911709">
            <w:pPr>
              <w:jc w:val="center"/>
              <w:rPr>
                <w:rFonts w:ascii="Arial" w:hAnsi="Arial" w:cs="Arial"/>
                <w:b w:val="0"/>
                <w:color w:val="000000"/>
              </w:rPr>
            </w:pPr>
            <w:r>
              <w:rPr>
                <w:rFonts w:ascii="Arial" w:hAnsi="Arial" w:cs="Arial"/>
                <w:b w:val="0"/>
                <w:color w:val="000000"/>
              </w:rPr>
              <w:t>5,973</w:t>
            </w:r>
          </w:p>
        </w:tc>
        <w:tc>
          <w:tcPr>
            <w:tcW w:w="1436" w:type="dxa"/>
            <w:tcBorders>
              <w:top w:val="nil"/>
              <w:left w:val="nil"/>
              <w:bottom w:val="single" w:sz="8" w:space="0" w:color="auto"/>
              <w:right w:val="single" w:sz="8" w:space="0" w:color="auto"/>
            </w:tcBorders>
            <w:shd w:val="clear" w:color="auto" w:fill="auto"/>
            <w:noWrap/>
            <w:vAlign w:val="center"/>
            <w:hideMark/>
          </w:tcPr>
          <w:p w14:paraId="74579F82" w14:textId="4FA9AD9C" w:rsidR="008F0732" w:rsidRPr="008F0732" w:rsidRDefault="00254A2E" w:rsidP="00911709">
            <w:pPr>
              <w:jc w:val="right"/>
              <w:rPr>
                <w:rFonts w:ascii="Arial" w:hAnsi="Arial" w:cs="Arial"/>
                <w:b w:val="0"/>
                <w:color w:val="000000"/>
              </w:rPr>
            </w:pPr>
            <w:r>
              <w:rPr>
                <w:rFonts w:ascii="Arial" w:hAnsi="Arial" w:cs="Arial"/>
                <w:b w:val="0"/>
                <w:color w:val="000000"/>
              </w:rPr>
              <w:t>729.86</w:t>
            </w:r>
          </w:p>
        </w:tc>
        <w:tc>
          <w:tcPr>
            <w:tcW w:w="1724" w:type="dxa"/>
            <w:tcBorders>
              <w:top w:val="nil"/>
              <w:left w:val="nil"/>
              <w:bottom w:val="single" w:sz="8" w:space="0" w:color="auto"/>
              <w:right w:val="single" w:sz="8" w:space="0" w:color="auto"/>
            </w:tcBorders>
            <w:shd w:val="clear" w:color="auto" w:fill="auto"/>
            <w:noWrap/>
            <w:vAlign w:val="center"/>
            <w:hideMark/>
          </w:tcPr>
          <w:p w14:paraId="608F3835" w14:textId="3AD3A174" w:rsidR="008F0732" w:rsidRPr="008F0732" w:rsidRDefault="000C6827" w:rsidP="00911709">
            <w:pPr>
              <w:jc w:val="right"/>
              <w:rPr>
                <w:rFonts w:ascii="Arial" w:hAnsi="Arial" w:cs="Arial"/>
                <w:b w:val="0"/>
                <w:color w:val="000000"/>
              </w:rPr>
            </w:pPr>
            <w:r>
              <w:rPr>
                <w:rFonts w:ascii="Arial" w:hAnsi="Arial" w:cs="Arial"/>
                <w:b w:val="0"/>
                <w:color w:val="000000"/>
              </w:rPr>
              <w:t>1,450,843</w:t>
            </w:r>
          </w:p>
        </w:tc>
      </w:tr>
      <w:tr w:rsidR="001227AE" w:rsidRPr="008F0732" w14:paraId="62468E7A"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tcPr>
          <w:p w14:paraId="662654E5" w14:textId="47D4DA67" w:rsidR="001227AE" w:rsidRPr="008F0732" w:rsidRDefault="001227AE" w:rsidP="00911709">
            <w:pPr>
              <w:rPr>
                <w:rFonts w:ascii="Arial" w:hAnsi="Arial" w:cs="Arial"/>
                <w:b w:val="0"/>
                <w:color w:val="000000"/>
              </w:rPr>
            </w:pPr>
            <w:r>
              <w:rPr>
                <w:rFonts w:ascii="Arial" w:hAnsi="Arial" w:cs="Arial"/>
                <w:b w:val="0"/>
                <w:color w:val="000000"/>
              </w:rPr>
              <w:t>Hudspeth County</w:t>
            </w:r>
          </w:p>
        </w:tc>
        <w:tc>
          <w:tcPr>
            <w:tcW w:w="2320" w:type="dxa"/>
            <w:tcBorders>
              <w:top w:val="nil"/>
              <w:left w:val="nil"/>
              <w:bottom w:val="single" w:sz="8" w:space="0" w:color="auto"/>
              <w:right w:val="single" w:sz="8" w:space="0" w:color="auto"/>
            </w:tcBorders>
            <w:shd w:val="clear" w:color="auto" w:fill="auto"/>
            <w:noWrap/>
            <w:vAlign w:val="center"/>
          </w:tcPr>
          <w:p w14:paraId="6793B7CC" w14:textId="4BCB7377" w:rsidR="001227AE" w:rsidRDefault="001227AE" w:rsidP="00911709">
            <w:pPr>
              <w:jc w:val="center"/>
              <w:rPr>
                <w:rFonts w:ascii="Arial" w:hAnsi="Arial" w:cs="Arial"/>
                <w:b w:val="0"/>
                <w:color w:val="000000"/>
              </w:rPr>
            </w:pPr>
            <w:r>
              <w:rPr>
                <w:rFonts w:ascii="Arial" w:hAnsi="Arial" w:cs="Arial"/>
                <w:b w:val="0"/>
                <w:color w:val="000000"/>
              </w:rPr>
              <w:t>1</w:t>
            </w:r>
          </w:p>
        </w:tc>
        <w:tc>
          <w:tcPr>
            <w:tcW w:w="1436" w:type="dxa"/>
            <w:tcBorders>
              <w:top w:val="nil"/>
              <w:left w:val="nil"/>
              <w:bottom w:val="single" w:sz="8" w:space="0" w:color="auto"/>
              <w:right w:val="single" w:sz="8" w:space="0" w:color="auto"/>
            </w:tcBorders>
            <w:shd w:val="clear" w:color="auto" w:fill="auto"/>
            <w:noWrap/>
            <w:vAlign w:val="center"/>
          </w:tcPr>
          <w:p w14:paraId="28FEE873" w14:textId="3C032CFC" w:rsidR="001227AE" w:rsidRDefault="001227AE" w:rsidP="00911709">
            <w:pPr>
              <w:jc w:val="right"/>
              <w:rPr>
                <w:rFonts w:ascii="Arial" w:hAnsi="Arial" w:cs="Arial"/>
                <w:b w:val="0"/>
                <w:color w:val="000000"/>
              </w:rPr>
            </w:pPr>
            <w:r>
              <w:rPr>
                <w:rFonts w:ascii="Arial" w:hAnsi="Arial" w:cs="Arial"/>
                <w:b w:val="0"/>
                <w:color w:val="000000"/>
              </w:rPr>
              <w:t>0</w:t>
            </w:r>
            <w:r w:rsidR="00897B16">
              <w:rPr>
                <w:rFonts w:ascii="Arial" w:hAnsi="Arial" w:cs="Arial"/>
                <w:b w:val="0"/>
                <w:color w:val="000000"/>
              </w:rPr>
              <w:t>.85</w:t>
            </w:r>
          </w:p>
        </w:tc>
        <w:tc>
          <w:tcPr>
            <w:tcW w:w="1724" w:type="dxa"/>
            <w:tcBorders>
              <w:top w:val="nil"/>
              <w:left w:val="nil"/>
              <w:bottom w:val="single" w:sz="8" w:space="0" w:color="auto"/>
              <w:right w:val="single" w:sz="8" w:space="0" w:color="auto"/>
            </w:tcBorders>
            <w:shd w:val="clear" w:color="auto" w:fill="auto"/>
            <w:noWrap/>
            <w:vAlign w:val="center"/>
          </w:tcPr>
          <w:p w14:paraId="5628475D" w14:textId="063B0912" w:rsidR="001227AE" w:rsidRDefault="001227AE" w:rsidP="00911709">
            <w:pPr>
              <w:jc w:val="right"/>
              <w:rPr>
                <w:rFonts w:ascii="Arial" w:hAnsi="Arial" w:cs="Arial"/>
                <w:b w:val="0"/>
                <w:color w:val="000000"/>
              </w:rPr>
            </w:pPr>
            <w:r>
              <w:rPr>
                <w:rFonts w:ascii="Arial" w:hAnsi="Arial" w:cs="Arial"/>
                <w:b w:val="0"/>
                <w:color w:val="000000"/>
              </w:rPr>
              <w:t>925</w:t>
            </w:r>
          </w:p>
        </w:tc>
      </w:tr>
      <w:tr w:rsidR="009725FD" w:rsidRPr="008F0732" w14:paraId="328DD493" w14:textId="77777777" w:rsidTr="007B113C">
        <w:trPr>
          <w:trHeight w:val="312"/>
          <w:jc w:val="center"/>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14:paraId="60A17250" w14:textId="77777777" w:rsidR="009725FD" w:rsidRPr="008F0732" w:rsidRDefault="009725FD" w:rsidP="00911709">
            <w:pPr>
              <w:rPr>
                <w:rFonts w:ascii="Arial" w:hAnsi="Arial" w:cs="Arial"/>
                <w:b w:val="0"/>
                <w:color w:val="000000"/>
              </w:rPr>
            </w:pPr>
            <w:r w:rsidRPr="008F0732">
              <w:rPr>
                <w:rFonts w:ascii="Arial" w:hAnsi="Arial" w:cs="Arial"/>
                <w:b w:val="0"/>
                <w:color w:val="000000"/>
              </w:rPr>
              <w:t>Total</w:t>
            </w:r>
          </w:p>
        </w:tc>
        <w:tc>
          <w:tcPr>
            <w:tcW w:w="2320" w:type="dxa"/>
            <w:tcBorders>
              <w:top w:val="nil"/>
              <w:left w:val="nil"/>
              <w:bottom w:val="single" w:sz="8" w:space="0" w:color="auto"/>
              <w:right w:val="single" w:sz="8" w:space="0" w:color="auto"/>
            </w:tcBorders>
            <w:shd w:val="clear" w:color="auto" w:fill="auto"/>
            <w:noWrap/>
            <w:vAlign w:val="center"/>
            <w:hideMark/>
          </w:tcPr>
          <w:p w14:paraId="2CAB6312" w14:textId="509BE8EB" w:rsidR="009725FD" w:rsidRPr="008F0732" w:rsidRDefault="00C94B78" w:rsidP="00911709">
            <w:pPr>
              <w:jc w:val="center"/>
              <w:rPr>
                <w:rFonts w:ascii="Arial" w:hAnsi="Arial" w:cs="Arial"/>
                <w:b w:val="0"/>
                <w:color w:val="000000"/>
              </w:rPr>
            </w:pPr>
            <w:r>
              <w:rPr>
                <w:rFonts w:ascii="Arial" w:hAnsi="Arial" w:cs="Arial"/>
                <w:b w:val="0"/>
                <w:color w:val="000000"/>
              </w:rPr>
              <w:t>5,974</w:t>
            </w:r>
          </w:p>
        </w:tc>
        <w:tc>
          <w:tcPr>
            <w:tcW w:w="1436" w:type="dxa"/>
            <w:tcBorders>
              <w:top w:val="nil"/>
              <w:left w:val="nil"/>
              <w:bottom w:val="single" w:sz="8" w:space="0" w:color="auto"/>
              <w:right w:val="single" w:sz="8" w:space="0" w:color="auto"/>
            </w:tcBorders>
            <w:shd w:val="clear" w:color="auto" w:fill="auto"/>
            <w:noWrap/>
            <w:vAlign w:val="center"/>
            <w:hideMark/>
          </w:tcPr>
          <w:p w14:paraId="4604749E" w14:textId="60E1829B" w:rsidR="009725FD" w:rsidRPr="008F0732" w:rsidRDefault="001227AE" w:rsidP="00911709">
            <w:pPr>
              <w:jc w:val="right"/>
              <w:rPr>
                <w:rFonts w:ascii="Arial" w:hAnsi="Arial" w:cs="Arial"/>
                <w:b w:val="0"/>
                <w:color w:val="000000"/>
              </w:rPr>
            </w:pPr>
            <w:r>
              <w:rPr>
                <w:rFonts w:ascii="Arial" w:hAnsi="Arial" w:cs="Arial"/>
                <w:b w:val="0"/>
                <w:color w:val="000000"/>
              </w:rPr>
              <w:t>730</w:t>
            </w:r>
            <w:r w:rsidR="00897B16">
              <w:rPr>
                <w:rFonts w:ascii="Arial" w:hAnsi="Arial" w:cs="Arial"/>
                <w:b w:val="0"/>
                <w:color w:val="000000"/>
              </w:rPr>
              <w:t>.71</w:t>
            </w:r>
          </w:p>
        </w:tc>
        <w:tc>
          <w:tcPr>
            <w:tcW w:w="1724" w:type="dxa"/>
            <w:tcBorders>
              <w:top w:val="nil"/>
              <w:left w:val="nil"/>
              <w:bottom w:val="single" w:sz="8" w:space="0" w:color="auto"/>
              <w:right w:val="single" w:sz="8" w:space="0" w:color="auto"/>
            </w:tcBorders>
            <w:shd w:val="clear" w:color="auto" w:fill="auto"/>
            <w:noWrap/>
            <w:vAlign w:val="center"/>
            <w:hideMark/>
          </w:tcPr>
          <w:p w14:paraId="33FAAB63" w14:textId="000FFA30" w:rsidR="009725FD" w:rsidRPr="008F0732" w:rsidRDefault="000C6827" w:rsidP="00911709">
            <w:pPr>
              <w:jc w:val="right"/>
              <w:rPr>
                <w:rFonts w:ascii="Arial" w:hAnsi="Arial" w:cs="Arial"/>
                <w:b w:val="0"/>
                <w:color w:val="000000"/>
              </w:rPr>
            </w:pPr>
            <w:r>
              <w:rPr>
                <w:rFonts w:ascii="Arial" w:hAnsi="Arial" w:cs="Arial"/>
                <w:b w:val="0"/>
                <w:color w:val="000000"/>
              </w:rPr>
              <w:t>1,451,768</w:t>
            </w:r>
          </w:p>
        </w:tc>
      </w:tr>
    </w:tbl>
    <w:p w14:paraId="0620DC8E" w14:textId="77777777" w:rsidR="00464DB7" w:rsidRPr="00CF0738" w:rsidRDefault="00464DB7" w:rsidP="00911709">
      <w:pPr>
        <w:rPr>
          <w:rFonts w:ascii="Arial" w:hAnsi="Arial" w:cs="Arial"/>
        </w:rPr>
      </w:pPr>
    </w:p>
    <w:p w14:paraId="35B9DC33" w14:textId="77777777" w:rsidR="00C30FC1" w:rsidRDefault="00C30FC1" w:rsidP="00911709"/>
    <w:p w14:paraId="3641553D" w14:textId="77777777" w:rsidR="009725FD" w:rsidRDefault="009725FD" w:rsidP="00911709"/>
    <w:p w14:paraId="036FCE4B" w14:textId="77777777" w:rsidR="009725FD" w:rsidRDefault="009725FD" w:rsidP="00911709"/>
    <w:p w14:paraId="7349D182" w14:textId="77777777" w:rsidR="009725FD" w:rsidRDefault="009725FD" w:rsidP="00911709"/>
    <w:p w14:paraId="16534776" w14:textId="16890420" w:rsidR="00006BDA" w:rsidRPr="00F806E9" w:rsidRDefault="00006BDA" w:rsidP="00C20F04">
      <w:pPr>
        <w:spacing w:before="120" w:after="120" w:line="360" w:lineRule="auto"/>
        <w:jc w:val="both"/>
        <w:rPr>
          <w:rFonts w:ascii="Arial" w:hAnsi="Arial" w:cs="Arial"/>
          <w:b w:val="0"/>
          <w:sz w:val="22"/>
        </w:rPr>
      </w:pPr>
    </w:p>
    <w:sectPr w:rsidR="00006BDA" w:rsidRPr="00F806E9" w:rsidSect="0013592B">
      <w:headerReference w:type="default" r:id="rId37"/>
      <w:footerReference w:type="default" r:id="rId38"/>
      <w:pgSz w:w="12240" w:h="15840" w:code="1"/>
      <w:pgMar w:top="576" w:right="1008" w:bottom="720" w:left="1152"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7815C" w14:textId="77777777" w:rsidR="00B90424" w:rsidRDefault="00B90424" w:rsidP="00E21F2B">
      <w:r>
        <w:separator/>
      </w:r>
    </w:p>
  </w:endnote>
  <w:endnote w:type="continuationSeparator" w:id="0">
    <w:p w14:paraId="61DA4208" w14:textId="77777777" w:rsidR="00B90424" w:rsidRDefault="00B90424" w:rsidP="00E2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50C6" w14:textId="2DB43FB0" w:rsidR="00037B3A" w:rsidRPr="00402943" w:rsidRDefault="00037B3A" w:rsidP="00417341">
    <w:pPr>
      <w:pStyle w:val="Footer"/>
      <w:tabs>
        <w:tab w:val="clear" w:pos="4320"/>
        <w:tab w:val="clear" w:pos="8640"/>
        <w:tab w:val="center" w:pos="4590"/>
        <w:tab w:val="right" w:pos="9630"/>
      </w:tabs>
      <w:rPr>
        <w:rFonts w:ascii="Arial" w:hAnsi="Arial" w:cs="Arial"/>
        <w:b w:val="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AAE8" w14:textId="77777777" w:rsidR="00037B3A" w:rsidRDefault="00037B3A" w:rsidP="00CD6BF9">
    <w:pPr>
      <w:pStyle w:val="Footer"/>
      <w:tabs>
        <w:tab w:val="clear" w:pos="4320"/>
        <w:tab w:val="clear" w:pos="8640"/>
        <w:tab w:val="center" w:pos="6660"/>
        <w:tab w:val="right" w:pos="13320"/>
      </w:tabs>
      <w:rPr>
        <w:rStyle w:val="PageNumber"/>
        <w:rFonts w:ascii="Arial" w:hAnsi="Arial" w:cs="Arial"/>
        <w:b w:val="0"/>
        <w:sz w:val="20"/>
        <w:szCs w:val="20"/>
      </w:rPr>
    </w:pPr>
    <w:r w:rsidRPr="00FB1088">
      <w:rPr>
        <w:rFonts w:ascii="Arial" w:hAnsi="Arial" w:cs="Arial"/>
        <w:b w:val="0"/>
        <w:sz w:val="20"/>
        <w:szCs w:val="20"/>
      </w:rPr>
      <w:t>El Paso Electric Company</w:t>
    </w:r>
    <w:r w:rsidRPr="00FB1088">
      <w:rPr>
        <w:rFonts w:ascii="Arial" w:hAnsi="Arial" w:cs="Arial"/>
        <w:b w:val="0"/>
        <w:sz w:val="20"/>
        <w:szCs w:val="20"/>
      </w:rPr>
      <w:tab/>
    </w:r>
    <w:r w:rsidRPr="00FB1088">
      <w:rPr>
        <w:rStyle w:val="PageNumber"/>
        <w:rFonts w:ascii="Arial" w:hAnsi="Arial" w:cs="Arial"/>
        <w:b w:val="0"/>
        <w:sz w:val="20"/>
        <w:szCs w:val="20"/>
      </w:rPr>
      <w:fldChar w:fldCharType="begin"/>
    </w:r>
    <w:r w:rsidRPr="00FB1088">
      <w:rPr>
        <w:rStyle w:val="PageNumber"/>
        <w:rFonts w:ascii="Arial" w:hAnsi="Arial" w:cs="Arial"/>
        <w:b w:val="0"/>
        <w:sz w:val="20"/>
        <w:szCs w:val="20"/>
      </w:rPr>
      <w:instrText xml:space="preserve"> PAGE </w:instrText>
    </w:r>
    <w:r w:rsidRPr="00FB1088">
      <w:rPr>
        <w:rStyle w:val="PageNumber"/>
        <w:rFonts w:ascii="Arial" w:hAnsi="Arial" w:cs="Arial"/>
        <w:b w:val="0"/>
        <w:sz w:val="20"/>
        <w:szCs w:val="20"/>
      </w:rPr>
      <w:fldChar w:fldCharType="separate"/>
    </w:r>
    <w:r w:rsidR="00D960E3">
      <w:rPr>
        <w:rStyle w:val="PageNumber"/>
        <w:rFonts w:ascii="Arial" w:hAnsi="Arial" w:cs="Arial"/>
        <w:b w:val="0"/>
        <w:noProof/>
        <w:sz w:val="20"/>
        <w:szCs w:val="20"/>
      </w:rPr>
      <w:t>23</w:t>
    </w:r>
    <w:r w:rsidRPr="00FB1088">
      <w:rPr>
        <w:rStyle w:val="PageNumber"/>
        <w:rFonts w:ascii="Arial" w:hAnsi="Arial" w:cs="Arial"/>
        <w:b w:val="0"/>
        <w:sz w:val="20"/>
        <w:szCs w:val="20"/>
      </w:rPr>
      <w:fldChar w:fldCharType="end"/>
    </w:r>
    <w:r w:rsidRPr="00FB1088">
      <w:rPr>
        <w:rStyle w:val="PageNumber"/>
        <w:rFonts w:ascii="Arial" w:hAnsi="Arial" w:cs="Arial"/>
        <w:b w:val="0"/>
        <w:sz w:val="20"/>
        <w:szCs w:val="20"/>
      </w:rPr>
      <w:tab/>
    </w:r>
    <w:r>
      <w:rPr>
        <w:rStyle w:val="PageNumber"/>
        <w:rFonts w:ascii="Arial" w:hAnsi="Arial" w:cs="Arial"/>
        <w:b w:val="0"/>
        <w:sz w:val="20"/>
        <w:szCs w:val="20"/>
      </w:rPr>
      <w:t>2018</w:t>
    </w:r>
    <w:r w:rsidRPr="00FB1088">
      <w:rPr>
        <w:rStyle w:val="PageNumber"/>
        <w:rFonts w:ascii="Arial" w:hAnsi="Arial" w:cs="Arial"/>
        <w:b w:val="0"/>
        <w:sz w:val="20"/>
        <w:szCs w:val="20"/>
      </w:rPr>
      <w:t xml:space="preserve"> Energy Efficiency Plan and Report</w:t>
    </w:r>
  </w:p>
  <w:p w14:paraId="3DB6D47E" w14:textId="485B274E" w:rsidR="00037B3A" w:rsidRPr="00FB1088" w:rsidRDefault="00037B3A" w:rsidP="00402943">
    <w:pPr>
      <w:pStyle w:val="Footer"/>
      <w:tabs>
        <w:tab w:val="clear" w:pos="4320"/>
        <w:tab w:val="clear" w:pos="8640"/>
        <w:tab w:val="center" w:pos="6660"/>
        <w:tab w:val="right" w:pos="13320"/>
      </w:tabs>
      <w:rP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88B" w14:textId="7DC81395" w:rsidR="00037B3A" w:rsidRDefault="00037B3A" w:rsidP="00C41110">
    <w:pPr>
      <w:pStyle w:val="Footer"/>
      <w:tabs>
        <w:tab w:val="clear" w:pos="4320"/>
        <w:tab w:val="clear" w:pos="8640"/>
        <w:tab w:val="center" w:pos="6660"/>
        <w:tab w:val="right" w:pos="13320"/>
      </w:tabs>
      <w:rPr>
        <w:rStyle w:val="PageNumber"/>
        <w:rFonts w:ascii="Arial" w:hAnsi="Arial" w:cs="Arial"/>
        <w:b w:val="0"/>
        <w:sz w:val="20"/>
        <w:szCs w:val="20"/>
      </w:rPr>
    </w:pPr>
    <w:r w:rsidRPr="00FB1088">
      <w:rPr>
        <w:rFonts w:ascii="Arial" w:hAnsi="Arial" w:cs="Arial"/>
        <w:b w:val="0"/>
        <w:sz w:val="20"/>
        <w:szCs w:val="20"/>
      </w:rPr>
      <w:t>El Paso Electric Company</w:t>
    </w:r>
    <w:r w:rsidRPr="00FB1088">
      <w:rPr>
        <w:rFonts w:ascii="Arial" w:hAnsi="Arial" w:cs="Arial"/>
        <w:b w:val="0"/>
        <w:sz w:val="20"/>
        <w:szCs w:val="20"/>
      </w:rPr>
      <w:tab/>
    </w:r>
    <w:r w:rsidRPr="00FB1088">
      <w:rPr>
        <w:rStyle w:val="PageNumber"/>
        <w:rFonts w:ascii="Arial" w:hAnsi="Arial" w:cs="Arial"/>
        <w:b w:val="0"/>
        <w:sz w:val="20"/>
        <w:szCs w:val="20"/>
      </w:rPr>
      <w:fldChar w:fldCharType="begin"/>
    </w:r>
    <w:r w:rsidRPr="00FB1088">
      <w:rPr>
        <w:rStyle w:val="PageNumber"/>
        <w:rFonts w:ascii="Arial" w:hAnsi="Arial" w:cs="Arial"/>
        <w:b w:val="0"/>
        <w:sz w:val="20"/>
        <w:szCs w:val="20"/>
      </w:rPr>
      <w:instrText xml:space="preserve"> PAGE </w:instrText>
    </w:r>
    <w:r w:rsidRPr="00FB1088">
      <w:rPr>
        <w:rStyle w:val="PageNumber"/>
        <w:rFonts w:ascii="Arial" w:hAnsi="Arial" w:cs="Arial"/>
        <w:b w:val="0"/>
        <w:sz w:val="20"/>
        <w:szCs w:val="20"/>
      </w:rPr>
      <w:fldChar w:fldCharType="separate"/>
    </w:r>
    <w:r w:rsidR="00D960E3">
      <w:rPr>
        <w:rStyle w:val="PageNumber"/>
        <w:rFonts w:ascii="Arial" w:hAnsi="Arial" w:cs="Arial"/>
        <w:b w:val="0"/>
        <w:noProof/>
        <w:sz w:val="20"/>
        <w:szCs w:val="20"/>
      </w:rPr>
      <w:t>22</w:t>
    </w:r>
    <w:r w:rsidRPr="00FB1088">
      <w:rPr>
        <w:rStyle w:val="PageNumber"/>
        <w:rFonts w:ascii="Arial" w:hAnsi="Arial" w:cs="Arial"/>
        <w:b w:val="0"/>
        <w:sz w:val="20"/>
        <w:szCs w:val="20"/>
      </w:rPr>
      <w:fldChar w:fldCharType="end"/>
    </w:r>
    <w:r w:rsidRPr="00FB1088">
      <w:rPr>
        <w:rStyle w:val="PageNumber"/>
        <w:rFonts w:ascii="Arial" w:hAnsi="Arial" w:cs="Arial"/>
        <w:b w:val="0"/>
        <w:sz w:val="20"/>
        <w:szCs w:val="20"/>
      </w:rPr>
      <w:tab/>
    </w:r>
    <w:r>
      <w:rPr>
        <w:rStyle w:val="PageNumber"/>
        <w:rFonts w:ascii="Arial" w:hAnsi="Arial" w:cs="Arial"/>
        <w:b w:val="0"/>
        <w:sz w:val="20"/>
        <w:szCs w:val="20"/>
      </w:rPr>
      <w:t>2018</w:t>
    </w:r>
    <w:r w:rsidRPr="00FB1088">
      <w:rPr>
        <w:rStyle w:val="PageNumber"/>
        <w:rFonts w:ascii="Arial" w:hAnsi="Arial" w:cs="Arial"/>
        <w:b w:val="0"/>
        <w:sz w:val="20"/>
        <w:szCs w:val="20"/>
      </w:rPr>
      <w:t xml:space="preserve"> Energy Efficiency Plan and Report</w:t>
    </w:r>
  </w:p>
  <w:p w14:paraId="568237A0" w14:textId="5B0E6070" w:rsidR="00037B3A" w:rsidRPr="00FB1088" w:rsidRDefault="00037B3A" w:rsidP="00C41110">
    <w:pPr>
      <w:pStyle w:val="Footer"/>
      <w:tabs>
        <w:tab w:val="clear" w:pos="4320"/>
        <w:tab w:val="clear" w:pos="8640"/>
        <w:tab w:val="center" w:pos="6660"/>
        <w:tab w:val="right" w:pos="1332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3FAE" w14:textId="3BFA0F12" w:rsidR="00037B3A" w:rsidRPr="00402943" w:rsidRDefault="00037B3A" w:rsidP="00402943">
    <w:pPr>
      <w:pStyle w:val="Footer"/>
      <w:tabs>
        <w:tab w:val="clear" w:pos="4320"/>
        <w:tab w:val="clear" w:pos="8640"/>
        <w:tab w:val="center" w:pos="4680"/>
        <w:tab w:val="right" w:pos="9630"/>
      </w:tabs>
      <w:rP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25</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2018</w:t>
    </w:r>
    <w:r w:rsidRPr="00402943">
      <w:rPr>
        <w:rStyle w:val="PageNumber"/>
        <w:rFonts w:ascii="Arial" w:hAnsi="Arial" w:cs="Arial"/>
        <w:b w:val="0"/>
        <w:sz w:val="20"/>
        <w:szCs w:val="20"/>
      </w:rPr>
      <w:t xml:space="preserve"> Energy Efficiency Plan and Report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2EC3" w14:textId="5180800C" w:rsidR="00037B3A" w:rsidRDefault="00037B3A" w:rsidP="0040294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24</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t>201</w:t>
    </w:r>
    <w:r>
      <w:rPr>
        <w:rStyle w:val="PageNumber"/>
        <w:rFonts w:ascii="Arial" w:hAnsi="Arial" w:cs="Arial"/>
        <w:b w:val="0"/>
        <w:sz w:val="20"/>
        <w:szCs w:val="20"/>
      </w:rPr>
      <w:t>8</w:t>
    </w:r>
    <w:r w:rsidRPr="00402943">
      <w:rPr>
        <w:rStyle w:val="PageNumber"/>
        <w:rFonts w:ascii="Arial" w:hAnsi="Arial" w:cs="Arial"/>
        <w:b w:val="0"/>
        <w:sz w:val="20"/>
        <w:szCs w:val="20"/>
      </w:rPr>
      <w:t xml:space="preserve"> Energy Efficiency Plan and Report</w:t>
    </w:r>
  </w:p>
  <w:p w14:paraId="087C5F04" w14:textId="1BF2D651" w:rsidR="00037B3A" w:rsidRPr="00402943" w:rsidRDefault="00037B3A" w:rsidP="00402943">
    <w:pPr>
      <w:pStyle w:val="Footer"/>
      <w:tabs>
        <w:tab w:val="clear" w:pos="4320"/>
        <w:tab w:val="clear" w:pos="8640"/>
        <w:tab w:val="center" w:pos="4680"/>
        <w:tab w:val="right" w:pos="9630"/>
      </w:tabs>
      <w:rPr>
        <w:rFonts w:ascii="Arial" w:hAnsi="Arial" w:cs="Arial"/>
        <w:b w:val="0"/>
        <w:sz w:val="20"/>
        <w:szCs w:val="20"/>
      </w:rPr>
    </w:pPr>
    <w:r>
      <w:rPr>
        <w:rStyle w:val="PageNumber"/>
        <w:rFonts w:ascii="Arial" w:hAnsi="Arial" w:cs="Arial"/>
        <w:b w:val="0"/>
        <w:sz w:val="20"/>
        <w:szCs w:val="20"/>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val="0"/>
        <w:sz w:val="20"/>
        <w:szCs w:val="20"/>
      </w:rPr>
      <w:id w:val="258184306"/>
      <w:docPartObj>
        <w:docPartGallery w:val="Page Numbers (Bottom of Page)"/>
        <w:docPartUnique/>
      </w:docPartObj>
    </w:sdtPr>
    <w:sdtEndPr>
      <w:rPr>
        <w:noProof/>
      </w:rPr>
    </w:sdtEndPr>
    <w:sdtContent>
      <w:p w14:paraId="3E798139" w14:textId="0B5174AC" w:rsidR="00037B3A" w:rsidRPr="0013592B" w:rsidRDefault="00037B3A" w:rsidP="004E60CF">
        <w:pPr>
          <w:pStyle w:val="Footer"/>
          <w:rPr>
            <w:rFonts w:ascii="Arial" w:hAnsi="Arial" w:cs="Arial"/>
            <w:b w:val="0"/>
            <w:sz w:val="20"/>
            <w:szCs w:val="20"/>
          </w:rPr>
        </w:pPr>
        <w:r w:rsidRPr="0013592B">
          <w:rPr>
            <w:rFonts w:ascii="Arial" w:hAnsi="Arial" w:cs="Arial"/>
            <w:b w:val="0"/>
            <w:sz w:val="20"/>
            <w:szCs w:val="20"/>
          </w:rPr>
          <w:t xml:space="preserve">El Paso Electric Company </w:t>
        </w:r>
        <w:r>
          <w:rPr>
            <w:rFonts w:ascii="Arial" w:hAnsi="Arial" w:cs="Arial"/>
            <w:b w:val="0"/>
            <w:sz w:val="20"/>
            <w:szCs w:val="20"/>
          </w:rPr>
          <w:t xml:space="preserve">                                       </w:t>
        </w:r>
        <w:r w:rsidRPr="0013592B">
          <w:rPr>
            <w:rFonts w:ascii="Arial" w:hAnsi="Arial" w:cs="Arial"/>
            <w:b w:val="0"/>
            <w:sz w:val="20"/>
            <w:szCs w:val="20"/>
          </w:rPr>
          <w:t>A-</w:t>
        </w:r>
        <w:r w:rsidRPr="0013592B">
          <w:rPr>
            <w:rFonts w:ascii="Arial" w:hAnsi="Arial" w:cs="Arial"/>
            <w:b w:val="0"/>
            <w:sz w:val="20"/>
            <w:szCs w:val="20"/>
          </w:rPr>
          <w:fldChar w:fldCharType="begin"/>
        </w:r>
        <w:r w:rsidRPr="0013592B">
          <w:rPr>
            <w:rFonts w:ascii="Arial" w:hAnsi="Arial" w:cs="Arial"/>
            <w:b w:val="0"/>
            <w:sz w:val="20"/>
            <w:szCs w:val="20"/>
          </w:rPr>
          <w:instrText xml:space="preserve"> PAGE   \* MERGEFORMAT </w:instrText>
        </w:r>
        <w:r w:rsidRPr="0013592B">
          <w:rPr>
            <w:rFonts w:ascii="Arial" w:hAnsi="Arial" w:cs="Arial"/>
            <w:b w:val="0"/>
            <w:sz w:val="20"/>
            <w:szCs w:val="20"/>
          </w:rPr>
          <w:fldChar w:fldCharType="separate"/>
        </w:r>
        <w:r w:rsidR="00D960E3">
          <w:rPr>
            <w:rFonts w:ascii="Arial" w:hAnsi="Arial" w:cs="Arial"/>
            <w:b w:val="0"/>
            <w:noProof/>
            <w:sz w:val="20"/>
            <w:szCs w:val="20"/>
          </w:rPr>
          <w:t>2</w:t>
        </w:r>
        <w:r w:rsidRPr="0013592B">
          <w:rPr>
            <w:rFonts w:ascii="Arial" w:hAnsi="Arial" w:cs="Arial"/>
            <w:b w:val="0"/>
            <w:noProof/>
            <w:sz w:val="20"/>
            <w:szCs w:val="20"/>
          </w:rPr>
          <w:fldChar w:fldCharType="end"/>
        </w:r>
        <w:r w:rsidRPr="0013592B">
          <w:rPr>
            <w:rFonts w:ascii="Arial" w:hAnsi="Arial" w:cs="Arial"/>
            <w:b w:val="0"/>
            <w:noProof/>
            <w:sz w:val="20"/>
            <w:szCs w:val="20"/>
          </w:rPr>
          <w:t xml:space="preserve"> </w:t>
        </w:r>
        <w:r>
          <w:rPr>
            <w:rFonts w:ascii="Arial" w:hAnsi="Arial" w:cs="Arial"/>
            <w:b w:val="0"/>
            <w:noProof/>
            <w:sz w:val="20"/>
            <w:szCs w:val="20"/>
          </w:rPr>
          <w:tab/>
          <w:t xml:space="preserve">                             </w:t>
        </w:r>
        <w:r w:rsidRPr="0013592B">
          <w:rPr>
            <w:rStyle w:val="PageNumber"/>
            <w:rFonts w:ascii="Arial" w:hAnsi="Arial" w:cs="Arial"/>
            <w:b w:val="0"/>
            <w:sz w:val="20"/>
            <w:szCs w:val="20"/>
          </w:rPr>
          <w:t>2018 Energy Efficiency Plan and Report</w:t>
        </w:r>
      </w:p>
    </w:sdtContent>
  </w:sdt>
  <w:p w14:paraId="105E08A4" w14:textId="2A23E79F" w:rsidR="00037B3A" w:rsidRPr="0013592B" w:rsidRDefault="00037B3A" w:rsidP="004E60CF">
    <w:pPr>
      <w:pStyle w:val="Footer"/>
      <w:tabs>
        <w:tab w:val="clear" w:pos="4320"/>
        <w:tab w:val="clear" w:pos="8640"/>
        <w:tab w:val="center" w:pos="4680"/>
        <w:tab w:val="right" w:pos="9630"/>
      </w:tabs>
      <w:rPr>
        <w:rFonts w:ascii="Arial" w:hAnsi="Arial" w:cs="Arial"/>
        <w:b w:val="0"/>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70D3" w14:textId="77777777" w:rsidR="00037B3A" w:rsidRPr="0081622F" w:rsidRDefault="00037B3A" w:rsidP="0081622F">
    <w:pPr>
      <w:pStyle w:val="Footer"/>
      <w:tabs>
        <w:tab w:val="clear" w:pos="4320"/>
        <w:tab w:val="clear" w:pos="8640"/>
        <w:tab w:val="center" w:pos="4680"/>
        <w:tab w:val="right" w:pos="9630"/>
      </w:tabs>
      <w:rPr>
        <w:rStyle w:val="PageNumber"/>
        <w:b w:val="0"/>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758D" w14:textId="6F663EEF" w:rsidR="00037B3A" w:rsidRDefault="00037B3A" w:rsidP="0081622F">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tab/>
    </w:r>
    <w:r>
      <w:rPr>
        <w:rStyle w:val="PageNumber"/>
        <w:rFonts w:ascii="Arial" w:hAnsi="Arial" w:cs="Arial"/>
        <w:b w:val="0"/>
        <w:sz w:val="20"/>
        <w:szCs w:val="20"/>
      </w:rPr>
      <w:t>2018</w:t>
    </w:r>
    <w:r w:rsidRPr="00402943">
      <w:rPr>
        <w:rStyle w:val="PageNumber"/>
        <w:rFonts w:ascii="Arial" w:hAnsi="Arial" w:cs="Arial"/>
        <w:b w:val="0"/>
        <w:sz w:val="20"/>
        <w:szCs w:val="20"/>
      </w:rPr>
      <w:t xml:space="preserve"> Energy Efficiency Plan and Report</w:t>
    </w:r>
  </w:p>
  <w:p w14:paraId="696AA5F4" w14:textId="4976079E" w:rsidR="00037B3A" w:rsidRPr="00402943" w:rsidRDefault="00037B3A" w:rsidP="0081622F">
    <w:pPr>
      <w:pStyle w:val="Footer"/>
      <w:tabs>
        <w:tab w:val="clear" w:pos="4320"/>
        <w:tab w:val="clear" w:pos="8640"/>
        <w:tab w:val="center" w:pos="4680"/>
        <w:tab w:val="right" w:pos="963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40E4" w14:textId="2CB6D197" w:rsidR="00037B3A" w:rsidRDefault="00037B3A" w:rsidP="0040294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13</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2018</w:t>
    </w:r>
    <w:r w:rsidRPr="00402943">
      <w:rPr>
        <w:rStyle w:val="PageNumber"/>
        <w:rFonts w:ascii="Arial" w:hAnsi="Arial" w:cs="Arial"/>
        <w:b w:val="0"/>
        <w:sz w:val="20"/>
        <w:szCs w:val="20"/>
      </w:rPr>
      <w:t xml:space="preserve"> Energy Efficiency Plan and Report</w:t>
    </w:r>
  </w:p>
  <w:p w14:paraId="75552F8A" w14:textId="70017FE3" w:rsidR="00037B3A" w:rsidRPr="00402943" w:rsidRDefault="00037B3A" w:rsidP="00402943">
    <w:pPr>
      <w:pStyle w:val="Footer"/>
      <w:tabs>
        <w:tab w:val="clear" w:pos="4320"/>
        <w:tab w:val="clear" w:pos="8640"/>
        <w:tab w:val="center" w:pos="4680"/>
        <w:tab w:val="right" w:pos="963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1E9A" w14:textId="1EF4435B" w:rsidR="00037B3A" w:rsidRDefault="00037B3A" w:rsidP="0081622F">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1</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2018</w:t>
    </w:r>
    <w:r w:rsidRPr="00402943">
      <w:rPr>
        <w:rStyle w:val="PageNumber"/>
        <w:rFonts w:ascii="Arial" w:hAnsi="Arial" w:cs="Arial"/>
        <w:b w:val="0"/>
        <w:sz w:val="20"/>
        <w:szCs w:val="20"/>
      </w:rPr>
      <w:t xml:space="preserve"> Energy Efficiency Plan and Report</w:t>
    </w:r>
  </w:p>
  <w:p w14:paraId="107546BC" w14:textId="3FA0A0E0" w:rsidR="00037B3A" w:rsidRPr="00402943" w:rsidRDefault="00037B3A" w:rsidP="0081622F">
    <w:pPr>
      <w:pStyle w:val="Footer"/>
      <w:tabs>
        <w:tab w:val="clear" w:pos="4320"/>
        <w:tab w:val="clear" w:pos="8640"/>
        <w:tab w:val="center" w:pos="4680"/>
        <w:tab w:val="right" w:pos="963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969" w14:textId="7FF21C39" w:rsidR="00037B3A" w:rsidRDefault="00037B3A" w:rsidP="001A4CD9">
    <w:pPr>
      <w:pStyle w:val="Footer"/>
      <w:tabs>
        <w:tab w:val="clear" w:pos="4320"/>
        <w:tab w:val="clear" w:pos="8640"/>
        <w:tab w:val="center" w:pos="4680"/>
        <w:tab w:val="right" w:pos="9540"/>
        <w:tab w:val="right" w:pos="13320"/>
      </w:tabs>
      <w:rPr>
        <w:rStyle w:val="PageNumber"/>
        <w:rFonts w:ascii="Arial" w:hAnsi="Arial" w:cs="Arial"/>
        <w:b w:val="0"/>
        <w:sz w:val="20"/>
        <w:szCs w:val="20"/>
      </w:rPr>
    </w:pPr>
    <w:r w:rsidRPr="00240238">
      <w:rPr>
        <w:rFonts w:ascii="Arial" w:hAnsi="Arial" w:cs="Arial"/>
        <w:b w:val="0"/>
        <w:sz w:val="20"/>
        <w:szCs w:val="20"/>
      </w:rPr>
      <w:t>El Paso Electric Company</w:t>
    </w:r>
    <w:r w:rsidRPr="00240238">
      <w:rPr>
        <w:rFonts w:ascii="Arial" w:hAnsi="Arial" w:cs="Arial"/>
        <w:b w:val="0"/>
        <w:sz w:val="20"/>
        <w:szCs w:val="20"/>
      </w:rPr>
      <w:tab/>
    </w:r>
    <w:r w:rsidRPr="00240238">
      <w:rPr>
        <w:rStyle w:val="PageNumber"/>
        <w:rFonts w:ascii="Arial" w:hAnsi="Arial" w:cs="Arial"/>
        <w:b w:val="0"/>
        <w:sz w:val="20"/>
        <w:szCs w:val="20"/>
      </w:rPr>
      <w:fldChar w:fldCharType="begin"/>
    </w:r>
    <w:r w:rsidRPr="00240238">
      <w:rPr>
        <w:rStyle w:val="PageNumber"/>
        <w:rFonts w:ascii="Arial" w:hAnsi="Arial" w:cs="Arial"/>
        <w:b w:val="0"/>
        <w:sz w:val="20"/>
        <w:szCs w:val="20"/>
      </w:rPr>
      <w:instrText xml:space="preserve"> PAGE </w:instrText>
    </w:r>
    <w:r w:rsidRPr="00240238">
      <w:rPr>
        <w:rStyle w:val="PageNumber"/>
        <w:rFonts w:ascii="Arial" w:hAnsi="Arial" w:cs="Arial"/>
        <w:b w:val="0"/>
        <w:sz w:val="20"/>
        <w:szCs w:val="20"/>
      </w:rPr>
      <w:fldChar w:fldCharType="separate"/>
    </w:r>
    <w:r w:rsidR="00D960E3">
      <w:rPr>
        <w:rStyle w:val="PageNumber"/>
        <w:rFonts w:ascii="Arial" w:hAnsi="Arial" w:cs="Arial"/>
        <w:b w:val="0"/>
        <w:noProof/>
        <w:sz w:val="20"/>
        <w:szCs w:val="20"/>
      </w:rPr>
      <w:t>19</w:t>
    </w:r>
    <w:r w:rsidRPr="00240238">
      <w:rPr>
        <w:rStyle w:val="PageNumber"/>
        <w:rFonts w:ascii="Arial" w:hAnsi="Arial" w:cs="Arial"/>
        <w:b w:val="0"/>
        <w:sz w:val="20"/>
        <w:szCs w:val="20"/>
      </w:rPr>
      <w:fldChar w:fldCharType="end"/>
    </w:r>
    <w:r w:rsidRPr="00240238">
      <w:rPr>
        <w:rStyle w:val="PageNumber"/>
        <w:rFonts w:ascii="Arial" w:hAnsi="Arial" w:cs="Arial"/>
        <w:b w:val="0"/>
        <w:sz w:val="20"/>
        <w:szCs w:val="20"/>
      </w:rPr>
      <w:tab/>
    </w:r>
    <w:r w:rsidRPr="00CC2D21">
      <w:rPr>
        <w:rStyle w:val="PageNumber"/>
        <w:rFonts w:ascii="Arial" w:hAnsi="Arial" w:cs="Arial"/>
        <w:b w:val="0"/>
        <w:sz w:val="20"/>
        <w:szCs w:val="20"/>
      </w:rPr>
      <w:t>201</w:t>
    </w:r>
    <w:r>
      <w:rPr>
        <w:rStyle w:val="PageNumber"/>
        <w:rFonts w:ascii="Arial" w:hAnsi="Arial" w:cs="Arial"/>
        <w:b w:val="0"/>
        <w:sz w:val="20"/>
        <w:szCs w:val="20"/>
      </w:rPr>
      <w:t>8</w:t>
    </w:r>
    <w:r w:rsidRPr="00CC2D21">
      <w:rPr>
        <w:rStyle w:val="PageNumber"/>
        <w:rFonts w:ascii="Arial" w:hAnsi="Arial" w:cs="Arial"/>
        <w:b w:val="0"/>
        <w:sz w:val="20"/>
        <w:szCs w:val="20"/>
      </w:rPr>
      <w:t xml:space="preserve"> Energy Efficiency Plan and Report</w:t>
    </w:r>
    <w:r>
      <w:rPr>
        <w:rStyle w:val="PageNumber"/>
        <w:rFonts w:ascii="Arial" w:hAnsi="Arial" w:cs="Arial"/>
        <w:b w:val="0"/>
        <w:sz w:val="20"/>
        <w:szCs w:val="20"/>
      </w:rPr>
      <w:t>,</w:t>
    </w:r>
  </w:p>
  <w:p w14:paraId="4BABEC75" w14:textId="0631B69D" w:rsidR="00037B3A" w:rsidRPr="00240238" w:rsidRDefault="00037B3A" w:rsidP="001A4CD9">
    <w:pPr>
      <w:pStyle w:val="Footer"/>
      <w:tabs>
        <w:tab w:val="clear" w:pos="4320"/>
        <w:tab w:val="clear" w:pos="8640"/>
        <w:tab w:val="center" w:pos="4680"/>
        <w:tab w:val="right" w:pos="9540"/>
        <w:tab w:val="right" w:pos="13320"/>
      </w:tabs>
      <w:rPr>
        <w:rStyle w:val="PageNumber"/>
        <w:rFonts w:ascii="Arial" w:hAnsi="Arial" w:cs="Arial"/>
        <w:b w:val="0"/>
        <w:i/>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B3C6" w14:textId="104889A5" w:rsidR="00037B3A" w:rsidRDefault="00037B3A" w:rsidP="00B93A7F">
    <w:pPr>
      <w:pStyle w:val="Footer"/>
      <w:tabs>
        <w:tab w:val="clear" w:pos="4320"/>
        <w:tab w:val="clear" w:pos="8640"/>
        <w:tab w:val="center" w:pos="6750"/>
        <w:tab w:val="right" w:pos="1332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14</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t>201</w:t>
    </w:r>
    <w:r>
      <w:rPr>
        <w:rStyle w:val="PageNumber"/>
        <w:rFonts w:ascii="Arial" w:hAnsi="Arial" w:cs="Arial"/>
        <w:b w:val="0"/>
        <w:sz w:val="20"/>
        <w:szCs w:val="20"/>
      </w:rPr>
      <w:t>8</w:t>
    </w:r>
    <w:r w:rsidRPr="00402943">
      <w:rPr>
        <w:rStyle w:val="PageNumber"/>
        <w:rFonts w:ascii="Arial" w:hAnsi="Arial" w:cs="Arial"/>
        <w:b w:val="0"/>
        <w:sz w:val="20"/>
        <w:szCs w:val="20"/>
      </w:rPr>
      <w:t xml:space="preserve"> Energy Efficiency Plan and Report</w:t>
    </w:r>
    <w:r>
      <w:rPr>
        <w:rStyle w:val="PageNumber"/>
        <w:rFonts w:ascii="Arial" w:hAnsi="Arial" w:cs="Arial"/>
        <w:b w:val="0"/>
        <w:sz w:val="20"/>
        <w:szCs w:val="20"/>
      </w:rPr>
      <w:t>,</w:t>
    </w:r>
  </w:p>
  <w:p w14:paraId="472208F2" w14:textId="49D5315E" w:rsidR="00037B3A" w:rsidRPr="00402943" w:rsidRDefault="00037B3A" w:rsidP="00B93A7F">
    <w:pPr>
      <w:pStyle w:val="Footer"/>
      <w:tabs>
        <w:tab w:val="clear" w:pos="4320"/>
        <w:tab w:val="clear" w:pos="8640"/>
        <w:tab w:val="center" w:pos="6750"/>
        <w:tab w:val="right" w:pos="1332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F930A" w14:textId="300BEFD4" w:rsidR="00037B3A" w:rsidRDefault="00037B3A" w:rsidP="001335E6">
    <w:pPr>
      <w:pStyle w:val="Footer"/>
      <w:tabs>
        <w:tab w:val="clear" w:pos="4320"/>
        <w:tab w:val="clear" w:pos="8640"/>
        <w:tab w:val="center" w:pos="4680"/>
        <w:tab w:val="right" w:pos="9540"/>
        <w:tab w:val="right" w:pos="13320"/>
      </w:tabs>
      <w:rPr>
        <w:rStyle w:val="PageNumber"/>
        <w:rFonts w:ascii="Arial" w:hAnsi="Arial" w:cs="Arial"/>
        <w:b w:val="0"/>
        <w:sz w:val="20"/>
        <w:szCs w:val="20"/>
      </w:rPr>
    </w:pPr>
    <w:r w:rsidRPr="00240238">
      <w:rPr>
        <w:rFonts w:ascii="Arial" w:hAnsi="Arial" w:cs="Arial"/>
        <w:b w:val="0"/>
        <w:sz w:val="20"/>
        <w:szCs w:val="20"/>
      </w:rPr>
      <w:t>El Paso Electric Company</w:t>
    </w:r>
    <w:r w:rsidRPr="00240238">
      <w:rPr>
        <w:rFonts w:ascii="Arial" w:hAnsi="Arial" w:cs="Arial"/>
        <w:b w:val="0"/>
        <w:sz w:val="20"/>
        <w:szCs w:val="20"/>
      </w:rPr>
      <w:tab/>
    </w:r>
    <w:r w:rsidRPr="00240238">
      <w:rPr>
        <w:rStyle w:val="PageNumber"/>
        <w:rFonts w:ascii="Arial" w:hAnsi="Arial" w:cs="Arial"/>
        <w:b w:val="0"/>
        <w:sz w:val="20"/>
        <w:szCs w:val="20"/>
      </w:rPr>
      <w:fldChar w:fldCharType="begin"/>
    </w:r>
    <w:r w:rsidRPr="00240238">
      <w:rPr>
        <w:rStyle w:val="PageNumber"/>
        <w:rFonts w:ascii="Arial" w:hAnsi="Arial" w:cs="Arial"/>
        <w:b w:val="0"/>
        <w:sz w:val="20"/>
        <w:szCs w:val="20"/>
      </w:rPr>
      <w:instrText xml:space="preserve"> PAGE </w:instrText>
    </w:r>
    <w:r w:rsidRPr="00240238">
      <w:rPr>
        <w:rStyle w:val="PageNumber"/>
        <w:rFonts w:ascii="Arial" w:hAnsi="Arial" w:cs="Arial"/>
        <w:b w:val="0"/>
        <w:sz w:val="20"/>
        <w:szCs w:val="20"/>
      </w:rPr>
      <w:fldChar w:fldCharType="separate"/>
    </w:r>
    <w:r w:rsidR="00D960E3">
      <w:rPr>
        <w:rStyle w:val="PageNumber"/>
        <w:rFonts w:ascii="Arial" w:hAnsi="Arial" w:cs="Arial"/>
        <w:b w:val="0"/>
        <w:noProof/>
        <w:sz w:val="20"/>
        <w:szCs w:val="20"/>
      </w:rPr>
      <w:t>20</w:t>
    </w:r>
    <w:r w:rsidRPr="00240238">
      <w:rPr>
        <w:rStyle w:val="PageNumber"/>
        <w:rFonts w:ascii="Arial" w:hAnsi="Arial" w:cs="Arial"/>
        <w:b w:val="0"/>
        <w:sz w:val="20"/>
        <w:szCs w:val="20"/>
      </w:rPr>
      <w:fldChar w:fldCharType="end"/>
    </w:r>
    <w:r w:rsidRPr="00240238">
      <w:rPr>
        <w:rStyle w:val="PageNumber"/>
        <w:rFonts w:ascii="Arial" w:hAnsi="Arial" w:cs="Arial"/>
        <w:b w:val="0"/>
        <w:sz w:val="20"/>
        <w:szCs w:val="20"/>
      </w:rPr>
      <w:tab/>
    </w:r>
    <w:r w:rsidRPr="00CC2D21">
      <w:rPr>
        <w:rStyle w:val="PageNumber"/>
        <w:rFonts w:ascii="Arial" w:hAnsi="Arial" w:cs="Arial"/>
        <w:b w:val="0"/>
        <w:sz w:val="20"/>
        <w:szCs w:val="20"/>
      </w:rPr>
      <w:t>201</w:t>
    </w:r>
    <w:r>
      <w:rPr>
        <w:rStyle w:val="PageNumber"/>
        <w:rFonts w:ascii="Arial" w:hAnsi="Arial" w:cs="Arial"/>
        <w:b w:val="0"/>
        <w:sz w:val="20"/>
        <w:szCs w:val="20"/>
      </w:rPr>
      <w:t>8</w:t>
    </w:r>
    <w:r w:rsidRPr="00CC2D21">
      <w:rPr>
        <w:rStyle w:val="PageNumber"/>
        <w:rFonts w:ascii="Arial" w:hAnsi="Arial" w:cs="Arial"/>
        <w:b w:val="0"/>
        <w:sz w:val="20"/>
        <w:szCs w:val="20"/>
      </w:rPr>
      <w:t xml:space="preserve"> Energy Efficiency Plan and Report</w:t>
    </w:r>
  </w:p>
  <w:p w14:paraId="0DA088F3" w14:textId="54FC680A" w:rsidR="00037B3A" w:rsidRPr="00240238" w:rsidRDefault="00037B3A" w:rsidP="001335E6">
    <w:pPr>
      <w:pStyle w:val="Footer"/>
      <w:tabs>
        <w:tab w:val="clear" w:pos="4320"/>
        <w:tab w:val="clear" w:pos="8640"/>
        <w:tab w:val="center" w:pos="4680"/>
        <w:tab w:val="right" w:pos="9540"/>
        <w:tab w:val="right" w:pos="13320"/>
      </w:tabs>
      <w:rPr>
        <w:rStyle w:val="PageNumber"/>
        <w:rFonts w:ascii="Arial" w:hAnsi="Arial" w:cs="Arial"/>
        <w:b w:val="0"/>
        <w:i/>
        <w:sz w:val="20"/>
        <w:szCs w:val="20"/>
      </w:rPr>
    </w:pPr>
    <w:r>
      <w:rPr>
        <w:rStyle w:val="PageNumber"/>
        <w:rFonts w:ascii="Arial" w:hAnsi="Arial" w:cs="Arial"/>
        <w:b w:val="0"/>
        <w:sz w:val="20"/>
        <w:szCs w:val="20"/>
      </w:rPr>
      <w:tab/>
    </w:r>
    <w:r>
      <w:rPr>
        <w:rStyle w:val="PageNumber"/>
        <w:rFonts w:ascii="Arial" w:hAnsi="Arial" w:cs="Arial"/>
        <w:b w:val="0"/>
        <w:sz w:val="20"/>
        <w:szCs w:val="20"/>
      </w:rPr>
      <w:tab/>
    </w:r>
  </w:p>
  <w:p w14:paraId="44B4EBAC" w14:textId="5289489E" w:rsidR="00037B3A" w:rsidRPr="00FB1088" w:rsidRDefault="00037B3A" w:rsidP="00B90B29">
    <w:pPr>
      <w:pStyle w:val="Footer"/>
      <w:tabs>
        <w:tab w:val="clear" w:pos="4320"/>
        <w:tab w:val="clear" w:pos="8640"/>
        <w:tab w:val="center" w:pos="7380"/>
        <w:tab w:val="right" w:pos="14400"/>
      </w:tabs>
      <w:rPr>
        <w:rStyle w:val="PageNumber"/>
        <w:rFonts w:ascii="Arial" w:hAnsi="Arial" w:cs="Arial"/>
        <w:b w:val="0"/>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1CC1" w14:textId="4F94BE06" w:rsidR="00037B3A" w:rsidRDefault="00037B3A" w:rsidP="00402943">
    <w:pPr>
      <w:pStyle w:val="Footer"/>
      <w:tabs>
        <w:tab w:val="clear" w:pos="4320"/>
        <w:tab w:val="clear" w:pos="8640"/>
        <w:tab w:val="center" w:pos="4680"/>
        <w:tab w:val="right" w:pos="9630"/>
      </w:tabs>
      <w:rPr>
        <w:rStyle w:val="PageNumber"/>
        <w:rFonts w:ascii="Arial" w:hAnsi="Arial" w:cs="Arial"/>
        <w:b w:val="0"/>
        <w:sz w:val="20"/>
        <w:szCs w:val="20"/>
      </w:rPr>
    </w:pPr>
    <w:r w:rsidRPr="00402943">
      <w:rPr>
        <w:rFonts w:ascii="Arial" w:hAnsi="Arial" w:cs="Arial"/>
        <w:b w:val="0"/>
        <w:sz w:val="20"/>
        <w:szCs w:val="20"/>
      </w:rPr>
      <w:t>El Paso Electric Company</w:t>
    </w:r>
    <w:r w:rsidRPr="00402943">
      <w:rPr>
        <w:rFonts w:ascii="Arial" w:hAnsi="Arial" w:cs="Arial"/>
        <w:b w:val="0"/>
        <w:sz w:val="20"/>
        <w:szCs w:val="20"/>
      </w:rPr>
      <w:tab/>
    </w:r>
    <w:r w:rsidRPr="00402943">
      <w:rPr>
        <w:rStyle w:val="PageNumber"/>
        <w:rFonts w:ascii="Arial" w:hAnsi="Arial" w:cs="Arial"/>
        <w:b w:val="0"/>
        <w:sz w:val="20"/>
        <w:szCs w:val="20"/>
      </w:rPr>
      <w:fldChar w:fldCharType="begin"/>
    </w:r>
    <w:r w:rsidRPr="00402943">
      <w:rPr>
        <w:rStyle w:val="PageNumber"/>
        <w:rFonts w:ascii="Arial" w:hAnsi="Arial" w:cs="Arial"/>
        <w:b w:val="0"/>
        <w:sz w:val="20"/>
        <w:szCs w:val="20"/>
      </w:rPr>
      <w:instrText xml:space="preserve"> PAGE </w:instrText>
    </w:r>
    <w:r w:rsidRPr="00402943">
      <w:rPr>
        <w:rStyle w:val="PageNumber"/>
        <w:rFonts w:ascii="Arial" w:hAnsi="Arial" w:cs="Arial"/>
        <w:b w:val="0"/>
        <w:sz w:val="20"/>
        <w:szCs w:val="20"/>
      </w:rPr>
      <w:fldChar w:fldCharType="separate"/>
    </w:r>
    <w:r w:rsidR="00D960E3">
      <w:rPr>
        <w:rStyle w:val="PageNumber"/>
        <w:rFonts w:ascii="Arial" w:hAnsi="Arial" w:cs="Arial"/>
        <w:b w:val="0"/>
        <w:noProof/>
        <w:sz w:val="20"/>
        <w:szCs w:val="20"/>
      </w:rPr>
      <w:t>21</w:t>
    </w:r>
    <w:r w:rsidRPr="00402943">
      <w:rPr>
        <w:rStyle w:val="PageNumber"/>
        <w:rFonts w:ascii="Arial" w:hAnsi="Arial" w:cs="Arial"/>
        <w:b w:val="0"/>
        <w:sz w:val="20"/>
        <w:szCs w:val="20"/>
      </w:rPr>
      <w:fldChar w:fldCharType="end"/>
    </w:r>
    <w:r w:rsidRPr="00402943">
      <w:rPr>
        <w:rStyle w:val="PageNumber"/>
        <w:rFonts w:ascii="Arial" w:hAnsi="Arial" w:cs="Arial"/>
        <w:b w:val="0"/>
        <w:sz w:val="20"/>
        <w:szCs w:val="20"/>
      </w:rPr>
      <w:tab/>
    </w:r>
    <w:r>
      <w:rPr>
        <w:rStyle w:val="PageNumber"/>
        <w:rFonts w:ascii="Arial" w:hAnsi="Arial" w:cs="Arial"/>
        <w:b w:val="0"/>
        <w:sz w:val="20"/>
        <w:szCs w:val="20"/>
      </w:rPr>
      <w:t>2018</w:t>
    </w:r>
    <w:r w:rsidRPr="00402943">
      <w:rPr>
        <w:rStyle w:val="PageNumber"/>
        <w:rFonts w:ascii="Arial" w:hAnsi="Arial" w:cs="Arial"/>
        <w:b w:val="0"/>
        <w:sz w:val="20"/>
        <w:szCs w:val="20"/>
      </w:rPr>
      <w:t xml:space="preserve"> Energy Efficiency Plan and Report</w:t>
    </w:r>
    <w:r>
      <w:rPr>
        <w:rStyle w:val="PageNumber"/>
        <w:rFonts w:ascii="Arial" w:hAnsi="Arial" w:cs="Arial"/>
        <w:b w:val="0"/>
        <w:sz w:val="20"/>
        <w:szCs w:val="20"/>
      </w:rPr>
      <w:t>,</w:t>
    </w:r>
  </w:p>
  <w:p w14:paraId="2B2A7A8C" w14:textId="184ADA67" w:rsidR="00037B3A" w:rsidRPr="00402943" w:rsidRDefault="00037B3A" w:rsidP="00402943">
    <w:pPr>
      <w:pStyle w:val="Footer"/>
      <w:tabs>
        <w:tab w:val="clear" w:pos="4320"/>
        <w:tab w:val="clear" w:pos="8640"/>
        <w:tab w:val="center" w:pos="4680"/>
        <w:tab w:val="right" w:pos="9630"/>
      </w:tabs>
      <w:rPr>
        <w:rStyle w:val="PageNumber"/>
        <w:rFonts w:ascii="Arial" w:hAnsi="Arial" w:cs="Arial"/>
        <w:b w:val="0"/>
        <w:sz w:val="20"/>
        <w:szCs w:val="20"/>
      </w:rPr>
    </w:pPr>
    <w:r>
      <w:rPr>
        <w:rStyle w:val="PageNumber"/>
        <w:rFonts w:ascii="Arial" w:hAnsi="Arial" w:cs="Arial"/>
        <w:b w:val="0"/>
        <w:sz w:val="20"/>
        <w:szCs w:val="20"/>
      </w:rPr>
      <w:tab/>
    </w:r>
    <w:r>
      <w:rPr>
        <w:rStyle w:val="PageNumber"/>
        <w:rFonts w:ascii="Arial" w:hAnsi="Arial" w:cs="Arial"/>
        <w:b w:val="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691A" w14:textId="77777777" w:rsidR="00B90424" w:rsidRDefault="00B90424" w:rsidP="00E21F2B">
      <w:r>
        <w:separator/>
      </w:r>
    </w:p>
  </w:footnote>
  <w:footnote w:type="continuationSeparator" w:id="0">
    <w:p w14:paraId="47120F69" w14:textId="77777777" w:rsidR="00B90424" w:rsidRDefault="00B90424" w:rsidP="00E21F2B">
      <w:r>
        <w:continuationSeparator/>
      </w:r>
    </w:p>
  </w:footnote>
  <w:footnote w:id="1">
    <w:p w14:paraId="47505ADF" w14:textId="3A0852E6" w:rsidR="00037B3A" w:rsidRPr="001D0063" w:rsidRDefault="00037B3A" w:rsidP="003178D7">
      <w:pPr>
        <w:pStyle w:val="FootnoteText"/>
        <w:spacing w:after="0"/>
        <w:ind w:left="144" w:hanging="144"/>
        <w:jc w:val="both"/>
        <w:rPr>
          <w:rFonts w:ascii="Arial" w:hAnsi="Arial" w:cs="Arial"/>
        </w:rPr>
      </w:pPr>
      <w:r w:rsidRPr="006F0971">
        <w:rPr>
          <w:rStyle w:val="FootnoteReference"/>
          <w:rFonts w:ascii="Arial" w:hAnsi="Arial" w:cs="Arial"/>
          <w:i/>
        </w:rPr>
        <w:footnoteRef/>
      </w:r>
      <w:r w:rsidRPr="006F0971">
        <w:rPr>
          <w:rFonts w:ascii="Arial" w:hAnsi="Arial" w:cs="Arial"/>
          <w:i/>
        </w:rPr>
        <w:t>Application of El Paso Electric Company for Approval to Revise its Energy Efficiency Cost Recovery Factor and Req</w:t>
      </w:r>
      <w:r>
        <w:rPr>
          <w:rFonts w:ascii="Arial" w:hAnsi="Arial" w:cs="Arial"/>
          <w:i/>
        </w:rPr>
        <w:t xml:space="preserve">uest to Establish Revised </w:t>
      </w:r>
      <w:r w:rsidRPr="006F0971">
        <w:rPr>
          <w:rFonts w:ascii="Arial" w:hAnsi="Arial" w:cs="Arial"/>
          <w:i/>
        </w:rPr>
        <w:t>Cost C</w:t>
      </w:r>
      <w:r w:rsidRPr="003403C8">
        <w:rPr>
          <w:rFonts w:ascii="Arial" w:hAnsi="Arial" w:cs="Arial"/>
          <w:i/>
        </w:rPr>
        <w:t>ap</w:t>
      </w:r>
      <w:r w:rsidRPr="003403C8">
        <w:rPr>
          <w:rFonts w:ascii="Arial" w:hAnsi="Arial" w:cs="Arial"/>
        </w:rPr>
        <w:t>, Docket No. 4712</w:t>
      </w:r>
      <w:r>
        <w:rPr>
          <w:rFonts w:ascii="Arial" w:hAnsi="Arial" w:cs="Arial"/>
        </w:rPr>
        <w:t>5</w:t>
      </w:r>
      <w:r w:rsidRPr="002A77EA">
        <w:rPr>
          <w:rFonts w:ascii="Arial" w:hAnsi="Arial" w:cs="Arial"/>
        </w:rPr>
        <w:t>.</w:t>
      </w:r>
    </w:p>
  </w:footnote>
  <w:footnote w:id="2">
    <w:p w14:paraId="70BAE713" w14:textId="532B2A73" w:rsidR="00037B3A" w:rsidRPr="001D0063" w:rsidRDefault="00037B3A" w:rsidP="00285627">
      <w:pPr>
        <w:pStyle w:val="FootnoteText"/>
        <w:spacing w:after="0"/>
        <w:ind w:left="144" w:hanging="144"/>
        <w:rPr>
          <w:rFonts w:ascii="Arial" w:hAnsi="Arial" w:cs="Arial"/>
        </w:rPr>
      </w:pPr>
      <w:r w:rsidRPr="001D0063">
        <w:rPr>
          <w:rStyle w:val="FootnoteReference"/>
          <w:rFonts w:ascii="Arial" w:hAnsi="Arial" w:cs="Arial"/>
        </w:rPr>
        <w:footnoteRef/>
      </w:r>
      <w:r w:rsidRPr="001D0063">
        <w:rPr>
          <w:rFonts w:ascii="Arial" w:hAnsi="Arial" w:cs="Arial"/>
        </w:rPr>
        <w:t xml:space="preserve"> </w:t>
      </w:r>
      <w:r w:rsidRPr="001D0063">
        <w:rPr>
          <w:rFonts w:ascii="Arial" w:hAnsi="Arial" w:cs="Arial"/>
          <w:i/>
        </w:rPr>
        <w:t>Id.</w:t>
      </w:r>
      <w:r w:rsidRPr="001D0063">
        <w:rPr>
          <w:rFonts w:ascii="Arial" w:hAnsi="Arial" w:cs="Arial"/>
        </w:rPr>
        <w:t xml:space="preserve"> at Finding</w:t>
      </w:r>
      <w:r>
        <w:rPr>
          <w:rFonts w:ascii="Arial" w:hAnsi="Arial" w:cs="Arial"/>
        </w:rPr>
        <w:t>s</w:t>
      </w:r>
      <w:r w:rsidRPr="001D0063">
        <w:rPr>
          <w:rFonts w:ascii="Arial" w:hAnsi="Arial" w:cs="Arial"/>
        </w:rPr>
        <w:t xml:space="preserve"> of Fact </w:t>
      </w:r>
      <w:r>
        <w:rPr>
          <w:rFonts w:ascii="Arial" w:hAnsi="Arial" w:cs="Arial"/>
        </w:rPr>
        <w:t>No. 39</w:t>
      </w:r>
    </w:p>
  </w:footnote>
  <w:footnote w:id="3">
    <w:p w14:paraId="66B6881C" w14:textId="77777777" w:rsidR="00037B3A" w:rsidRPr="0038535B" w:rsidRDefault="00037B3A" w:rsidP="00525BC1">
      <w:pPr>
        <w:pStyle w:val="FootnoteText"/>
        <w:tabs>
          <w:tab w:val="clear" w:pos="990"/>
        </w:tabs>
        <w:spacing w:after="0"/>
        <w:ind w:left="144" w:hanging="144"/>
        <w:jc w:val="both"/>
        <w:rPr>
          <w:rFonts w:ascii="Arial" w:hAnsi="Arial" w:cs="Arial"/>
        </w:rPr>
      </w:pPr>
      <w:r w:rsidRPr="00D50397">
        <w:rPr>
          <w:rStyle w:val="FootnoteReference"/>
          <w:rFonts w:ascii="Arial" w:hAnsi="Arial" w:cs="Arial"/>
          <w:b/>
        </w:rPr>
        <w:footnoteRef/>
      </w:r>
      <w:r w:rsidRPr="00D50397">
        <w:rPr>
          <w:rFonts w:ascii="Arial" w:hAnsi="Arial" w:cs="Arial"/>
        </w:rPr>
        <w:t xml:space="preserve"> </w:t>
      </w:r>
      <w:r w:rsidRPr="0038535B">
        <w:rPr>
          <w:rFonts w:ascii="Arial" w:hAnsi="Arial" w:cs="Arial"/>
        </w:rPr>
        <w:t>Average Growth in Demand and Weather Adjusted Peak Demand are found in Table 4, Projected Demand and Energy Reductions are found in Table 5, and Pro</w:t>
      </w:r>
      <w:r>
        <w:rPr>
          <w:rFonts w:ascii="Arial" w:hAnsi="Arial" w:cs="Arial"/>
        </w:rPr>
        <w:t>pos</w:t>
      </w:r>
      <w:r w:rsidRPr="0038535B">
        <w:rPr>
          <w:rFonts w:ascii="Arial" w:hAnsi="Arial" w:cs="Arial"/>
        </w:rPr>
        <w:t>ed Budgets are found in Table 6.</w:t>
      </w:r>
    </w:p>
  </w:footnote>
  <w:footnote w:id="4">
    <w:p w14:paraId="78657DA2" w14:textId="0DF130C8" w:rsidR="00037B3A" w:rsidRPr="003C6CC9" w:rsidRDefault="00037B3A" w:rsidP="004F49F0">
      <w:pPr>
        <w:pStyle w:val="FootnoteText"/>
        <w:ind w:left="720" w:firstLine="0"/>
      </w:pPr>
      <w:r>
        <w:rPr>
          <w:rStyle w:val="FootnoteReference"/>
        </w:rPr>
        <w:footnoteRef/>
      </w:r>
      <w:r>
        <w:t xml:space="preserve"> Growth at </w:t>
      </w:r>
      <w:r w:rsidRPr="003C6CC9">
        <w:t xml:space="preserve">meter </w:t>
      </w:r>
      <w:r>
        <w:t>for calendar year 2017 includes an</w:t>
      </w:r>
      <w:r w:rsidRPr="003C6CC9">
        <w:t xml:space="preserve"> 8.32% line loss factor based on EPE’s 2013 Analysis of System Losses completed on February 17, 2015.</w:t>
      </w:r>
      <w:r>
        <w:t xml:space="preserve">  Previous calendar years include an 8.72% line loss factor based on EPE’s 2010 Analysis of System Losses completed on December 20, 2011. </w:t>
      </w:r>
    </w:p>
  </w:footnote>
  <w:footnote w:id="5">
    <w:p w14:paraId="28A980D5" w14:textId="55106288" w:rsidR="00037B3A" w:rsidRDefault="00037B3A">
      <w:pPr>
        <w:pStyle w:val="FootnoteText"/>
      </w:pPr>
      <w:r w:rsidRPr="003C6CC9">
        <w:rPr>
          <w:rStyle w:val="FootnoteReference"/>
        </w:rPr>
        <w:footnoteRef/>
      </w:r>
      <w:r w:rsidRPr="003C6CC9">
        <w:t xml:space="preserve"> Average 5 year historical growth in demand for residential and commercial customers for 2018 (2012-2016) and 2019 (2013-2017).</w:t>
      </w:r>
    </w:p>
  </w:footnote>
  <w:footnote w:id="6">
    <w:p w14:paraId="09455FDE" w14:textId="7AA586D8" w:rsidR="00037B3A" w:rsidRPr="00282AD6" w:rsidRDefault="00037B3A" w:rsidP="00D52FF3">
      <w:pPr>
        <w:pStyle w:val="FootnoteText"/>
        <w:spacing w:after="0"/>
        <w:ind w:left="216" w:hanging="216"/>
      </w:pPr>
      <w:r w:rsidRPr="00282AD6">
        <w:rPr>
          <w:rStyle w:val="FootnoteReference"/>
        </w:rPr>
        <w:footnoteRef/>
      </w:r>
      <w:r w:rsidRPr="00282AD6">
        <w:t xml:space="preserve">   </w:t>
      </w:r>
      <w:r w:rsidRPr="00282AD6">
        <w:rPr>
          <w:rFonts w:ascii="Arial" w:hAnsi="Arial" w:cs="Arial"/>
        </w:rPr>
        <w:t>2017 MW goal and MWh target as reported in EPE’s EEPR filed April 3, 2017 under Project No. 46907.  2017 actual demand reduction and energy savings reported in this document, Project No. 48146.</w:t>
      </w:r>
    </w:p>
  </w:footnote>
  <w:footnote w:id="7">
    <w:p w14:paraId="457B7162" w14:textId="2701F8B8" w:rsidR="00037B3A" w:rsidRPr="00282AD6" w:rsidRDefault="00037B3A" w:rsidP="00D52FF3">
      <w:pPr>
        <w:pStyle w:val="FootnoteText"/>
        <w:spacing w:after="0"/>
        <w:ind w:left="216" w:hanging="216"/>
      </w:pPr>
      <w:r w:rsidRPr="00282AD6">
        <w:rPr>
          <w:rStyle w:val="FootnoteReference"/>
        </w:rPr>
        <w:footnoteRef/>
      </w:r>
      <w:r w:rsidRPr="00282AD6">
        <w:t xml:space="preserve">   </w:t>
      </w:r>
      <w:r w:rsidRPr="00282AD6">
        <w:rPr>
          <w:rFonts w:ascii="Arial" w:hAnsi="Arial" w:cs="Arial"/>
        </w:rPr>
        <w:t>2016 MW goal and MWh target as reported in EPE’s EEPR filed April 1, 2016 under Project No. 45675.  2016 actual demand reduction and energy savings reported in this document, Project No. 46907.</w:t>
      </w:r>
    </w:p>
  </w:footnote>
  <w:footnote w:id="8">
    <w:p w14:paraId="2BB99D1C" w14:textId="4BDBBE2A" w:rsidR="00037B3A" w:rsidRPr="00282AD6" w:rsidRDefault="00037B3A" w:rsidP="00282AD6">
      <w:pPr>
        <w:pStyle w:val="FootnoteText"/>
        <w:spacing w:after="0"/>
        <w:ind w:left="216" w:hanging="216"/>
      </w:pPr>
      <w:r w:rsidRPr="00282AD6">
        <w:rPr>
          <w:rStyle w:val="FootnoteReference"/>
          <w:rFonts w:ascii="Arial" w:hAnsi="Arial" w:cs="Arial"/>
        </w:rPr>
        <w:footnoteRef/>
      </w:r>
      <w:r w:rsidRPr="00282AD6">
        <w:rPr>
          <w:rFonts w:ascii="Arial" w:hAnsi="Arial" w:cs="Arial"/>
        </w:rPr>
        <w:tab/>
        <w:t>2015 MW goal and MWh target as reported in EPE’s EEPR filed April 1, 2015 under Project No. 44480.  2015 actual demand reduction and energy savings reported in Project No. 45675.</w:t>
      </w:r>
    </w:p>
  </w:footnote>
  <w:footnote w:id="9">
    <w:p w14:paraId="0ACD1337" w14:textId="0D4A0460" w:rsidR="00037B3A" w:rsidRPr="00282AD6" w:rsidRDefault="00037B3A" w:rsidP="00EB576D">
      <w:pPr>
        <w:pStyle w:val="FootnoteText"/>
        <w:tabs>
          <w:tab w:val="clear" w:pos="990"/>
          <w:tab w:val="left" w:pos="216"/>
        </w:tabs>
        <w:spacing w:after="0"/>
        <w:ind w:left="216" w:hanging="216"/>
        <w:jc w:val="both"/>
        <w:rPr>
          <w:rFonts w:ascii="Arial" w:hAnsi="Arial" w:cs="Arial"/>
        </w:rPr>
      </w:pPr>
      <w:r w:rsidRPr="00282AD6">
        <w:rPr>
          <w:rStyle w:val="FootnoteReference"/>
          <w:rFonts w:ascii="Arial" w:hAnsi="Arial" w:cs="Arial"/>
        </w:rPr>
        <w:footnoteRef/>
      </w:r>
      <w:r w:rsidRPr="00282AD6">
        <w:rPr>
          <w:rFonts w:ascii="Arial" w:hAnsi="Arial" w:cs="Arial"/>
        </w:rPr>
        <w:tab/>
        <w:t>2014 MW goal and MWh target as reported in EPE’s EEPR filed April 1, 2014 under Project No. 42264.  2014 actual demand reduction and energy savings reported in Project No.44480.</w:t>
      </w:r>
    </w:p>
  </w:footnote>
  <w:footnote w:id="10">
    <w:p w14:paraId="0AB8B73F" w14:textId="77777777" w:rsidR="00037B3A" w:rsidRPr="00537FF8" w:rsidRDefault="00037B3A" w:rsidP="00282AD6">
      <w:pPr>
        <w:pStyle w:val="FootnoteText"/>
        <w:tabs>
          <w:tab w:val="clear" w:pos="990"/>
          <w:tab w:val="left" w:pos="216"/>
        </w:tabs>
        <w:spacing w:after="0"/>
        <w:ind w:left="216" w:hanging="216"/>
        <w:jc w:val="both"/>
        <w:rPr>
          <w:rFonts w:ascii="Arial" w:hAnsi="Arial" w:cs="Arial"/>
        </w:rPr>
      </w:pPr>
      <w:r w:rsidRPr="00282AD6">
        <w:rPr>
          <w:rStyle w:val="FootnoteReference"/>
          <w:rFonts w:ascii="Arial" w:hAnsi="Arial" w:cs="Arial"/>
        </w:rPr>
        <w:footnoteRef/>
      </w:r>
      <w:r w:rsidRPr="00282AD6">
        <w:rPr>
          <w:rFonts w:ascii="Arial" w:hAnsi="Arial" w:cs="Arial"/>
        </w:rPr>
        <w:t xml:space="preserve"> </w:t>
      </w:r>
      <w:r w:rsidRPr="00282AD6">
        <w:rPr>
          <w:rFonts w:ascii="Arial" w:hAnsi="Arial" w:cs="Arial"/>
        </w:rPr>
        <w:tab/>
        <w:t>2013 MW goal and MWh target as reported in EPE’s EEPR filed March 29, 2013 under Project No. 41196.</w:t>
      </w:r>
      <w:r w:rsidRPr="00537FF8">
        <w:rPr>
          <w:rFonts w:ascii="Arial" w:hAnsi="Arial" w:cs="Arial"/>
        </w:rPr>
        <w:t xml:space="preserve">  2013 actual demand reduction and energy savings reported in Project No. 42264</w:t>
      </w:r>
      <w:r>
        <w:rPr>
          <w:rFonts w:ascii="Arial" w:hAnsi="Arial" w:cs="Arial"/>
        </w:rPr>
        <w:t>.</w:t>
      </w:r>
    </w:p>
    <w:p w14:paraId="7866E8DD" w14:textId="493B8060" w:rsidR="00037B3A" w:rsidRPr="00946A1A" w:rsidRDefault="00037B3A" w:rsidP="00EB576D">
      <w:pPr>
        <w:pStyle w:val="FootnoteText"/>
        <w:tabs>
          <w:tab w:val="clear" w:pos="990"/>
          <w:tab w:val="left" w:pos="216"/>
        </w:tabs>
        <w:spacing w:after="0"/>
        <w:ind w:left="216" w:hanging="216"/>
        <w:jc w:val="both"/>
        <w:rPr>
          <w:rFonts w:ascii="Arial" w:hAnsi="Arial" w:cs="Arial"/>
          <w:highlight w:val="yellow"/>
        </w:rPr>
      </w:pPr>
      <w:r w:rsidRPr="00537FF8">
        <w:rPr>
          <w:rFonts w:ascii="Arial" w:hAnsi="Arial" w:cs="Arial"/>
        </w:rPr>
        <w:t xml:space="preserve"> </w:t>
      </w:r>
    </w:p>
  </w:footnote>
  <w:footnote w:id="11">
    <w:p w14:paraId="1F0055DB" w14:textId="129ED29E" w:rsidR="00037B3A" w:rsidRPr="00D50397" w:rsidRDefault="00037B3A" w:rsidP="00841063">
      <w:pPr>
        <w:pStyle w:val="FootnoteText"/>
        <w:tabs>
          <w:tab w:val="clear" w:pos="990"/>
          <w:tab w:val="left" w:pos="216"/>
        </w:tabs>
        <w:ind w:left="216" w:hanging="216"/>
        <w:jc w:val="both"/>
        <w:rPr>
          <w:rFonts w:ascii="Arial" w:hAnsi="Arial" w:cs="Arial"/>
        </w:rPr>
      </w:pPr>
      <w:r w:rsidRPr="003732F8">
        <w:rPr>
          <w:rStyle w:val="FootnoteReference"/>
          <w:rFonts w:ascii="Arial" w:hAnsi="Arial" w:cs="Arial"/>
          <w:b/>
        </w:rPr>
        <w:footnoteRef/>
      </w:r>
      <w:r w:rsidRPr="003732F8">
        <w:rPr>
          <w:rFonts w:ascii="Arial" w:hAnsi="Arial" w:cs="Arial"/>
        </w:rPr>
        <w:t xml:space="preserve"> </w:t>
      </w:r>
      <w:r w:rsidRPr="00C22D33">
        <w:rPr>
          <w:rFonts w:ascii="Arial" w:hAnsi="Arial" w:cs="Arial"/>
        </w:rPr>
        <w:t xml:space="preserve">2016 expenditures are from EEPR filed in Project No. 46907; </w:t>
      </w:r>
      <w:r>
        <w:rPr>
          <w:rFonts w:ascii="Arial" w:hAnsi="Arial" w:cs="Arial"/>
        </w:rPr>
        <w:t xml:space="preserve">2015 </w:t>
      </w:r>
      <w:r w:rsidRPr="00C22D33">
        <w:rPr>
          <w:rFonts w:ascii="Arial" w:hAnsi="Arial" w:cs="Arial"/>
        </w:rPr>
        <w:t>expenditures are from EEPR filed in Project No. 45675; 2014 expenditures are from EEPR filed in Project No. 44480; and 2013 expenditures are from</w:t>
      </w:r>
      <w:r w:rsidRPr="003732F8">
        <w:rPr>
          <w:rFonts w:ascii="Arial" w:hAnsi="Arial" w:cs="Arial"/>
        </w:rPr>
        <w:t xml:space="preserve"> EEPR filed in Project No. 42264.</w:t>
      </w:r>
    </w:p>
  </w:footnote>
  <w:footnote w:id="12">
    <w:p w14:paraId="6AEA77DD" w14:textId="4A0C13A9" w:rsidR="00037B3A" w:rsidRPr="00994FA8" w:rsidRDefault="00037B3A" w:rsidP="00E540C9">
      <w:pPr>
        <w:pStyle w:val="FootnoteText"/>
        <w:spacing w:after="0"/>
        <w:ind w:left="270" w:hanging="270"/>
        <w:rPr>
          <w:rFonts w:ascii="Arial" w:hAnsi="Arial" w:cs="Arial"/>
        </w:rPr>
      </w:pPr>
      <w:r w:rsidRPr="00994FA8">
        <w:rPr>
          <w:rStyle w:val="FootnoteReference"/>
          <w:rFonts w:ascii="Arial" w:hAnsi="Arial" w:cs="Arial"/>
        </w:rPr>
        <w:footnoteRef/>
      </w:r>
      <w:r>
        <w:rPr>
          <w:rFonts w:ascii="Arial" w:hAnsi="Arial" w:cs="Arial"/>
        </w:rPr>
        <w:t xml:space="preserve"> Docket No. 45885</w:t>
      </w:r>
      <w:r w:rsidRPr="00994FA8">
        <w:rPr>
          <w:rFonts w:ascii="Arial" w:hAnsi="Arial" w:cs="Arial"/>
        </w:rPr>
        <w:t xml:space="preserve">, Final </w:t>
      </w:r>
      <w:r>
        <w:rPr>
          <w:rFonts w:ascii="Arial" w:hAnsi="Arial" w:cs="Arial"/>
        </w:rPr>
        <w:t>Order at Findings of Fact No. 22 (November 2, 2016</w:t>
      </w:r>
      <w:r w:rsidRPr="00994FA8">
        <w:rPr>
          <w:rFonts w:ascii="Arial" w:hAnsi="Arial" w:cs="Arial"/>
        </w:rPr>
        <w:t>)</w:t>
      </w:r>
    </w:p>
  </w:footnote>
  <w:footnote w:id="13">
    <w:p w14:paraId="40055A2A" w14:textId="5AD10E3D" w:rsidR="00037B3A" w:rsidRPr="001D0063" w:rsidRDefault="00037B3A" w:rsidP="00E540C9">
      <w:pPr>
        <w:pStyle w:val="FootnoteText"/>
        <w:spacing w:after="0"/>
        <w:ind w:left="270" w:hanging="270"/>
        <w:rPr>
          <w:rFonts w:ascii="Arial" w:hAnsi="Arial" w:cs="Arial"/>
        </w:rPr>
      </w:pPr>
      <w:r w:rsidRPr="00994FA8">
        <w:rPr>
          <w:rStyle w:val="FootnoteReference"/>
          <w:rFonts w:ascii="Arial" w:hAnsi="Arial" w:cs="Arial"/>
        </w:rPr>
        <w:footnoteRef/>
      </w:r>
      <w:r w:rsidRPr="00994FA8">
        <w:rPr>
          <w:rFonts w:ascii="Arial" w:hAnsi="Arial" w:cs="Arial"/>
        </w:rPr>
        <w:t xml:space="preserve"> </w:t>
      </w:r>
      <w:r w:rsidRPr="00994FA8">
        <w:rPr>
          <w:rFonts w:ascii="Arial" w:hAnsi="Arial" w:cs="Arial"/>
          <w:i/>
        </w:rPr>
        <w:t>Id.</w:t>
      </w:r>
      <w:r>
        <w:rPr>
          <w:rFonts w:ascii="Arial" w:hAnsi="Arial" w:cs="Arial"/>
        </w:rPr>
        <w:t xml:space="preserve"> at Conclusion of Law No.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41A0" w14:textId="77777777" w:rsidR="00037B3A" w:rsidRDefault="00037B3A" w:rsidP="00E21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4B3A" w14:textId="77777777" w:rsidR="00037B3A" w:rsidRDefault="00037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7ABF" w14:textId="77777777" w:rsidR="00037B3A" w:rsidRDefault="00037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FA94" w14:textId="77777777" w:rsidR="00037B3A" w:rsidRDefault="00037B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723C" w14:textId="77777777" w:rsidR="00037B3A" w:rsidRDefault="00037B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558B" w14:textId="77777777" w:rsidR="00037B3A" w:rsidRPr="0013592B" w:rsidRDefault="00037B3A" w:rsidP="0013592B">
    <w:pPr>
      <w:pStyle w:val="Header"/>
      <w:rPr>
        <w:rFonts w:ascii="Arial" w:hAnsi="Arial" w:cs="Arial"/>
        <w:b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48D8D2"/>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32CAB74E"/>
    <w:lvl w:ilvl="0">
      <w:start w:val="1"/>
      <w:numFmt w:val="decimal"/>
      <w:pStyle w:val="ListNumber"/>
      <w:lvlText w:val="%1."/>
      <w:lvlJc w:val="left"/>
      <w:pPr>
        <w:tabs>
          <w:tab w:val="num" w:pos="2070"/>
        </w:tabs>
        <w:ind w:left="2070" w:hanging="360"/>
      </w:pPr>
    </w:lvl>
  </w:abstractNum>
  <w:abstractNum w:abstractNumId="2" w15:restartNumberingAfterBreak="0">
    <w:nsid w:val="006B3D9F"/>
    <w:multiLevelType w:val="hybridMultilevel"/>
    <w:tmpl w:val="799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25AD"/>
    <w:multiLevelType w:val="multilevel"/>
    <w:tmpl w:val="AEF6B40C"/>
    <w:lvl w:ilvl="0">
      <w:start w:val="1"/>
      <w:numFmt w:val="upperRoman"/>
      <w:pStyle w:val="Heading1"/>
      <w:lvlText w:val="%1."/>
      <w:lvlJc w:val="left"/>
      <w:pPr>
        <w:tabs>
          <w:tab w:val="num" w:pos="540"/>
        </w:tabs>
        <w:ind w:left="180" w:firstLine="0"/>
      </w:pPr>
    </w:lvl>
    <w:lvl w:ilvl="1">
      <w:start w:val="1"/>
      <w:numFmt w:val="upperLetter"/>
      <w:pStyle w:val="Heading2"/>
      <w:lvlText w:val="%2."/>
      <w:lvlJc w:val="left"/>
      <w:pPr>
        <w:tabs>
          <w:tab w:val="num" w:pos="360"/>
        </w:tabs>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1CF815BF"/>
    <w:multiLevelType w:val="hybridMultilevel"/>
    <w:tmpl w:val="BECAC706"/>
    <w:lvl w:ilvl="0" w:tplc="422E3D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75F0A"/>
    <w:multiLevelType w:val="hybridMultilevel"/>
    <w:tmpl w:val="9A10DAC2"/>
    <w:lvl w:ilvl="0" w:tplc="F0E8850A">
      <w:start w:val="1"/>
      <w:numFmt w:val="upperLetter"/>
      <w:pStyle w:val="Bullet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168AE"/>
    <w:multiLevelType w:val="hybridMultilevel"/>
    <w:tmpl w:val="49AEE492"/>
    <w:lvl w:ilvl="0" w:tplc="9B28C4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A5F2D"/>
    <w:multiLevelType w:val="hybridMultilevel"/>
    <w:tmpl w:val="3EBAF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Lucida Br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Br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Br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31A45"/>
    <w:multiLevelType w:val="hybridMultilevel"/>
    <w:tmpl w:val="E4A29D82"/>
    <w:lvl w:ilvl="0" w:tplc="F6F8191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B75423"/>
    <w:multiLevelType w:val="singleLevel"/>
    <w:tmpl w:val="2006F14E"/>
    <w:lvl w:ilvl="0">
      <w:start w:val="1"/>
      <w:numFmt w:val="bullet"/>
      <w:lvlText w:val=""/>
      <w:lvlJc w:val="left"/>
      <w:pPr>
        <w:tabs>
          <w:tab w:val="num" w:pos="360"/>
        </w:tabs>
        <w:ind w:left="360" w:hanging="360"/>
      </w:pPr>
      <w:rPr>
        <w:rFonts w:ascii="Wingdings" w:hAnsi="Wingdings" w:hint="default"/>
        <w:color w:val="auto"/>
      </w:rPr>
    </w:lvl>
  </w:abstractNum>
  <w:abstractNum w:abstractNumId="10" w15:restartNumberingAfterBreak="0">
    <w:nsid w:val="512426A4"/>
    <w:multiLevelType w:val="hybridMultilevel"/>
    <w:tmpl w:val="4DD2D7D4"/>
    <w:lvl w:ilvl="0" w:tplc="9FF60E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0E1E4B"/>
    <w:multiLevelType w:val="hybridMultilevel"/>
    <w:tmpl w:val="134A7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706EB"/>
    <w:multiLevelType w:val="hybridMultilevel"/>
    <w:tmpl w:val="411E86AA"/>
    <w:lvl w:ilvl="0" w:tplc="7578021E">
      <w:start w:val="1"/>
      <w:numFmt w:val="lowerLetter"/>
      <w:pStyle w:val="List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642CF5"/>
    <w:multiLevelType w:val="hybridMultilevel"/>
    <w:tmpl w:val="C3A6576C"/>
    <w:lvl w:ilvl="0" w:tplc="9FF60E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1F5069"/>
    <w:multiLevelType w:val="hybridMultilevel"/>
    <w:tmpl w:val="2C66A620"/>
    <w:lvl w:ilvl="0" w:tplc="646C0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E0CF0"/>
    <w:multiLevelType w:val="hybridMultilevel"/>
    <w:tmpl w:val="30A80CB8"/>
    <w:lvl w:ilvl="0" w:tplc="04090003">
      <w:start w:val="1"/>
      <w:numFmt w:val="bullet"/>
      <w:lvlText w:val="o"/>
      <w:lvlJc w:val="left"/>
      <w:pPr>
        <w:tabs>
          <w:tab w:val="num" w:pos="2160"/>
        </w:tabs>
        <w:ind w:left="2160" w:hanging="360"/>
      </w:pPr>
      <w:rPr>
        <w:rFonts w:ascii="Courier New" w:hAnsi="Courier New" w:cs="Courier New"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Lucida Bright"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Bright"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Bright"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FA64A9A"/>
    <w:multiLevelType w:val="hybridMultilevel"/>
    <w:tmpl w:val="9230E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15"/>
  </w:num>
  <w:num w:numId="5">
    <w:abstractNumId w:val="7"/>
  </w:num>
  <w:num w:numId="6">
    <w:abstractNumId w:val="12"/>
  </w:num>
  <w:num w:numId="7">
    <w:abstractNumId w:val="8"/>
  </w:num>
  <w:num w:numId="8">
    <w:abstractNumId w:val="5"/>
  </w:num>
  <w:num w:numId="9">
    <w:abstractNumId w:val="2"/>
  </w:num>
  <w:num w:numId="10">
    <w:abstractNumId w:val="14"/>
  </w:num>
  <w:num w:numId="11">
    <w:abstractNumId w:val="9"/>
  </w:num>
  <w:num w:numId="12">
    <w:abstractNumId w:val="16"/>
  </w:num>
  <w:num w:numId="13">
    <w:abstractNumId w:val="11"/>
  </w:num>
  <w:num w:numId="14">
    <w:abstractNumId w:val="4"/>
  </w:num>
  <w:num w:numId="15">
    <w:abstractNumId w:val="6"/>
  </w:num>
  <w:num w:numId="16">
    <w:abstractNumId w:val="3"/>
  </w:num>
  <w:num w:numId="17">
    <w:abstractNumId w:val="3"/>
  </w:num>
  <w:num w:numId="18">
    <w:abstractNumId w:val="3"/>
  </w:num>
  <w:num w:numId="19">
    <w:abstractNumId w:val="3"/>
  </w:num>
  <w:num w:numId="20">
    <w:abstractNumId w:val="3"/>
  </w:num>
  <w:num w:numId="21">
    <w:abstractNumId w:val="10"/>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71"/>
    <w:rsid w:val="000002A2"/>
    <w:rsid w:val="000005C6"/>
    <w:rsid w:val="00000F5F"/>
    <w:rsid w:val="000015C9"/>
    <w:rsid w:val="0000186F"/>
    <w:rsid w:val="00002D39"/>
    <w:rsid w:val="0000333E"/>
    <w:rsid w:val="00003A03"/>
    <w:rsid w:val="00003B7C"/>
    <w:rsid w:val="00003D4B"/>
    <w:rsid w:val="00003D62"/>
    <w:rsid w:val="00004771"/>
    <w:rsid w:val="0000482A"/>
    <w:rsid w:val="00004E13"/>
    <w:rsid w:val="00005934"/>
    <w:rsid w:val="00005A1F"/>
    <w:rsid w:val="00005BB5"/>
    <w:rsid w:val="000060E5"/>
    <w:rsid w:val="0000626F"/>
    <w:rsid w:val="00006BDA"/>
    <w:rsid w:val="000103E8"/>
    <w:rsid w:val="00010566"/>
    <w:rsid w:val="0001073B"/>
    <w:rsid w:val="00010B33"/>
    <w:rsid w:val="00011491"/>
    <w:rsid w:val="00011705"/>
    <w:rsid w:val="00011D86"/>
    <w:rsid w:val="00011DD0"/>
    <w:rsid w:val="0001292B"/>
    <w:rsid w:val="000129B8"/>
    <w:rsid w:val="00012C2E"/>
    <w:rsid w:val="00012EAA"/>
    <w:rsid w:val="000131AB"/>
    <w:rsid w:val="00014BDF"/>
    <w:rsid w:val="00014FDC"/>
    <w:rsid w:val="0001501C"/>
    <w:rsid w:val="0001561A"/>
    <w:rsid w:val="00015EEC"/>
    <w:rsid w:val="00016EBD"/>
    <w:rsid w:val="0001707F"/>
    <w:rsid w:val="00020610"/>
    <w:rsid w:val="00020A28"/>
    <w:rsid w:val="00020C2C"/>
    <w:rsid w:val="0002132D"/>
    <w:rsid w:val="00021389"/>
    <w:rsid w:val="00021F69"/>
    <w:rsid w:val="00021FFD"/>
    <w:rsid w:val="00023E2C"/>
    <w:rsid w:val="00023FF4"/>
    <w:rsid w:val="00024196"/>
    <w:rsid w:val="00024E88"/>
    <w:rsid w:val="00024EFA"/>
    <w:rsid w:val="00025252"/>
    <w:rsid w:val="00025BE7"/>
    <w:rsid w:val="0002662E"/>
    <w:rsid w:val="00027235"/>
    <w:rsid w:val="00027531"/>
    <w:rsid w:val="000277DF"/>
    <w:rsid w:val="000277FD"/>
    <w:rsid w:val="00030422"/>
    <w:rsid w:val="00030A1A"/>
    <w:rsid w:val="00030E30"/>
    <w:rsid w:val="0003256A"/>
    <w:rsid w:val="0003262B"/>
    <w:rsid w:val="00032CFC"/>
    <w:rsid w:val="000336D8"/>
    <w:rsid w:val="00033E86"/>
    <w:rsid w:val="0003475C"/>
    <w:rsid w:val="00034831"/>
    <w:rsid w:val="00035069"/>
    <w:rsid w:val="00035121"/>
    <w:rsid w:val="000358AC"/>
    <w:rsid w:val="00036293"/>
    <w:rsid w:val="00036609"/>
    <w:rsid w:val="000367F6"/>
    <w:rsid w:val="00036981"/>
    <w:rsid w:val="00037A24"/>
    <w:rsid w:val="00037A57"/>
    <w:rsid w:val="00037B3A"/>
    <w:rsid w:val="0004027B"/>
    <w:rsid w:val="0004053C"/>
    <w:rsid w:val="00040832"/>
    <w:rsid w:val="00042444"/>
    <w:rsid w:val="00042E63"/>
    <w:rsid w:val="00042E99"/>
    <w:rsid w:val="00043248"/>
    <w:rsid w:val="00043DD7"/>
    <w:rsid w:val="0004463B"/>
    <w:rsid w:val="00044647"/>
    <w:rsid w:val="00045015"/>
    <w:rsid w:val="00046ADA"/>
    <w:rsid w:val="00047872"/>
    <w:rsid w:val="0004793C"/>
    <w:rsid w:val="00047C19"/>
    <w:rsid w:val="000504BA"/>
    <w:rsid w:val="00050B77"/>
    <w:rsid w:val="00050E64"/>
    <w:rsid w:val="0005120D"/>
    <w:rsid w:val="00051861"/>
    <w:rsid w:val="00051BDC"/>
    <w:rsid w:val="00051CBB"/>
    <w:rsid w:val="00052D17"/>
    <w:rsid w:val="00052E2F"/>
    <w:rsid w:val="0005386E"/>
    <w:rsid w:val="000539F7"/>
    <w:rsid w:val="00053A66"/>
    <w:rsid w:val="00053F09"/>
    <w:rsid w:val="00054306"/>
    <w:rsid w:val="00054845"/>
    <w:rsid w:val="0005535D"/>
    <w:rsid w:val="0005599D"/>
    <w:rsid w:val="00057261"/>
    <w:rsid w:val="00057A62"/>
    <w:rsid w:val="00057C77"/>
    <w:rsid w:val="00057DC1"/>
    <w:rsid w:val="000601B6"/>
    <w:rsid w:val="00060309"/>
    <w:rsid w:val="00060DA9"/>
    <w:rsid w:val="00060E7D"/>
    <w:rsid w:val="00060F10"/>
    <w:rsid w:val="00062180"/>
    <w:rsid w:val="00062B62"/>
    <w:rsid w:val="000633EA"/>
    <w:rsid w:val="00063E70"/>
    <w:rsid w:val="00064222"/>
    <w:rsid w:val="00064368"/>
    <w:rsid w:val="00065415"/>
    <w:rsid w:val="0006601A"/>
    <w:rsid w:val="000662A0"/>
    <w:rsid w:val="0006634C"/>
    <w:rsid w:val="00066D31"/>
    <w:rsid w:val="00067118"/>
    <w:rsid w:val="0006733F"/>
    <w:rsid w:val="00070414"/>
    <w:rsid w:val="0007097F"/>
    <w:rsid w:val="000709BF"/>
    <w:rsid w:val="00071029"/>
    <w:rsid w:val="00072B42"/>
    <w:rsid w:val="00072BB9"/>
    <w:rsid w:val="00072C31"/>
    <w:rsid w:val="00072D30"/>
    <w:rsid w:val="0007356F"/>
    <w:rsid w:val="000737AA"/>
    <w:rsid w:val="000749D2"/>
    <w:rsid w:val="00074C6F"/>
    <w:rsid w:val="000751CE"/>
    <w:rsid w:val="000763D2"/>
    <w:rsid w:val="0007664F"/>
    <w:rsid w:val="00076EE8"/>
    <w:rsid w:val="000770B8"/>
    <w:rsid w:val="000809F1"/>
    <w:rsid w:val="00080BCE"/>
    <w:rsid w:val="00080E10"/>
    <w:rsid w:val="00081202"/>
    <w:rsid w:val="00081C92"/>
    <w:rsid w:val="00082365"/>
    <w:rsid w:val="00083431"/>
    <w:rsid w:val="00083A9A"/>
    <w:rsid w:val="00083DD7"/>
    <w:rsid w:val="0008450C"/>
    <w:rsid w:val="00084996"/>
    <w:rsid w:val="00085EB4"/>
    <w:rsid w:val="00085F6F"/>
    <w:rsid w:val="00087390"/>
    <w:rsid w:val="000874E2"/>
    <w:rsid w:val="00090427"/>
    <w:rsid w:val="00090BB3"/>
    <w:rsid w:val="00090C58"/>
    <w:rsid w:val="0009165E"/>
    <w:rsid w:val="00091CF3"/>
    <w:rsid w:val="000923CF"/>
    <w:rsid w:val="0009256B"/>
    <w:rsid w:val="000925F7"/>
    <w:rsid w:val="00093680"/>
    <w:rsid w:val="00093B9E"/>
    <w:rsid w:val="00093C1C"/>
    <w:rsid w:val="00093E47"/>
    <w:rsid w:val="0009430F"/>
    <w:rsid w:val="0009472F"/>
    <w:rsid w:val="000947F7"/>
    <w:rsid w:val="00094ABD"/>
    <w:rsid w:val="00094F3A"/>
    <w:rsid w:val="00094F58"/>
    <w:rsid w:val="0009570B"/>
    <w:rsid w:val="0009596B"/>
    <w:rsid w:val="000960D6"/>
    <w:rsid w:val="000961DB"/>
    <w:rsid w:val="000962A2"/>
    <w:rsid w:val="0009704B"/>
    <w:rsid w:val="000A00F3"/>
    <w:rsid w:val="000A073C"/>
    <w:rsid w:val="000A08AB"/>
    <w:rsid w:val="000A09E2"/>
    <w:rsid w:val="000A0FCE"/>
    <w:rsid w:val="000A12A4"/>
    <w:rsid w:val="000A1DD7"/>
    <w:rsid w:val="000A25CC"/>
    <w:rsid w:val="000A28EB"/>
    <w:rsid w:val="000A2A49"/>
    <w:rsid w:val="000A2FD6"/>
    <w:rsid w:val="000A3637"/>
    <w:rsid w:val="000A3DC8"/>
    <w:rsid w:val="000A428B"/>
    <w:rsid w:val="000A42D3"/>
    <w:rsid w:val="000A4321"/>
    <w:rsid w:val="000A44E8"/>
    <w:rsid w:val="000A4725"/>
    <w:rsid w:val="000A4D04"/>
    <w:rsid w:val="000A5021"/>
    <w:rsid w:val="000A52B6"/>
    <w:rsid w:val="000A5980"/>
    <w:rsid w:val="000A645C"/>
    <w:rsid w:val="000A6BAF"/>
    <w:rsid w:val="000A746F"/>
    <w:rsid w:val="000A7867"/>
    <w:rsid w:val="000A7B6C"/>
    <w:rsid w:val="000B156A"/>
    <w:rsid w:val="000B19B7"/>
    <w:rsid w:val="000B1A2E"/>
    <w:rsid w:val="000B20AE"/>
    <w:rsid w:val="000B2375"/>
    <w:rsid w:val="000B2BD0"/>
    <w:rsid w:val="000B30D8"/>
    <w:rsid w:val="000B3260"/>
    <w:rsid w:val="000B432C"/>
    <w:rsid w:val="000B51BD"/>
    <w:rsid w:val="000B5625"/>
    <w:rsid w:val="000B5A70"/>
    <w:rsid w:val="000B5C76"/>
    <w:rsid w:val="000B5FB7"/>
    <w:rsid w:val="000B6006"/>
    <w:rsid w:val="000B6300"/>
    <w:rsid w:val="000B679D"/>
    <w:rsid w:val="000B6EDD"/>
    <w:rsid w:val="000B6FC1"/>
    <w:rsid w:val="000B77A4"/>
    <w:rsid w:val="000B7D9D"/>
    <w:rsid w:val="000B7DCB"/>
    <w:rsid w:val="000C0550"/>
    <w:rsid w:val="000C1A76"/>
    <w:rsid w:val="000C2845"/>
    <w:rsid w:val="000C366B"/>
    <w:rsid w:val="000C3A92"/>
    <w:rsid w:val="000C3E98"/>
    <w:rsid w:val="000C453A"/>
    <w:rsid w:val="000C4B74"/>
    <w:rsid w:val="000C4E0A"/>
    <w:rsid w:val="000C50B0"/>
    <w:rsid w:val="000C5849"/>
    <w:rsid w:val="000C5A7B"/>
    <w:rsid w:val="000C629F"/>
    <w:rsid w:val="000C64EB"/>
    <w:rsid w:val="000C664E"/>
    <w:rsid w:val="000C669D"/>
    <w:rsid w:val="000C6827"/>
    <w:rsid w:val="000C68FC"/>
    <w:rsid w:val="000C6D1B"/>
    <w:rsid w:val="000C79AC"/>
    <w:rsid w:val="000C7C92"/>
    <w:rsid w:val="000D02A0"/>
    <w:rsid w:val="000D0723"/>
    <w:rsid w:val="000D091E"/>
    <w:rsid w:val="000D14BD"/>
    <w:rsid w:val="000D226E"/>
    <w:rsid w:val="000D3596"/>
    <w:rsid w:val="000D36DC"/>
    <w:rsid w:val="000D36FF"/>
    <w:rsid w:val="000D3BBA"/>
    <w:rsid w:val="000D402D"/>
    <w:rsid w:val="000D4533"/>
    <w:rsid w:val="000D596C"/>
    <w:rsid w:val="000D5A38"/>
    <w:rsid w:val="000D5DFE"/>
    <w:rsid w:val="000D7C74"/>
    <w:rsid w:val="000E0ED3"/>
    <w:rsid w:val="000E122E"/>
    <w:rsid w:val="000E27A6"/>
    <w:rsid w:val="000E31F6"/>
    <w:rsid w:val="000E3473"/>
    <w:rsid w:val="000E3E92"/>
    <w:rsid w:val="000E3EB1"/>
    <w:rsid w:val="000E445E"/>
    <w:rsid w:val="000E4A2D"/>
    <w:rsid w:val="000E5AA8"/>
    <w:rsid w:val="000E5D53"/>
    <w:rsid w:val="000E5E06"/>
    <w:rsid w:val="000E673F"/>
    <w:rsid w:val="000E7F81"/>
    <w:rsid w:val="000F158B"/>
    <w:rsid w:val="000F1712"/>
    <w:rsid w:val="000F1DCE"/>
    <w:rsid w:val="000F2CA4"/>
    <w:rsid w:val="000F2DAA"/>
    <w:rsid w:val="000F2DF2"/>
    <w:rsid w:val="000F2FB0"/>
    <w:rsid w:val="000F3AC1"/>
    <w:rsid w:val="000F4134"/>
    <w:rsid w:val="000F46EC"/>
    <w:rsid w:val="000F47E2"/>
    <w:rsid w:val="000F4BC0"/>
    <w:rsid w:val="000F4E41"/>
    <w:rsid w:val="000F4F73"/>
    <w:rsid w:val="000F645E"/>
    <w:rsid w:val="000F7310"/>
    <w:rsid w:val="000F762F"/>
    <w:rsid w:val="000F7ECE"/>
    <w:rsid w:val="00100342"/>
    <w:rsid w:val="00100682"/>
    <w:rsid w:val="00100B79"/>
    <w:rsid w:val="0010107B"/>
    <w:rsid w:val="00101A4E"/>
    <w:rsid w:val="00103678"/>
    <w:rsid w:val="001051A2"/>
    <w:rsid w:val="00105603"/>
    <w:rsid w:val="0010608A"/>
    <w:rsid w:val="00106508"/>
    <w:rsid w:val="00106967"/>
    <w:rsid w:val="00106DB9"/>
    <w:rsid w:val="00106ED1"/>
    <w:rsid w:val="00107563"/>
    <w:rsid w:val="00107719"/>
    <w:rsid w:val="00107A8B"/>
    <w:rsid w:val="00107B2B"/>
    <w:rsid w:val="0011045C"/>
    <w:rsid w:val="0011074E"/>
    <w:rsid w:val="0011075A"/>
    <w:rsid w:val="001107EE"/>
    <w:rsid w:val="0011120B"/>
    <w:rsid w:val="001115E5"/>
    <w:rsid w:val="00111C75"/>
    <w:rsid w:val="00112414"/>
    <w:rsid w:val="0011310D"/>
    <w:rsid w:val="00113D66"/>
    <w:rsid w:val="0011504B"/>
    <w:rsid w:val="0011583E"/>
    <w:rsid w:val="00115933"/>
    <w:rsid w:val="00116075"/>
    <w:rsid w:val="00116DDC"/>
    <w:rsid w:val="00116E56"/>
    <w:rsid w:val="00116FD7"/>
    <w:rsid w:val="001177BE"/>
    <w:rsid w:val="00117A51"/>
    <w:rsid w:val="00117D26"/>
    <w:rsid w:val="0012073E"/>
    <w:rsid w:val="00120926"/>
    <w:rsid w:val="00120F6E"/>
    <w:rsid w:val="0012140B"/>
    <w:rsid w:val="00121DF4"/>
    <w:rsid w:val="00121E42"/>
    <w:rsid w:val="00121EC9"/>
    <w:rsid w:val="001227AE"/>
    <w:rsid w:val="001227CE"/>
    <w:rsid w:val="00122BC7"/>
    <w:rsid w:val="00122C56"/>
    <w:rsid w:val="00123636"/>
    <w:rsid w:val="001245C7"/>
    <w:rsid w:val="00124BD8"/>
    <w:rsid w:val="00124C43"/>
    <w:rsid w:val="00124CCC"/>
    <w:rsid w:val="00124CE4"/>
    <w:rsid w:val="00124D81"/>
    <w:rsid w:val="001251CC"/>
    <w:rsid w:val="00125D73"/>
    <w:rsid w:val="00125DA3"/>
    <w:rsid w:val="00126B5E"/>
    <w:rsid w:val="00126BD2"/>
    <w:rsid w:val="00126FF3"/>
    <w:rsid w:val="00127761"/>
    <w:rsid w:val="001303EE"/>
    <w:rsid w:val="00130955"/>
    <w:rsid w:val="00130DF7"/>
    <w:rsid w:val="00130EF2"/>
    <w:rsid w:val="0013196F"/>
    <w:rsid w:val="00132580"/>
    <w:rsid w:val="00132C67"/>
    <w:rsid w:val="00132CE4"/>
    <w:rsid w:val="00132FE8"/>
    <w:rsid w:val="0013332E"/>
    <w:rsid w:val="001335E6"/>
    <w:rsid w:val="00133993"/>
    <w:rsid w:val="00133B0C"/>
    <w:rsid w:val="00133B4B"/>
    <w:rsid w:val="00133CA7"/>
    <w:rsid w:val="00133F63"/>
    <w:rsid w:val="0013556E"/>
    <w:rsid w:val="0013578D"/>
    <w:rsid w:val="0013592B"/>
    <w:rsid w:val="00135F8B"/>
    <w:rsid w:val="001360DD"/>
    <w:rsid w:val="001361FE"/>
    <w:rsid w:val="00136618"/>
    <w:rsid w:val="00136866"/>
    <w:rsid w:val="00137624"/>
    <w:rsid w:val="00137A5A"/>
    <w:rsid w:val="00137A77"/>
    <w:rsid w:val="00137D77"/>
    <w:rsid w:val="001403EF"/>
    <w:rsid w:val="00140A49"/>
    <w:rsid w:val="00141496"/>
    <w:rsid w:val="00141DDC"/>
    <w:rsid w:val="00141FD7"/>
    <w:rsid w:val="001420D2"/>
    <w:rsid w:val="00142B4E"/>
    <w:rsid w:val="00142CC6"/>
    <w:rsid w:val="001444AC"/>
    <w:rsid w:val="0014582C"/>
    <w:rsid w:val="001468D7"/>
    <w:rsid w:val="001473F3"/>
    <w:rsid w:val="00147D14"/>
    <w:rsid w:val="0015085C"/>
    <w:rsid w:val="00150AFF"/>
    <w:rsid w:val="00150B52"/>
    <w:rsid w:val="00150EBC"/>
    <w:rsid w:val="00151813"/>
    <w:rsid w:val="00152263"/>
    <w:rsid w:val="001523C5"/>
    <w:rsid w:val="00152A92"/>
    <w:rsid w:val="00152D3C"/>
    <w:rsid w:val="0015336D"/>
    <w:rsid w:val="0015342F"/>
    <w:rsid w:val="001539F3"/>
    <w:rsid w:val="00153B27"/>
    <w:rsid w:val="00154258"/>
    <w:rsid w:val="00154522"/>
    <w:rsid w:val="00154D3A"/>
    <w:rsid w:val="001557DD"/>
    <w:rsid w:val="00155935"/>
    <w:rsid w:val="00156737"/>
    <w:rsid w:val="00157A6E"/>
    <w:rsid w:val="00160030"/>
    <w:rsid w:val="00160290"/>
    <w:rsid w:val="0016069A"/>
    <w:rsid w:val="00160BEA"/>
    <w:rsid w:val="00161ACB"/>
    <w:rsid w:val="00161E78"/>
    <w:rsid w:val="00162751"/>
    <w:rsid w:val="00162AA9"/>
    <w:rsid w:val="00163468"/>
    <w:rsid w:val="00164948"/>
    <w:rsid w:val="001649A8"/>
    <w:rsid w:val="00165174"/>
    <w:rsid w:val="001651E9"/>
    <w:rsid w:val="00166812"/>
    <w:rsid w:val="00166D24"/>
    <w:rsid w:val="001715EF"/>
    <w:rsid w:val="00171CAD"/>
    <w:rsid w:val="00171F44"/>
    <w:rsid w:val="001736F2"/>
    <w:rsid w:val="00173A9E"/>
    <w:rsid w:val="0017417F"/>
    <w:rsid w:val="0017487F"/>
    <w:rsid w:val="00174B82"/>
    <w:rsid w:val="00174BBE"/>
    <w:rsid w:val="001756DC"/>
    <w:rsid w:val="0017588F"/>
    <w:rsid w:val="00175BD2"/>
    <w:rsid w:val="00176007"/>
    <w:rsid w:val="00176089"/>
    <w:rsid w:val="00176F9D"/>
    <w:rsid w:val="00177223"/>
    <w:rsid w:val="00177466"/>
    <w:rsid w:val="001777B3"/>
    <w:rsid w:val="0018033D"/>
    <w:rsid w:val="001804DE"/>
    <w:rsid w:val="00180535"/>
    <w:rsid w:val="0018085E"/>
    <w:rsid w:val="001809AD"/>
    <w:rsid w:val="00180E5C"/>
    <w:rsid w:val="0018288F"/>
    <w:rsid w:val="00182DE4"/>
    <w:rsid w:val="00183044"/>
    <w:rsid w:val="00183105"/>
    <w:rsid w:val="00183569"/>
    <w:rsid w:val="001837DB"/>
    <w:rsid w:val="001839D2"/>
    <w:rsid w:val="00184373"/>
    <w:rsid w:val="0018465C"/>
    <w:rsid w:val="00184998"/>
    <w:rsid w:val="00184B51"/>
    <w:rsid w:val="001851C6"/>
    <w:rsid w:val="0018537C"/>
    <w:rsid w:val="00186526"/>
    <w:rsid w:val="00186CB1"/>
    <w:rsid w:val="00187489"/>
    <w:rsid w:val="001904AE"/>
    <w:rsid w:val="001907EB"/>
    <w:rsid w:val="00190B27"/>
    <w:rsid w:val="00190C28"/>
    <w:rsid w:val="00192A3A"/>
    <w:rsid w:val="0019340E"/>
    <w:rsid w:val="0019361E"/>
    <w:rsid w:val="00193DDC"/>
    <w:rsid w:val="00194538"/>
    <w:rsid w:val="00195480"/>
    <w:rsid w:val="00195494"/>
    <w:rsid w:val="00195604"/>
    <w:rsid w:val="00196EBA"/>
    <w:rsid w:val="001A0500"/>
    <w:rsid w:val="001A23F3"/>
    <w:rsid w:val="001A244E"/>
    <w:rsid w:val="001A296F"/>
    <w:rsid w:val="001A2D00"/>
    <w:rsid w:val="001A3234"/>
    <w:rsid w:val="001A395C"/>
    <w:rsid w:val="001A4CD9"/>
    <w:rsid w:val="001A4FA5"/>
    <w:rsid w:val="001A6547"/>
    <w:rsid w:val="001A67C8"/>
    <w:rsid w:val="001A6BDD"/>
    <w:rsid w:val="001A713F"/>
    <w:rsid w:val="001A770B"/>
    <w:rsid w:val="001A7AA5"/>
    <w:rsid w:val="001B06A5"/>
    <w:rsid w:val="001B15BB"/>
    <w:rsid w:val="001B1E38"/>
    <w:rsid w:val="001B2BC5"/>
    <w:rsid w:val="001B32A0"/>
    <w:rsid w:val="001B39B2"/>
    <w:rsid w:val="001B39E1"/>
    <w:rsid w:val="001B4F1B"/>
    <w:rsid w:val="001B5607"/>
    <w:rsid w:val="001B5A78"/>
    <w:rsid w:val="001B5E35"/>
    <w:rsid w:val="001B6AF6"/>
    <w:rsid w:val="001B733C"/>
    <w:rsid w:val="001B73B3"/>
    <w:rsid w:val="001C0AB0"/>
    <w:rsid w:val="001C101C"/>
    <w:rsid w:val="001C121C"/>
    <w:rsid w:val="001C1811"/>
    <w:rsid w:val="001C1B7C"/>
    <w:rsid w:val="001C25C2"/>
    <w:rsid w:val="001C3671"/>
    <w:rsid w:val="001C3D69"/>
    <w:rsid w:val="001C4D21"/>
    <w:rsid w:val="001C52A0"/>
    <w:rsid w:val="001C5F67"/>
    <w:rsid w:val="001C75FB"/>
    <w:rsid w:val="001D0661"/>
    <w:rsid w:val="001D0761"/>
    <w:rsid w:val="001D0819"/>
    <w:rsid w:val="001D0D46"/>
    <w:rsid w:val="001D1E01"/>
    <w:rsid w:val="001D247C"/>
    <w:rsid w:val="001D3177"/>
    <w:rsid w:val="001D323F"/>
    <w:rsid w:val="001D3432"/>
    <w:rsid w:val="001D364E"/>
    <w:rsid w:val="001D3CD1"/>
    <w:rsid w:val="001D3F88"/>
    <w:rsid w:val="001D42E1"/>
    <w:rsid w:val="001D4D4D"/>
    <w:rsid w:val="001D4F9A"/>
    <w:rsid w:val="001D5B94"/>
    <w:rsid w:val="001D6D38"/>
    <w:rsid w:val="001D6F1D"/>
    <w:rsid w:val="001D7FDA"/>
    <w:rsid w:val="001E041A"/>
    <w:rsid w:val="001E0CCA"/>
    <w:rsid w:val="001E169E"/>
    <w:rsid w:val="001E1B8C"/>
    <w:rsid w:val="001E21E4"/>
    <w:rsid w:val="001E2573"/>
    <w:rsid w:val="001E3876"/>
    <w:rsid w:val="001E43A1"/>
    <w:rsid w:val="001E4DF7"/>
    <w:rsid w:val="001E51CB"/>
    <w:rsid w:val="001E52C3"/>
    <w:rsid w:val="001E58AE"/>
    <w:rsid w:val="001E5A4E"/>
    <w:rsid w:val="001E6893"/>
    <w:rsid w:val="001E7684"/>
    <w:rsid w:val="001E7855"/>
    <w:rsid w:val="001E7E00"/>
    <w:rsid w:val="001F061D"/>
    <w:rsid w:val="001F11EC"/>
    <w:rsid w:val="001F15E2"/>
    <w:rsid w:val="001F1A34"/>
    <w:rsid w:val="001F1EE7"/>
    <w:rsid w:val="001F20A3"/>
    <w:rsid w:val="001F23A5"/>
    <w:rsid w:val="001F256F"/>
    <w:rsid w:val="001F2F15"/>
    <w:rsid w:val="001F2FE2"/>
    <w:rsid w:val="001F332C"/>
    <w:rsid w:val="001F3A28"/>
    <w:rsid w:val="001F410F"/>
    <w:rsid w:val="001F46B2"/>
    <w:rsid w:val="001F5D3F"/>
    <w:rsid w:val="001F611B"/>
    <w:rsid w:val="001F66C1"/>
    <w:rsid w:val="001F779D"/>
    <w:rsid w:val="001F7B1E"/>
    <w:rsid w:val="0020026A"/>
    <w:rsid w:val="00200760"/>
    <w:rsid w:val="00200DE9"/>
    <w:rsid w:val="00201028"/>
    <w:rsid w:val="00201356"/>
    <w:rsid w:val="002014F6"/>
    <w:rsid w:val="00201F04"/>
    <w:rsid w:val="00201F7F"/>
    <w:rsid w:val="002027BC"/>
    <w:rsid w:val="00204F2D"/>
    <w:rsid w:val="002055F6"/>
    <w:rsid w:val="0020561B"/>
    <w:rsid w:val="002060E5"/>
    <w:rsid w:val="00206343"/>
    <w:rsid w:val="00206B83"/>
    <w:rsid w:val="002071E5"/>
    <w:rsid w:val="002072BD"/>
    <w:rsid w:val="002072E9"/>
    <w:rsid w:val="0020786B"/>
    <w:rsid w:val="002107F5"/>
    <w:rsid w:val="00210819"/>
    <w:rsid w:val="002112CB"/>
    <w:rsid w:val="00211413"/>
    <w:rsid w:val="00211FB9"/>
    <w:rsid w:val="00212347"/>
    <w:rsid w:val="00212E8E"/>
    <w:rsid w:val="00213EE6"/>
    <w:rsid w:val="0021430E"/>
    <w:rsid w:val="00214BFC"/>
    <w:rsid w:val="00215E0E"/>
    <w:rsid w:val="0021606B"/>
    <w:rsid w:val="0021669A"/>
    <w:rsid w:val="00216E59"/>
    <w:rsid w:val="002173F2"/>
    <w:rsid w:val="00220968"/>
    <w:rsid w:val="00220EFC"/>
    <w:rsid w:val="00221A72"/>
    <w:rsid w:val="00221A92"/>
    <w:rsid w:val="00221B15"/>
    <w:rsid w:val="00221B45"/>
    <w:rsid w:val="00221D2B"/>
    <w:rsid w:val="002247BE"/>
    <w:rsid w:val="00224B2D"/>
    <w:rsid w:val="002263DB"/>
    <w:rsid w:val="002301EE"/>
    <w:rsid w:val="00231A8A"/>
    <w:rsid w:val="00232324"/>
    <w:rsid w:val="00232BCD"/>
    <w:rsid w:val="00233130"/>
    <w:rsid w:val="00233794"/>
    <w:rsid w:val="00233ADB"/>
    <w:rsid w:val="00233F2A"/>
    <w:rsid w:val="0023436E"/>
    <w:rsid w:val="00235E7F"/>
    <w:rsid w:val="00236074"/>
    <w:rsid w:val="00236BB5"/>
    <w:rsid w:val="00236CA8"/>
    <w:rsid w:val="00236E36"/>
    <w:rsid w:val="00240238"/>
    <w:rsid w:val="00240467"/>
    <w:rsid w:val="002404E0"/>
    <w:rsid w:val="0024108A"/>
    <w:rsid w:val="00242118"/>
    <w:rsid w:val="0024326F"/>
    <w:rsid w:val="00243442"/>
    <w:rsid w:val="00243932"/>
    <w:rsid w:val="002444E6"/>
    <w:rsid w:val="00244968"/>
    <w:rsid w:val="002451A1"/>
    <w:rsid w:val="00245903"/>
    <w:rsid w:val="00245DE5"/>
    <w:rsid w:val="0024677C"/>
    <w:rsid w:val="00246E91"/>
    <w:rsid w:val="00247564"/>
    <w:rsid w:val="00247DD0"/>
    <w:rsid w:val="00247FEF"/>
    <w:rsid w:val="002500AB"/>
    <w:rsid w:val="00251160"/>
    <w:rsid w:val="00251AEB"/>
    <w:rsid w:val="00251F3B"/>
    <w:rsid w:val="002529BC"/>
    <w:rsid w:val="00252A4A"/>
    <w:rsid w:val="00252FEC"/>
    <w:rsid w:val="0025327F"/>
    <w:rsid w:val="00253572"/>
    <w:rsid w:val="002537CB"/>
    <w:rsid w:val="00253A50"/>
    <w:rsid w:val="00253BE6"/>
    <w:rsid w:val="002541FF"/>
    <w:rsid w:val="00254254"/>
    <w:rsid w:val="00254A2E"/>
    <w:rsid w:val="002557E7"/>
    <w:rsid w:val="00255BB6"/>
    <w:rsid w:val="00256108"/>
    <w:rsid w:val="0025616B"/>
    <w:rsid w:val="002564D6"/>
    <w:rsid w:val="002573B9"/>
    <w:rsid w:val="002577EC"/>
    <w:rsid w:val="0025797F"/>
    <w:rsid w:val="00257F9D"/>
    <w:rsid w:val="002605CA"/>
    <w:rsid w:val="00260C31"/>
    <w:rsid w:val="00260D3A"/>
    <w:rsid w:val="00260E87"/>
    <w:rsid w:val="0026113B"/>
    <w:rsid w:val="00261745"/>
    <w:rsid w:val="0026242B"/>
    <w:rsid w:val="0026253C"/>
    <w:rsid w:val="002626A1"/>
    <w:rsid w:val="00262E98"/>
    <w:rsid w:val="00264178"/>
    <w:rsid w:val="002642CB"/>
    <w:rsid w:val="0026560C"/>
    <w:rsid w:val="002656C2"/>
    <w:rsid w:val="00265F09"/>
    <w:rsid w:val="002660F4"/>
    <w:rsid w:val="00266573"/>
    <w:rsid w:val="00266C0E"/>
    <w:rsid w:val="00266C12"/>
    <w:rsid w:val="00266F2D"/>
    <w:rsid w:val="0027026D"/>
    <w:rsid w:val="002707CA"/>
    <w:rsid w:val="00270B87"/>
    <w:rsid w:val="00270C17"/>
    <w:rsid w:val="00270FA9"/>
    <w:rsid w:val="00272BFA"/>
    <w:rsid w:val="00272C32"/>
    <w:rsid w:val="00272CB2"/>
    <w:rsid w:val="00272CF7"/>
    <w:rsid w:val="002744ED"/>
    <w:rsid w:val="00274B2F"/>
    <w:rsid w:val="00274F03"/>
    <w:rsid w:val="0027547B"/>
    <w:rsid w:val="002764CB"/>
    <w:rsid w:val="0027676A"/>
    <w:rsid w:val="00277042"/>
    <w:rsid w:val="002773F1"/>
    <w:rsid w:val="002778F3"/>
    <w:rsid w:val="00277A0F"/>
    <w:rsid w:val="00277DAB"/>
    <w:rsid w:val="00280495"/>
    <w:rsid w:val="00280C92"/>
    <w:rsid w:val="00280EA9"/>
    <w:rsid w:val="00281E13"/>
    <w:rsid w:val="00281F8F"/>
    <w:rsid w:val="002822C5"/>
    <w:rsid w:val="00282AD6"/>
    <w:rsid w:val="00282AFD"/>
    <w:rsid w:val="00282C5F"/>
    <w:rsid w:val="002835EF"/>
    <w:rsid w:val="0028524D"/>
    <w:rsid w:val="00285480"/>
    <w:rsid w:val="00285627"/>
    <w:rsid w:val="0028690D"/>
    <w:rsid w:val="00287384"/>
    <w:rsid w:val="00287A6F"/>
    <w:rsid w:val="00287F64"/>
    <w:rsid w:val="00290811"/>
    <w:rsid w:val="0029097F"/>
    <w:rsid w:val="00290B84"/>
    <w:rsid w:val="00290F43"/>
    <w:rsid w:val="00291950"/>
    <w:rsid w:val="00291D51"/>
    <w:rsid w:val="00292575"/>
    <w:rsid w:val="002928E0"/>
    <w:rsid w:val="00292F33"/>
    <w:rsid w:val="00294261"/>
    <w:rsid w:val="00294B78"/>
    <w:rsid w:val="0029524F"/>
    <w:rsid w:val="002955E5"/>
    <w:rsid w:val="00295696"/>
    <w:rsid w:val="00295754"/>
    <w:rsid w:val="00296622"/>
    <w:rsid w:val="00296F37"/>
    <w:rsid w:val="00297375"/>
    <w:rsid w:val="002A0192"/>
    <w:rsid w:val="002A02B3"/>
    <w:rsid w:val="002A0463"/>
    <w:rsid w:val="002A07AB"/>
    <w:rsid w:val="002A081F"/>
    <w:rsid w:val="002A1864"/>
    <w:rsid w:val="002A1ADF"/>
    <w:rsid w:val="002A2125"/>
    <w:rsid w:val="002A2226"/>
    <w:rsid w:val="002A2429"/>
    <w:rsid w:val="002A3746"/>
    <w:rsid w:val="002A3B28"/>
    <w:rsid w:val="002A4005"/>
    <w:rsid w:val="002A586A"/>
    <w:rsid w:val="002A6093"/>
    <w:rsid w:val="002A715C"/>
    <w:rsid w:val="002A77EA"/>
    <w:rsid w:val="002A7A55"/>
    <w:rsid w:val="002A7EEB"/>
    <w:rsid w:val="002B0C8D"/>
    <w:rsid w:val="002B0D6A"/>
    <w:rsid w:val="002B1681"/>
    <w:rsid w:val="002B1766"/>
    <w:rsid w:val="002B1858"/>
    <w:rsid w:val="002B1CAB"/>
    <w:rsid w:val="002B1FDF"/>
    <w:rsid w:val="002B26C4"/>
    <w:rsid w:val="002B302E"/>
    <w:rsid w:val="002B3C6F"/>
    <w:rsid w:val="002B4826"/>
    <w:rsid w:val="002B5B21"/>
    <w:rsid w:val="002B5D64"/>
    <w:rsid w:val="002B5D8C"/>
    <w:rsid w:val="002B688E"/>
    <w:rsid w:val="002B6E80"/>
    <w:rsid w:val="002B6E83"/>
    <w:rsid w:val="002B714B"/>
    <w:rsid w:val="002B7315"/>
    <w:rsid w:val="002B7449"/>
    <w:rsid w:val="002B7A0F"/>
    <w:rsid w:val="002C0DCB"/>
    <w:rsid w:val="002C12C0"/>
    <w:rsid w:val="002C138E"/>
    <w:rsid w:val="002C1824"/>
    <w:rsid w:val="002C1879"/>
    <w:rsid w:val="002C1BF7"/>
    <w:rsid w:val="002C1E01"/>
    <w:rsid w:val="002C1F3E"/>
    <w:rsid w:val="002C27C5"/>
    <w:rsid w:val="002C2C26"/>
    <w:rsid w:val="002C2DB7"/>
    <w:rsid w:val="002C32EC"/>
    <w:rsid w:val="002C37AD"/>
    <w:rsid w:val="002C3E1D"/>
    <w:rsid w:val="002C430F"/>
    <w:rsid w:val="002C4386"/>
    <w:rsid w:val="002C4414"/>
    <w:rsid w:val="002C5271"/>
    <w:rsid w:val="002C65A5"/>
    <w:rsid w:val="002C6721"/>
    <w:rsid w:val="002C708A"/>
    <w:rsid w:val="002C72BF"/>
    <w:rsid w:val="002D07E8"/>
    <w:rsid w:val="002D08BD"/>
    <w:rsid w:val="002D0A60"/>
    <w:rsid w:val="002D2621"/>
    <w:rsid w:val="002D296F"/>
    <w:rsid w:val="002D2EA9"/>
    <w:rsid w:val="002D31C9"/>
    <w:rsid w:val="002D362B"/>
    <w:rsid w:val="002D3E87"/>
    <w:rsid w:val="002D4029"/>
    <w:rsid w:val="002D5242"/>
    <w:rsid w:val="002D54B1"/>
    <w:rsid w:val="002D5560"/>
    <w:rsid w:val="002D571D"/>
    <w:rsid w:val="002D5B1B"/>
    <w:rsid w:val="002D63ED"/>
    <w:rsid w:val="002D67DC"/>
    <w:rsid w:val="002D69FB"/>
    <w:rsid w:val="002D6F65"/>
    <w:rsid w:val="002D7616"/>
    <w:rsid w:val="002D7834"/>
    <w:rsid w:val="002D79B6"/>
    <w:rsid w:val="002D7C19"/>
    <w:rsid w:val="002E02A6"/>
    <w:rsid w:val="002E074A"/>
    <w:rsid w:val="002E0FE9"/>
    <w:rsid w:val="002E1772"/>
    <w:rsid w:val="002E17DD"/>
    <w:rsid w:val="002E2DB0"/>
    <w:rsid w:val="002E32BF"/>
    <w:rsid w:val="002E339B"/>
    <w:rsid w:val="002E3414"/>
    <w:rsid w:val="002E3443"/>
    <w:rsid w:val="002E363D"/>
    <w:rsid w:val="002E3D6D"/>
    <w:rsid w:val="002E3E9F"/>
    <w:rsid w:val="002E40E1"/>
    <w:rsid w:val="002E471D"/>
    <w:rsid w:val="002E5823"/>
    <w:rsid w:val="002E606F"/>
    <w:rsid w:val="002E6579"/>
    <w:rsid w:val="002E6651"/>
    <w:rsid w:val="002E6B39"/>
    <w:rsid w:val="002E7615"/>
    <w:rsid w:val="002E7C40"/>
    <w:rsid w:val="002F1051"/>
    <w:rsid w:val="002F181C"/>
    <w:rsid w:val="002F3158"/>
    <w:rsid w:val="002F3F83"/>
    <w:rsid w:val="002F419C"/>
    <w:rsid w:val="002F423E"/>
    <w:rsid w:val="002F465B"/>
    <w:rsid w:val="002F542C"/>
    <w:rsid w:val="002F69FD"/>
    <w:rsid w:val="002F71A4"/>
    <w:rsid w:val="003016FB"/>
    <w:rsid w:val="0030281B"/>
    <w:rsid w:val="00302A57"/>
    <w:rsid w:val="00303642"/>
    <w:rsid w:val="00303A71"/>
    <w:rsid w:val="003042A7"/>
    <w:rsid w:val="0030641B"/>
    <w:rsid w:val="0030663E"/>
    <w:rsid w:val="0030675F"/>
    <w:rsid w:val="00307039"/>
    <w:rsid w:val="003076FF"/>
    <w:rsid w:val="00307C0E"/>
    <w:rsid w:val="00307E6F"/>
    <w:rsid w:val="003105AD"/>
    <w:rsid w:val="00310A8C"/>
    <w:rsid w:val="00311ABE"/>
    <w:rsid w:val="00312091"/>
    <w:rsid w:val="00312673"/>
    <w:rsid w:val="00312895"/>
    <w:rsid w:val="00312C50"/>
    <w:rsid w:val="00312C86"/>
    <w:rsid w:val="00312CEF"/>
    <w:rsid w:val="0031328A"/>
    <w:rsid w:val="003135E7"/>
    <w:rsid w:val="00313648"/>
    <w:rsid w:val="0031376B"/>
    <w:rsid w:val="00313872"/>
    <w:rsid w:val="0031485C"/>
    <w:rsid w:val="00315787"/>
    <w:rsid w:val="00315AAC"/>
    <w:rsid w:val="00315D14"/>
    <w:rsid w:val="00315D87"/>
    <w:rsid w:val="003168C1"/>
    <w:rsid w:val="00317270"/>
    <w:rsid w:val="0031786E"/>
    <w:rsid w:val="003178D7"/>
    <w:rsid w:val="003203C3"/>
    <w:rsid w:val="003205DF"/>
    <w:rsid w:val="00320E53"/>
    <w:rsid w:val="0032155A"/>
    <w:rsid w:val="003219E0"/>
    <w:rsid w:val="00322159"/>
    <w:rsid w:val="00322CF5"/>
    <w:rsid w:val="0032346C"/>
    <w:rsid w:val="00323F22"/>
    <w:rsid w:val="00323F98"/>
    <w:rsid w:val="003240A8"/>
    <w:rsid w:val="00324B08"/>
    <w:rsid w:val="00325044"/>
    <w:rsid w:val="00325952"/>
    <w:rsid w:val="00325DEB"/>
    <w:rsid w:val="00326380"/>
    <w:rsid w:val="0032694B"/>
    <w:rsid w:val="003269EF"/>
    <w:rsid w:val="00327A7E"/>
    <w:rsid w:val="00327AB7"/>
    <w:rsid w:val="00327CF2"/>
    <w:rsid w:val="003303BA"/>
    <w:rsid w:val="00330D22"/>
    <w:rsid w:val="00330E35"/>
    <w:rsid w:val="0033155E"/>
    <w:rsid w:val="0033159C"/>
    <w:rsid w:val="003315AC"/>
    <w:rsid w:val="003321B8"/>
    <w:rsid w:val="003321CF"/>
    <w:rsid w:val="00332368"/>
    <w:rsid w:val="003326C2"/>
    <w:rsid w:val="003328D1"/>
    <w:rsid w:val="003329E2"/>
    <w:rsid w:val="00332BF6"/>
    <w:rsid w:val="00332EA6"/>
    <w:rsid w:val="003343D4"/>
    <w:rsid w:val="00335275"/>
    <w:rsid w:val="00336852"/>
    <w:rsid w:val="00337B32"/>
    <w:rsid w:val="00340275"/>
    <w:rsid w:val="003403C8"/>
    <w:rsid w:val="003405BF"/>
    <w:rsid w:val="0034088D"/>
    <w:rsid w:val="003408F1"/>
    <w:rsid w:val="00340AEC"/>
    <w:rsid w:val="00340C9E"/>
    <w:rsid w:val="00340DBC"/>
    <w:rsid w:val="00342214"/>
    <w:rsid w:val="00343272"/>
    <w:rsid w:val="00343B4E"/>
    <w:rsid w:val="0034400A"/>
    <w:rsid w:val="0034424A"/>
    <w:rsid w:val="00344A69"/>
    <w:rsid w:val="00344ABF"/>
    <w:rsid w:val="00345771"/>
    <w:rsid w:val="00345947"/>
    <w:rsid w:val="00346325"/>
    <w:rsid w:val="00346544"/>
    <w:rsid w:val="0034735A"/>
    <w:rsid w:val="0034760B"/>
    <w:rsid w:val="003504F9"/>
    <w:rsid w:val="003505F6"/>
    <w:rsid w:val="00350605"/>
    <w:rsid w:val="00350A43"/>
    <w:rsid w:val="00350F08"/>
    <w:rsid w:val="003519C5"/>
    <w:rsid w:val="00351AA2"/>
    <w:rsid w:val="00351BE7"/>
    <w:rsid w:val="003523FA"/>
    <w:rsid w:val="00352B57"/>
    <w:rsid w:val="00352E76"/>
    <w:rsid w:val="00353E91"/>
    <w:rsid w:val="00354868"/>
    <w:rsid w:val="00354DA7"/>
    <w:rsid w:val="00355728"/>
    <w:rsid w:val="00355C67"/>
    <w:rsid w:val="003564CF"/>
    <w:rsid w:val="00357188"/>
    <w:rsid w:val="003572B6"/>
    <w:rsid w:val="003573FB"/>
    <w:rsid w:val="0035768E"/>
    <w:rsid w:val="003629DB"/>
    <w:rsid w:val="00362A2A"/>
    <w:rsid w:val="003643BF"/>
    <w:rsid w:val="003651C7"/>
    <w:rsid w:val="00365FED"/>
    <w:rsid w:val="00366082"/>
    <w:rsid w:val="00366251"/>
    <w:rsid w:val="00366363"/>
    <w:rsid w:val="003665A0"/>
    <w:rsid w:val="00366AAB"/>
    <w:rsid w:val="00366C74"/>
    <w:rsid w:val="00367884"/>
    <w:rsid w:val="00367995"/>
    <w:rsid w:val="00367D78"/>
    <w:rsid w:val="00370866"/>
    <w:rsid w:val="00371298"/>
    <w:rsid w:val="00371483"/>
    <w:rsid w:val="00372377"/>
    <w:rsid w:val="003723CA"/>
    <w:rsid w:val="003726AC"/>
    <w:rsid w:val="00372D07"/>
    <w:rsid w:val="003732F8"/>
    <w:rsid w:val="00373945"/>
    <w:rsid w:val="003741D7"/>
    <w:rsid w:val="003746E5"/>
    <w:rsid w:val="0037486D"/>
    <w:rsid w:val="00374AB6"/>
    <w:rsid w:val="00376895"/>
    <w:rsid w:val="00376EDB"/>
    <w:rsid w:val="003775F9"/>
    <w:rsid w:val="00380832"/>
    <w:rsid w:val="00380D16"/>
    <w:rsid w:val="00380D50"/>
    <w:rsid w:val="00381A1D"/>
    <w:rsid w:val="00381A6D"/>
    <w:rsid w:val="003821C8"/>
    <w:rsid w:val="00382BEC"/>
    <w:rsid w:val="00384131"/>
    <w:rsid w:val="0038456B"/>
    <w:rsid w:val="0038481A"/>
    <w:rsid w:val="003848EB"/>
    <w:rsid w:val="0038535B"/>
    <w:rsid w:val="00385C0E"/>
    <w:rsid w:val="00385C70"/>
    <w:rsid w:val="00386AFC"/>
    <w:rsid w:val="00386C91"/>
    <w:rsid w:val="00386F72"/>
    <w:rsid w:val="003872E4"/>
    <w:rsid w:val="003873FE"/>
    <w:rsid w:val="00387AAD"/>
    <w:rsid w:val="003906D6"/>
    <w:rsid w:val="003907EB"/>
    <w:rsid w:val="00390A02"/>
    <w:rsid w:val="00390D5E"/>
    <w:rsid w:val="00391680"/>
    <w:rsid w:val="003917EC"/>
    <w:rsid w:val="00391E2E"/>
    <w:rsid w:val="00392099"/>
    <w:rsid w:val="003922D8"/>
    <w:rsid w:val="003932AF"/>
    <w:rsid w:val="003932F9"/>
    <w:rsid w:val="003934EE"/>
    <w:rsid w:val="00393845"/>
    <w:rsid w:val="00393D46"/>
    <w:rsid w:val="00393F0D"/>
    <w:rsid w:val="0039426F"/>
    <w:rsid w:val="003943BE"/>
    <w:rsid w:val="00394B14"/>
    <w:rsid w:val="003951C6"/>
    <w:rsid w:val="00395447"/>
    <w:rsid w:val="00395A1E"/>
    <w:rsid w:val="00396106"/>
    <w:rsid w:val="00396225"/>
    <w:rsid w:val="003963DB"/>
    <w:rsid w:val="0039738B"/>
    <w:rsid w:val="00397CE8"/>
    <w:rsid w:val="003A0403"/>
    <w:rsid w:val="003A04F7"/>
    <w:rsid w:val="003A179B"/>
    <w:rsid w:val="003A29D2"/>
    <w:rsid w:val="003A2D02"/>
    <w:rsid w:val="003A31CF"/>
    <w:rsid w:val="003A3ED0"/>
    <w:rsid w:val="003A5574"/>
    <w:rsid w:val="003A56AF"/>
    <w:rsid w:val="003A584C"/>
    <w:rsid w:val="003A6541"/>
    <w:rsid w:val="003A6D2D"/>
    <w:rsid w:val="003A76CA"/>
    <w:rsid w:val="003A781B"/>
    <w:rsid w:val="003B013B"/>
    <w:rsid w:val="003B0748"/>
    <w:rsid w:val="003B0B61"/>
    <w:rsid w:val="003B1219"/>
    <w:rsid w:val="003B18F8"/>
    <w:rsid w:val="003B1935"/>
    <w:rsid w:val="003B1E79"/>
    <w:rsid w:val="003B2382"/>
    <w:rsid w:val="003B2D0A"/>
    <w:rsid w:val="003B2E94"/>
    <w:rsid w:val="003B3440"/>
    <w:rsid w:val="003B3D23"/>
    <w:rsid w:val="003B400A"/>
    <w:rsid w:val="003B413E"/>
    <w:rsid w:val="003B4431"/>
    <w:rsid w:val="003B4590"/>
    <w:rsid w:val="003B4FAD"/>
    <w:rsid w:val="003B6040"/>
    <w:rsid w:val="003B67B2"/>
    <w:rsid w:val="003B68E0"/>
    <w:rsid w:val="003B69C1"/>
    <w:rsid w:val="003B7DC3"/>
    <w:rsid w:val="003C00A7"/>
    <w:rsid w:val="003C00B6"/>
    <w:rsid w:val="003C06EC"/>
    <w:rsid w:val="003C0C6C"/>
    <w:rsid w:val="003C0C8B"/>
    <w:rsid w:val="003C1B6C"/>
    <w:rsid w:val="003C2225"/>
    <w:rsid w:val="003C267C"/>
    <w:rsid w:val="003C2C49"/>
    <w:rsid w:val="003C2E4F"/>
    <w:rsid w:val="003C32B8"/>
    <w:rsid w:val="003C3FE6"/>
    <w:rsid w:val="003C438C"/>
    <w:rsid w:val="003C49DA"/>
    <w:rsid w:val="003C58EB"/>
    <w:rsid w:val="003C6CC9"/>
    <w:rsid w:val="003C6E0C"/>
    <w:rsid w:val="003C6EB7"/>
    <w:rsid w:val="003C70A3"/>
    <w:rsid w:val="003D01EF"/>
    <w:rsid w:val="003D08DC"/>
    <w:rsid w:val="003D0A96"/>
    <w:rsid w:val="003D19D1"/>
    <w:rsid w:val="003D1C2E"/>
    <w:rsid w:val="003D200C"/>
    <w:rsid w:val="003D222D"/>
    <w:rsid w:val="003D2267"/>
    <w:rsid w:val="003D24D5"/>
    <w:rsid w:val="003D2855"/>
    <w:rsid w:val="003D2A67"/>
    <w:rsid w:val="003D31EF"/>
    <w:rsid w:val="003D329B"/>
    <w:rsid w:val="003D33FA"/>
    <w:rsid w:val="003D349E"/>
    <w:rsid w:val="003D3616"/>
    <w:rsid w:val="003D37A1"/>
    <w:rsid w:val="003D3B82"/>
    <w:rsid w:val="003D425E"/>
    <w:rsid w:val="003D438C"/>
    <w:rsid w:val="003D4617"/>
    <w:rsid w:val="003D4FA0"/>
    <w:rsid w:val="003D5159"/>
    <w:rsid w:val="003D5818"/>
    <w:rsid w:val="003D5FBA"/>
    <w:rsid w:val="003D61A5"/>
    <w:rsid w:val="003D7102"/>
    <w:rsid w:val="003D763E"/>
    <w:rsid w:val="003D7B65"/>
    <w:rsid w:val="003E0634"/>
    <w:rsid w:val="003E0EA2"/>
    <w:rsid w:val="003E16A3"/>
    <w:rsid w:val="003E1BCC"/>
    <w:rsid w:val="003E2101"/>
    <w:rsid w:val="003E21F8"/>
    <w:rsid w:val="003E2BCC"/>
    <w:rsid w:val="003E378C"/>
    <w:rsid w:val="003E3981"/>
    <w:rsid w:val="003E3C6B"/>
    <w:rsid w:val="003E3F75"/>
    <w:rsid w:val="003E4B6B"/>
    <w:rsid w:val="003E4C80"/>
    <w:rsid w:val="003E64C9"/>
    <w:rsid w:val="003E6B64"/>
    <w:rsid w:val="003E7115"/>
    <w:rsid w:val="003E77C1"/>
    <w:rsid w:val="003E7D5E"/>
    <w:rsid w:val="003F0C3F"/>
    <w:rsid w:val="003F10D8"/>
    <w:rsid w:val="003F1166"/>
    <w:rsid w:val="003F12F1"/>
    <w:rsid w:val="003F2788"/>
    <w:rsid w:val="003F36BB"/>
    <w:rsid w:val="003F3954"/>
    <w:rsid w:val="003F3E8D"/>
    <w:rsid w:val="003F4516"/>
    <w:rsid w:val="003F45E7"/>
    <w:rsid w:val="003F48A1"/>
    <w:rsid w:val="003F61CD"/>
    <w:rsid w:val="003F6CB8"/>
    <w:rsid w:val="003F735B"/>
    <w:rsid w:val="003F76AC"/>
    <w:rsid w:val="0040074A"/>
    <w:rsid w:val="004009FB"/>
    <w:rsid w:val="00400AA4"/>
    <w:rsid w:val="004011A1"/>
    <w:rsid w:val="0040161C"/>
    <w:rsid w:val="00401E05"/>
    <w:rsid w:val="00401F65"/>
    <w:rsid w:val="00402895"/>
    <w:rsid w:val="00402943"/>
    <w:rsid w:val="004032D5"/>
    <w:rsid w:val="00403827"/>
    <w:rsid w:val="00404424"/>
    <w:rsid w:val="00404D65"/>
    <w:rsid w:val="004052C5"/>
    <w:rsid w:val="004054CB"/>
    <w:rsid w:val="0040575F"/>
    <w:rsid w:val="00405FFE"/>
    <w:rsid w:val="00406D9A"/>
    <w:rsid w:val="0040701F"/>
    <w:rsid w:val="00407B8F"/>
    <w:rsid w:val="00410431"/>
    <w:rsid w:val="004104B0"/>
    <w:rsid w:val="004109B2"/>
    <w:rsid w:val="00410FEF"/>
    <w:rsid w:val="00411306"/>
    <w:rsid w:val="004113BB"/>
    <w:rsid w:val="004113F2"/>
    <w:rsid w:val="00411963"/>
    <w:rsid w:val="00411D71"/>
    <w:rsid w:val="00412617"/>
    <w:rsid w:val="00413DD6"/>
    <w:rsid w:val="0041418C"/>
    <w:rsid w:val="00414F95"/>
    <w:rsid w:val="00415141"/>
    <w:rsid w:val="0041566C"/>
    <w:rsid w:val="00416134"/>
    <w:rsid w:val="004164F6"/>
    <w:rsid w:val="00416BF4"/>
    <w:rsid w:val="004170A6"/>
    <w:rsid w:val="00417341"/>
    <w:rsid w:val="00420145"/>
    <w:rsid w:val="00420243"/>
    <w:rsid w:val="004206D1"/>
    <w:rsid w:val="00420813"/>
    <w:rsid w:val="00420929"/>
    <w:rsid w:val="00420A52"/>
    <w:rsid w:val="004212EC"/>
    <w:rsid w:val="00421569"/>
    <w:rsid w:val="004217B6"/>
    <w:rsid w:val="00421D8B"/>
    <w:rsid w:val="0042204E"/>
    <w:rsid w:val="00422130"/>
    <w:rsid w:val="004221BC"/>
    <w:rsid w:val="00424AB1"/>
    <w:rsid w:val="0042520F"/>
    <w:rsid w:val="00425DA0"/>
    <w:rsid w:val="00426927"/>
    <w:rsid w:val="00427310"/>
    <w:rsid w:val="0042772E"/>
    <w:rsid w:val="00427837"/>
    <w:rsid w:val="00427980"/>
    <w:rsid w:val="00427CFC"/>
    <w:rsid w:val="00430359"/>
    <w:rsid w:val="00430A9D"/>
    <w:rsid w:val="0043122D"/>
    <w:rsid w:val="004313A3"/>
    <w:rsid w:val="00432258"/>
    <w:rsid w:val="00432807"/>
    <w:rsid w:val="004333AD"/>
    <w:rsid w:val="00433402"/>
    <w:rsid w:val="004334A8"/>
    <w:rsid w:val="00433C4D"/>
    <w:rsid w:val="00433F31"/>
    <w:rsid w:val="00434E15"/>
    <w:rsid w:val="00435525"/>
    <w:rsid w:val="00435B2E"/>
    <w:rsid w:val="00435F4D"/>
    <w:rsid w:val="004365FD"/>
    <w:rsid w:val="004367F6"/>
    <w:rsid w:val="00436908"/>
    <w:rsid w:val="00436AF0"/>
    <w:rsid w:val="00436C1B"/>
    <w:rsid w:val="00436DFE"/>
    <w:rsid w:val="004375DC"/>
    <w:rsid w:val="0044047E"/>
    <w:rsid w:val="004405E4"/>
    <w:rsid w:val="00440A17"/>
    <w:rsid w:val="00441688"/>
    <w:rsid w:val="00441A95"/>
    <w:rsid w:val="00441FB6"/>
    <w:rsid w:val="004420FF"/>
    <w:rsid w:val="004430AD"/>
    <w:rsid w:val="004434A4"/>
    <w:rsid w:val="004436AC"/>
    <w:rsid w:val="004437B8"/>
    <w:rsid w:val="004442B4"/>
    <w:rsid w:val="0044454D"/>
    <w:rsid w:val="00445377"/>
    <w:rsid w:val="00445E11"/>
    <w:rsid w:val="00445EDC"/>
    <w:rsid w:val="00446E26"/>
    <w:rsid w:val="004519B7"/>
    <w:rsid w:val="004520EE"/>
    <w:rsid w:val="00452C31"/>
    <w:rsid w:val="0045336F"/>
    <w:rsid w:val="00453FCE"/>
    <w:rsid w:val="0045442F"/>
    <w:rsid w:val="004554AA"/>
    <w:rsid w:val="00455A3C"/>
    <w:rsid w:val="00456DAF"/>
    <w:rsid w:val="004572C2"/>
    <w:rsid w:val="0045730E"/>
    <w:rsid w:val="00457D4D"/>
    <w:rsid w:val="00460458"/>
    <w:rsid w:val="00461174"/>
    <w:rsid w:val="00461248"/>
    <w:rsid w:val="00461319"/>
    <w:rsid w:val="00461CD0"/>
    <w:rsid w:val="0046416E"/>
    <w:rsid w:val="00464428"/>
    <w:rsid w:val="00464DB7"/>
    <w:rsid w:val="00464F13"/>
    <w:rsid w:val="004658CC"/>
    <w:rsid w:val="00465DB7"/>
    <w:rsid w:val="00465E95"/>
    <w:rsid w:val="004663E9"/>
    <w:rsid w:val="00466E30"/>
    <w:rsid w:val="004672B5"/>
    <w:rsid w:val="0046765D"/>
    <w:rsid w:val="004677B4"/>
    <w:rsid w:val="00467D3A"/>
    <w:rsid w:val="00470716"/>
    <w:rsid w:val="00471294"/>
    <w:rsid w:val="00471528"/>
    <w:rsid w:val="00471756"/>
    <w:rsid w:val="00471815"/>
    <w:rsid w:val="00472215"/>
    <w:rsid w:val="00472E9A"/>
    <w:rsid w:val="00473BA0"/>
    <w:rsid w:val="00473D7A"/>
    <w:rsid w:val="0047536A"/>
    <w:rsid w:val="0047548B"/>
    <w:rsid w:val="004754C6"/>
    <w:rsid w:val="004757EA"/>
    <w:rsid w:val="00475ECD"/>
    <w:rsid w:val="00476538"/>
    <w:rsid w:val="0047667C"/>
    <w:rsid w:val="004766BA"/>
    <w:rsid w:val="004769D4"/>
    <w:rsid w:val="00476CEC"/>
    <w:rsid w:val="00477598"/>
    <w:rsid w:val="0048082B"/>
    <w:rsid w:val="00480B06"/>
    <w:rsid w:val="004814A5"/>
    <w:rsid w:val="00481AB8"/>
    <w:rsid w:val="00481FE0"/>
    <w:rsid w:val="004831DF"/>
    <w:rsid w:val="0048366B"/>
    <w:rsid w:val="00483F89"/>
    <w:rsid w:val="0048423C"/>
    <w:rsid w:val="004848F6"/>
    <w:rsid w:val="00484C48"/>
    <w:rsid w:val="00486318"/>
    <w:rsid w:val="004863C8"/>
    <w:rsid w:val="00486513"/>
    <w:rsid w:val="0048680F"/>
    <w:rsid w:val="00486E86"/>
    <w:rsid w:val="004871EF"/>
    <w:rsid w:val="00487303"/>
    <w:rsid w:val="00487557"/>
    <w:rsid w:val="00490500"/>
    <w:rsid w:val="00490CCC"/>
    <w:rsid w:val="00490CF2"/>
    <w:rsid w:val="004924A8"/>
    <w:rsid w:val="004925BF"/>
    <w:rsid w:val="00492C44"/>
    <w:rsid w:val="0049331A"/>
    <w:rsid w:val="0049380E"/>
    <w:rsid w:val="00493AE5"/>
    <w:rsid w:val="00493C6F"/>
    <w:rsid w:val="004941C1"/>
    <w:rsid w:val="0049448B"/>
    <w:rsid w:val="00494696"/>
    <w:rsid w:val="004950AE"/>
    <w:rsid w:val="00495BBC"/>
    <w:rsid w:val="0049613C"/>
    <w:rsid w:val="004970C2"/>
    <w:rsid w:val="004979B0"/>
    <w:rsid w:val="004A0386"/>
    <w:rsid w:val="004A1479"/>
    <w:rsid w:val="004A1CFB"/>
    <w:rsid w:val="004A1F26"/>
    <w:rsid w:val="004A1F6C"/>
    <w:rsid w:val="004A21F7"/>
    <w:rsid w:val="004A3EC0"/>
    <w:rsid w:val="004A41FE"/>
    <w:rsid w:val="004A4496"/>
    <w:rsid w:val="004A44A7"/>
    <w:rsid w:val="004A4B35"/>
    <w:rsid w:val="004A50FB"/>
    <w:rsid w:val="004A5752"/>
    <w:rsid w:val="004A5ABF"/>
    <w:rsid w:val="004A5BD8"/>
    <w:rsid w:val="004A6491"/>
    <w:rsid w:val="004A6612"/>
    <w:rsid w:val="004A690C"/>
    <w:rsid w:val="004A6B4F"/>
    <w:rsid w:val="004A769B"/>
    <w:rsid w:val="004B027C"/>
    <w:rsid w:val="004B09E1"/>
    <w:rsid w:val="004B0D0B"/>
    <w:rsid w:val="004B11D0"/>
    <w:rsid w:val="004B15D1"/>
    <w:rsid w:val="004B1637"/>
    <w:rsid w:val="004B202C"/>
    <w:rsid w:val="004B2532"/>
    <w:rsid w:val="004B386E"/>
    <w:rsid w:val="004B3975"/>
    <w:rsid w:val="004B3D6B"/>
    <w:rsid w:val="004B3EC5"/>
    <w:rsid w:val="004B4965"/>
    <w:rsid w:val="004B548E"/>
    <w:rsid w:val="004B6BF4"/>
    <w:rsid w:val="004B6C4C"/>
    <w:rsid w:val="004B71E6"/>
    <w:rsid w:val="004B731A"/>
    <w:rsid w:val="004B735F"/>
    <w:rsid w:val="004C0048"/>
    <w:rsid w:val="004C0229"/>
    <w:rsid w:val="004C0389"/>
    <w:rsid w:val="004C0551"/>
    <w:rsid w:val="004C0900"/>
    <w:rsid w:val="004C0BF8"/>
    <w:rsid w:val="004C0DBB"/>
    <w:rsid w:val="004C0F3C"/>
    <w:rsid w:val="004C132E"/>
    <w:rsid w:val="004C14FB"/>
    <w:rsid w:val="004C163C"/>
    <w:rsid w:val="004C182E"/>
    <w:rsid w:val="004C1AC0"/>
    <w:rsid w:val="004C1DEA"/>
    <w:rsid w:val="004C2FD0"/>
    <w:rsid w:val="004C3451"/>
    <w:rsid w:val="004C393F"/>
    <w:rsid w:val="004C43B2"/>
    <w:rsid w:val="004C4A5C"/>
    <w:rsid w:val="004C5085"/>
    <w:rsid w:val="004C5115"/>
    <w:rsid w:val="004C51C4"/>
    <w:rsid w:val="004C527D"/>
    <w:rsid w:val="004C5D81"/>
    <w:rsid w:val="004C5DC6"/>
    <w:rsid w:val="004C5FCF"/>
    <w:rsid w:val="004C6DC9"/>
    <w:rsid w:val="004C71F4"/>
    <w:rsid w:val="004C7357"/>
    <w:rsid w:val="004D0148"/>
    <w:rsid w:val="004D2492"/>
    <w:rsid w:val="004D2AC4"/>
    <w:rsid w:val="004D2F18"/>
    <w:rsid w:val="004D359B"/>
    <w:rsid w:val="004D43F6"/>
    <w:rsid w:val="004D5200"/>
    <w:rsid w:val="004D5727"/>
    <w:rsid w:val="004D5CAE"/>
    <w:rsid w:val="004D5F6E"/>
    <w:rsid w:val="004D7028"/>
    <w:rsid w:val="004D73DF"/>
    <w:rsid w:val="004E05DE"/>
    <w:rsid w:val="004E091F"/>
    <w:rsid w:val="004E0E5C"/>
    <w:rsid w:val="004E1191"/>
    <w:rsid w:val="004E129C"/>
    <w:rsid w:val="004E12C7"/>
    <w:rsid w:val="004E2993"/>
    <w:rsid w:val="004E2D9E"/>
    <w:rsid w:val="004E3B73"/>
    <w:rsid w:val="004E405F"/>
    <w:rsid w:val="004E4281"/>
    <w:rsid w:val="004E499B"/>
    <w:rsid w:val="004E4F03"/>
    <w:rsid w:val="004E539F"/>
    <w:rsid w:val="004E58B5"/>
    <w:rsid w:val="004E5EB8"/>
    <w:rsid w:val="004E60CF"/>
    <w:rsid w:val="004E67A2"/>
    <w:rsid w:val="004E71E3"/>
    <w:rsid w:val="004E729A"/>
    <w:rsid w:val="004E7946"/>
    <w:rsid w:val="004F08C5"/>
    <w:rsid w:val="004F1494"/>
    <w:rsid w:val="004F17DC"/>
    <w:rsid w:val="004F2971"/>
    <w:rsid w:val="004F2ADB"/>
    <w:rsid w:val="004F3FA0"/>
    <w:rsid w:val="004F40DC"/>
    <w:rsid w:val="004F4293"/>
    <w:rsid w:val="004F4395"/>
    <w:rsid w:val="004F46B1"/>
    <w:rsid w:val="004F49F0"/>
    <w:rsid w:val="004F54CE"/>
    <w:rsid w:val="004F6991"/>
    <w:rsid w:val="004F7E9E"/>
    <w:rsid w:val="005004C5"/>
    <w:rsid w:val="00500D44"/>
    <w:rsid w:val="00501504"/>
    <w:rsid w:val="0050170C"/>
    <w:rsid w:val="00501836"/>
    <w:rsid w:val="005032F7"/>
    <w:rsid w:val="0050391F"/>
    <w:rsid w:val="00503CB8"/>
    <w:rsid w:val="00503F3D"/>
    <w:rsid w:val="00504542"/>
    <w:rsid w:val="0050572A"/>
    <w:rsid w:val="00507393"/>
    <w:rsid w:val="00507514"/>
    <w:rsid w:val="00507744"/>
    <w:rsid w:val="00507B7C"/>
    <w:rsid w:val="00507D55"/>
    <w:rsid w:val="00510DE8"/>
    <w:rsid w:val="00511351"/>
    <w:rsid w:val="00511CCD"/>
    <w:rsid w:val="00511F7E"/>
    <w:rsid w:val="00512B67"/>
    <w:rsid w:val="00512E54"/>
    <w:rsid w:val="00513350"/>
    <w:rsid w:val="00513355"/>
    <w:rsid w:val="00513994"/>
    <w:rsid w:val="00513B2F"/>
    <w:rsid w:val="005140E0"/>
    <w:rsid w:val="00514C9C"/>
    <w:rsid w:val="00516D2A"/>
    <w:rsid w:val="00517600"/>
    <w:rsid w:val="005177B1"/>
    <w:rsid w:val="00517F04"/>
    <w:rsid w:val="00520020"/>
    <w:rsid w:val="005204B8"/>
    <w:rsid w:val="005206E4"/>
    <w:rsid w:val="005222EE"/>
    <w:rsid w:val="005228E7"/>
    <w:rsid w:val="005239AC"/>
    <w:rsid w:val="005240E2"/>
    <w:rsid w:val="00524FC6"/>
    <w:rsid w:val="00525BC1"/>
    <w:rsid w:val="005262A9"/>
    <w:rsid w:val="00526610"/>
    <w:rsid w:val="005266CD"/>
    <w:rsid w:val="00526917"/>
    <w:rsid w:val="00527596"/>
    <w:rsid w:val="005278C7"/>
    <w:rsid w:val="005279FC"/>
    <w:rsid w:val="00527AA0"/>
    <w:rsid w:val="00530C32"/>
    <w:rsid w:val="005311DB"/>
    <w:rsid w:val="00531423"/>
    <w:rsid w:val="00531477"/>
    <w:rsid w:val="00531CF1"/>
    <w:rsid w:val="0053214B"/>
    <w:rsid w:val="00532206"/>
    <w:rsid w:val="005327F7"/>
    <w:rsid w:val="00533F35"/>
    <w:rsid w:val="00533FD6"/>
    <w:rsid w:val="005345BA"/>
    <w:rsid w:val="00534EB5"/>
    <w:rsid w:val="005357FF"/>
    <w:rsid w:val="0053640B"/>
    <w:rsid w:val="00536817"/>
    <w:rsid w:val="00537564"/>
    <w:rsid w:val="005376A4"/>
    <w:rsid w:val="005379E7"/>
    <w:rsid w:val="00537C6D"/>
    <w:rsid w:val="00537D57"/>
    <w:rsid w:val="00537F91"/>
    <w:rsid w:val="00537FF8"/>
    <w:rsid w:val="00540365"/>
    <w:rsid w:val="00540C40"/>
    <w:rsid w:val="00540FE6"/>
    <w:rsid w:val="00541D18"/>
    <w:rsid w:val="00541FE1"/>
    <w:rsid w:val="0054219A"/>
    <w:rsid w:val="00543074"/>
    <w:rsid w:val="00544ADC"/>
    <w:rsid w:val="00544B8C"/>
    <w:rsid w:val="00544E45"/>
    <w:rsid w:val="00544E52"/>
    <w:rsid w:val="00544FAD"/>
    <w:rsid w:val="0054626B"/>
    <w:rsid w:val="00546438"/>
    <w:rsid w:val="00546DF2"/>
    <w:rsid w:val="00546F6E"/>
    <w:rsid w:val="00547224"/>
    <w:rsid w:val="005472C4"/>
    <w:rsid w:val="005476A0"/>
    <w:rsid w:val="00547EFD"/>
    <w:rsid w:val="0055066A"/>
    <w:rsid w:val="00550AFE"/>
    <w:rsid w:val="00550F5C"/>
    <w:rsid w:val="00551245"/>
    <w:rsid w:val="00551B3E"/>
    <w:rsid w:val="00551F81"/>
    <w:rsid w:val="00552A4B"/>
    <w:rsid w:val="00554B10"/>
    <w:rsid w:val="00554C53"/>
    <w:rsid w:val="00554F0A"/>
    <w:rsid w:val="00555094"/>
    <w:rsid w:val="005550B8"/>
    <w:rsid w:val="005555A7"/>
    <w:rsid w:val="00555748"/>
    <w:rsid w:val="0055644A"/>
    <w:rsid w:val="005564DF"/>
    <w:rsid w:val="00556A04"/>
    <w:rsid w:val="00557135"/>
    <w:rsid w:val="00557495"/>
    <w:rsid w:val="00557616"/>
    <w:rsid w:val="00557BF6"/>
    <w:rsid w:val="00557E21"/>
    <w:rsid w:val="00557EEE"/>
    <w:rsid w:val="00557F8D"/>
    <w:rsid w:val="0056000B"/>
    <w:rsid w:val="00560108"/>
    <w:rsid w:val="00560B58"/>
    <w:rsid w:val="00561265"/>
    <w:rsid w:val="005612D5"/>
    <w:rsid w:val="005621CB"/>
    <w:rsid w:val="00562BE5"/>
    <w:rsid w:val="005630D5"/>
    <w:rsid w:val="00563A1F"/>
    <w:rsid w:val="00563DF1"/>
    <w:rsid w:val="00564A5C"/>
    <w:rsid w:val="00564C3D"/>
    <w:rsid w:val="0056582F"/>
    <w:rsid w:val="00565F1E"/>
    <w:rsid w:val="005660A9"/>
    <w:rsid w:val="00566629"/>
    <w:rsid w:val="00567565"/>
    <w:rsid w:val="005704B5"/>
    <w:rsid w:val="00570C3E"/>
    <w:rsid w:val="00570EC9"/>
    <w:rsid w:val="005715BA"/>
    <w:rsid w:val="005725CA"/>
    <w:rsid w:val="0057277A"/>
    <w:rsid w:val="00572FD2"/>
    <w:rsid w:val="0057352D"/>
    <w:rsid w:val="0057431E"/>
    <w:rsid w:val="00574572"/>
    <w:rsid w:val="005746B3"/>
    <w:rsid w:val="005747B9"/>
    <w:rsid w:val="005749A0"/>
    <w:rsid w:val="005753DC"/>
    <w:rsid w:val="00575DCB"/>
    <w:rsid w:val="0057643C"/>
    <w:rsid w:val="0057682F"/>
    <w:rsid w:val="00576AAE"/>
    <w:rsid w:val="005800F7"/>
    <w:rsid w:val="005804A2"/>
    <w:rsid w:val="00580521"/>
    <w:rsid w:val="00580807"/>
    <w:rsid w:val="00580922"/>
    <w:rsid w:val="00581C8A"/>
    <w:rsid w:val="00581E87"/>
    <w:rsid w:val="00582DCD"/>
    <w:rsid w:val="00582F11"/>
    <w:rsid w:val="00582F81"/>
    <w:rsid w:val="0058310C"/>
    <w:rsid w:val="005832B9"/>
    <w:rsid w:val="00583433"/>
    <w:rsid w:val="00583EED"/>
    <w:rsid w:val="00584A88"/>
    <w:rsid w:val="00584FE1"/>
    <w:rsid w:val="00585159"/>
    <w:rsid w:val="005860B0"/>
    <w:rsid w:val="00586344"/>
    <w:rsid w:val="00587356"/>
    <w:rsid w:val="00587361"/>
    <w:rsid w:val="0058756E"/>
    <w:rsid w:val="0058785B"/>
    <w:rsid w:val="00590204"/>
    <w:rsid w:val="00591B31"/>
    <w:rsid w:val="00592D56"/>
    <w:rsid w:val="005930AA"/>
    <w:rsid w:val="005930FE"/>
    <w:rsid w:val="00593320"/>
    <w:rsid w:val="00594046"/>
    <w:rsid w:val="00594667"/>
    <w:rsid w:val="00594C4B"/>
    <w:rsid w:val="00594DE9"/>
    <w:rsid w:val="00596676"/>
    <w:rsid w:val="00596900"/>
    <w:rsid w:val="00597252"/>
    <w:rsid w:val="00597C51"/>
    <w:rsid w:val="00597FB6"/>
    <w:rsid w:val="005A0305"/>
    <w:rsid w:val="005A047B"/>
    <w:rsid w:val="005A0579"/>
    <w:rsid w:val="005A0C3A"/>
    <w:rsid w:val="005A0CD4"/>
    <w:rsid w:val="005A0DE5"/>
    <w:rsid w:val="005A0EB9"/>
    <w:rsid w:val="005A1A5B"/>
    <w:rsid w:val="005A1B79"/>
    <w:rsid w:val="005A1C87"/>
    <w:rsid w:val="005A1EDB"/>
    <w:rsid w:val="005A1FDB"/>
    <w:rsid w:val="005A24BD"/>
    <w:rsid w:val="005A24D9"/>
    <w:rsid w:val="005A294C"/>
    <w:rsid w:val="005A2B37"/>
    <w:rsid w:val="005A2C8D"/>
    <w:rsid w:val="005A2CD5"/>
    <w:rsid w:val="005A3160"/>
    <w:rsid w:val="005A3673"/>
    <w:rsid w:val="005A3981"/>
    <w:rsid w:val="005A40B8"/>
    <w:rsid w:val="005A48AA"/>
    <w:rsid w:val="005A4935"/>
    <w:rsid w:val="005A4A3F"/>
    <w:rsid w:val="005A50C7"/>
    <w:rsid w:val="005A557A"/>
    <w:rsid w:val="005A5A52"/>
    <w:rsid w:val="005A5C6A"/>
    <w:rsid w:val="005A5D4F"/>
    <w:rsid w:val="005A6ED2"/>
    <w:rsid w:val="005B0528"/>
    <w:rsid w:val="005B0A25"/>
    <w:rsid w:val="005B0C0A"/>
    <w:rsid w:val="005B0EA7"/>
    <w:rsid w:val="005B1647"/>
    <w:rsid w:val="005B1D65"/>
    <w:rsid w:val="005B3395"/>
    <w:rsid w:val="005B3564"/>
    <w:rsid w:val="005B3E8A"/>
    <w:rsid w:val="005B431B"/>
    <w:rsid w:val="005B455D"/>
    <w:rsid w:val="005B686C"/>
    <w:rsid w:val="005B6C4E"/>
    <w:rsid w:val="005B752C"/>
    <w:rsid w:val="005B783B"/>
    <w:rsid w:val="005B789C"/>
    <w:rsid w:val="005B793A"/>
    <w:rsid w:val="005C0727"/>
    <w:rsid w:val="005C074A"/>
    <w:rsid w:val="005C0B34"/>
    <w:rsid w:val="005C2D0E"/>
    <w:rsid w:val="005C4857"/>
    <w:rsid w:val="005C4DA8"/>
    <w:rsid w:val="005C6156"/>
    <w:rsid w:val="005C654B"/>
    <w:rsid w:val="005C6CAA"/>
    <w:rsid w:val="005C719C"/>
    <w:rsid w:val="005D0433"/>
    <w:rsid w:val="005D0559"/>
    <w:rsid w:val="005D1132"/>
    <w:rsid w:val="005D141C"/>
    <w:rsid w:val="005D1857"/>
    <w:rsid w:val="005D1DDE"/>
    <w:rsid w:val="005D30EA"/>
    <w:rsid w:val="005D3EAA"/>
    <w:rsid w:val="005D54A4"/>
    <w:rsid w:val="005D58B7"/>
    <w:rsid w:val="005D59A8"/>
    <w:rsid w:val="005D5C2E"/>
    <w:rsid w:val="005D5F34"/>
    <w:rsid w:val="005D6DE0"/>
    <w:rsid w:val="005D72C7"/>
    <w:rsid w:val="005E03D1"/>
    <w:rsid w:val="005E2B66"/>
    <w:rsid w:val="005E3355"/>
    <w:rsid w:val="005E3736"/>
    <w:rsid w:val="005E3EC9"/>
    <w:rsid w:val="005E429B"/>
    <w:rsid w:val="005E43C2"/>
    <w:rsid w:val="005E47A0"/>
    <w:rsid w:val="005E4C0D"/>
    <w:rsid w:val="005E5059"/>
    <w:rsid w:val="005E57CB"/>
    <w:rsid w:val="005E6F94"/>
    <w:rsid w:val="005E6FCD"/>
    <w:rsid w:val="005E761A"/>
    <w:rsid w:val="005E77F9"/>
    <w:rsid w:val="005E78DA"/>
    <w:rsid w:val="005E7A51"/>
    <w:rsid w:val="005E7E83"/>
    <w:rsid w:val="005E7EFA"/>
    <w:rsid w:val="005F0BE2"/>
    <w:rsid w:val="005F12EE"/>
    <w:rsid w:val="005F1335"/>
    <w:rsid w:val="005F15D9"/>
    <w:rsid w:val="005F1782"/>
    <w:rsid w:val="005F1B40"/>
    <w:rsid w:val="005F2348"/>
    <w:rsid w:val="005F2D16"/>
    <w:rsid w:val="005F34CC"/>
    <w:rsid w:val="005F3C74"/>
    <w:rsid w:val="005F3E3B"/>
    <w:rsid w:val="005F4019"/>
    <w:rsid w:val="005F434F"/>
    <w:rsid w:val="005F4AAF"/>
    <w:rsid w:val="005F5506"/>
    <w:rsid w:val="005F615B"/>
    <w:rsid w:val="005F66FA"/>
    <w:rsid w:val="005F7229"/>
    <w:rsid w:val="006002CC"/>
    <w:rsid w:val="00600AE0"/>
    <w:rsid w:val="006012F6"/>
    <w:rsid w:val="006014D8"/>
    <w:rsid w:val="006018CC"/>
    <w:rsid w:val="00601A02"/>
    <w:rsid w:val="00601E9E"/>
    <w:rsid w:val="00602B69"/>
    <w:rsid w:val="00603F80"/>
    <w:rsid w:val="00604D8A"/>
    <w:rsid w:val="006050B6"/>
    <w:rsid w:val="00605341"/>
    <w:rsid w:val="00605B87"/>
    <w:rsid w:val="00605BFC"/>
    <w:rsid w:val="00605C9D"/>
    <w:rsid w:val="006062F1"/>
    <w:rsid w:val="00606864"/>
    <w:rsid w:val="00606C8C"/>
    <w:rsid w:val="00606E36"/>
    <w:rsid w:val="0060745D"/>
    <w:rsid w:val="0060759D"/>
    <w:rsid w:val="006075FE"/>
    <w:rsid w:val="00610704"/>
    <w:rsid w:val="00610ED9"/>
    <w:rsid w:val="0061278D"/>
    <w:rsid w:val="006130B3"/>
    <w:rsid w:val="006130BB"/>
    <w:rsid w:val="00613164"/>
    <w:rsid w:val="00614572"/>
    <w:rsid w:val="00614FF7"/>
    <w:rsid w:val="0061558A"/>
    <w:rsid w:val="00615B1C"/>
    <w:rsid w:val="006200E8"/>
    <w:rsid w:val="0062063E"/>
    <w:rsid w:val="00620995"/>
    <w:rsid w:val="00621166"/>
    <w:rsid w:val="0062148B"/>
    <w:rsid w:val="0062197F"/>
    <w:rsid w:val="00621CCB"/>
    <w:rsid w:val="006221FE"/>
    <w:rsid w:val="006224D1"/>
    <w:rsid w:val="00622BF0"/>
    <w:rsid w:val="0062343C"/>
    <w:rsid w:val="00623458"/>
    <w:rsid w:val="00623912"/>
    <w:rsid w:val="0062485F"/>
    <w:rsid w:val="006248FF"/>
    <w:rsid w:val="00624C78"/>
    <w:rsid w:val="006251AD"/>
    <w:rsid w:val="00625A11"/>
    <w:rsid w:val="00626241"/>
    <w:rsid w:val="00626B31"/>
    <w:rsid w:val="00626C49"/>
    <w:rsid w:val="006279DF"/>
    <w:rsid w:val="006309E0"/>
    <w:rsid w:val="006312DE"/>
    <w:rsid w:val="00631508"/>
    <w:rsid w:val="00631BA1"/>
    <w:rsid w:val="0063236D"/>
    <w:rsid w:val="00632DBC"/>
    <w:rsid w:val="00632FC4"/>
    <w:rsid w:val="00633120"/>
    <w:rsid w:val="00633444"/>
    <w:rsid w:val="006340EF"/>
    <w:rsid w:val="00634D15"/>
    <w:rsid w:val="0063572F"/>
    <w:rsid w:val="00635C29"/>
    <w:rsid w:val="00636177"/>
    <w:rsid w:val="00636363"/>
    <w:rsid w:val="00637267"/>
    <w:rsid w:val="00637512"/>
    <w:rsid w:val="0064088A"/>
    <w:rsid w:val="0064113A"/>
    <w:rsid w:val="00641341"/>
    <w:rsid w:val="00641B3A"/>
    <w:rsid w:val="0064391E"/>
    <w:rsid w:val="00643ACE"/>
    <w:rsid w:val="00643D0F"/>
    <w:rsid w:val="006442DD"/>
    <w:rsid w:val="00644B31"/>
    <w:rsid w:val="00645926"/>
    <w:rsid w:val="00646008"/>
    <w:rsid w:val="006462E9"/>
    <w:rsid w:val="0064675B"/>
    <w:rsid w:val="00646CDF"/>
    <w:rsid w:val="0065002E"/>
    <w:rsid w:val="0065025B"/>
    <w:rsid w:val="006505B4"/>
    <w:rsid w:val="00651086"/>
    <w:rsid w:val="0065124C"/>
    <w:rsid w:val="006524D8"/>
    <w:rsid w:val="00652B60"/>
    <w:rsid w:val="00653C7A"/>
    <w:rsid w:val="00653D12"/>
    <w:rsid w:val="0065415C"/>
    <w:rsid w:val="00654559"/>
    <w:rsid w:val="0065487E"/>
    <w:rsid w:val="00655A77"/>
    <w:rsid w:val="006566DD"/>
    <w:rsid w:val="006569B5"/>
    <w:rsid w:val="0065735D"/>
    <w:rsid w:val="00657393"/>
    <w:rsid w:val="00657609"/>
    <w:rsid w:val="0065760A"/>
    <w:rsid w:val="00660306"/>
    <w:rsid w:val="006605FD"/>
    <w:rsid w:val="0066095C"/>
    <w:rsid w:val="00660C40"/>
    <w:rsid w:val="00660CA9"/>
    <w:rsid w:val="00660DC7"/>
    <w:rsid w:val="0066150C"/>
    <w:rsid w:val="00661F22"/>
    <w:rsid w:val="0066207F"/>
    <w:rsid w:val="006621BF"/>
    <w:rsid w:val="006628FC"/>
    <w:rsid w:val="00662FB1"/>
    <w:rsid w:val="00663612"/>
    <w:rsid w:val="006638BC"/>
    <w:rsid w:val="006638FB"/>
    <w:rsid w:val="006639FF"/>
    <w:rsid w:val="00663AC1"/>
    <w:rsid w:val="0066418C"/>
    <w:rsid w:val="00665C1A"/>
    <w:rsid w:val="006660DA"/>
    <w:rsid w:val="0066646F"/>
    <w:rsid w:val="00666688"/>
    <w:rsid w:val="00666A7D"/>
    <w:rsid w:val="006671BA"/>
    <w:rsid w:val="006703DA"/>
    <w:rsid w:val="00670D9B"/>
    <w:rsid w:val="0067122B"/>
    <w:rsid w:val="006724D4"/>
    <w:rsid w:val="006733F9"/>
    <w:rsid w:val="00673C99"/>
    <w:rsid w:val="006745E4"/>
    <w:rsid w:val="006747F8"/>
    <w:rsid w:val="00674917"/>
    <w:rsid w:val="00674A31"/>
    <w:rsid w:val="00674B29"/>
    <w:rsid w:val="00675AC7"/>
    <w:rsid w:val="0067649B"/>
    <w:rsid w:val="00676844"/>
    <w:rsid w:val="00677C38"/>
    <w:rsid w:val="00680263"/>
    <w:rsid w:val="0068066C"/>
    <w:rsid w:val="0068098C"/>
    <w:rsid w:val="0068165E"/>
    <w:rsid w:val="00681FC1"/>
    <w:rsid w:val="006835F4"/>
    <w:rsid w:val="00683E1E"/>
    <w:rsid w:val="00683E90"/>
    <w:rsid w:val="0068439B"/>
    <w:rsid w:val="00684799"/>
    <w:rsid w:val="00684877"/>
    <w:rsid w:val="00684CC0"/>
    <w:rsid w:val="00684D29"/>
    <w:rsid w:val="00684DCA"/>
    <w:rsid w:val="00684F22"/>
    <w:rsid w:val="00685541"/>
    <w:rsid w:val="0068559F"/>
    <w:rsid w:val="006863F0"/>
    <w:rsid w:val="006864C0"/>
    <w:rsid w:val="00686E9B"/>
    <w:rsid w:val="00687855"/>
    <w:rsid w:val="00687CBF"/>
    <w:rsid w:val="00690246"/>
    <w:rsid w:val="00690F81"/>
    <w:rsid w:val="0069147C"/>
    <w:rsid w:val="006918D9"/>
    <w:rsid w:val="00691952"/>
    <w:rsid w:val="00691F94"/>
    <w:rsid w:val="006920D0"/>
    <w:rsid w:val="0069297B"/>
    <w:rsid w:val="00693020"/>
    <w:rsid w:val="0069335B"/>
    <w:rsid w:val="006934F1"/>
    <w:rsid w:val="00693C3E"/>
    <w:rsid w:val="00693DD0"/>
    <w:rsid w:val="00694CB3"/>
    <w:rsid w:val="00695C05"/>
    <w:rsid w:val="00695EE8"/>
    <w:rsid w:val="0069643D"/>
    <w:rsid w:val="00696976"/>
    <w:rsid w:val="00696F6D"/>
    <w:rsid w:val="00697355"/>
    <w:rsid w:val="006973F4"/>
    <w:rsid w:val="0069765A"/>
    <w:rsid w:val="00697BA8"/>
    <w:rsid w:val="00697CCF"/>
    <w:rsid w:val="00697EDC"/>
    <w:rsid w:val="006A02E8"/>
    <w:rsid w:val="006A06AC"/>
    <w:rsid w:val="006A0F15"/>
    <w:rsid w:val="006A0FF3"/>
    <w:rsid w:val="006A17EE"/>
    <w:rsid w:val="006A1ED9"/>
    <w:rsid w:val="006A239C"/>
    <w:rsid w:val="006A23C2"/>
    <w:rsid w:val="006A2B9C"/>
    <w:rsid w:val="006A2D2C"/>
    <w:rsid w:val="006A4000"/>
    <w:rsid w:val="006A41B2"/>
    <w:rsid w:val="006A48F4"/>
    <w:rsid w:val="006A4935"/>
    <w:rsid w:val="006A4B87"/>
    <w:rsid w:val="006A4DE7"/>
    <w:rsid w:val="006A5950"/>
    <w:rsid w:val="006A5C02"/>
    <w:rsid w:val="006A5FCD"/>
    <w:rsid w:val="006A6137"/>
    <w:rsid w:val="006A6408"/>
    <w:rsid w:val="006A6663"/>
    <w:rsid w:val="006A6B3F"/>
    <w:rsid w:val="006A6E47"/>
    <w:rsid w:val="006A6FD7"/>
    <w:rsid w:val="006A70C8"/>
    <w:rsid w:val="006A7942"/>
    <w:rsid w:val="006A7A1C"/>
    <w:rsid w:val="006B0023"/>
    <w:rsid w:val="006B0042"/>
    <w:rsid w:val="006B01A2"/>
    <w:rsid w:val="006B17D9"/>
    <w:rsid w:val="006B19F7"/>
    <w:rsid w:val="006B2166"/>
    <w:rsid w:val="006B2400"/>
    <w:rsid w:val="006B2845"/>
    <w:rsid w:val="006B2B24"/>
    <w:rsid w:val="006B3380"/>
    <w:rsid w:val="006B33A4"/>
    <w:rsid w:val="006B3430"/>
    <w:rsid w:val="006B4575"/>
    <w:rsid w:val="006B4990"/>
    <w:rsid w:val="006B564B"/>
    <w:rsid w:val="006B65AB"/>
    <w:rsid w:val="006B7243"/>
    <w:rsid w:val="006C0A7E"/>
    <w:rsid w:val="006C1ACD"/>
    <w:rsid w:val="006C21EF"/>
    <w:rsid w:val="006C2635"/>
    <w:rsid w:val="006C36F4"/>
    <w:rsid w:val="006C460D"/>
    <w:rsid w:val="006C498A"/>
    <w:rsid w:val="006C4D12"/>
    <w:rsid w:val="006C4EED"/>
    <w:rsid w:val="006C555C"/>
    <w:rsid w:val="006C661E"/>
    <w:rsid w:val="006C7D18"/>
    <w:rsid w:val="006D0408"/>
    <w:rsid w:val="006D05E4"/>
    <w:rsid w:val="006D0856"/>
    <w:rsid w:val="006D0C49"/>
    <w:rsid w:val="006D0F1C"/>
    <w:rsid w:val="006D1777"/>
    <w:rsid w:val="006D1B4B"/>
    <w:rsid w:val="006D21BC"/>
    <w:rsid w:val="006D232F"/>
    <w:rsid w:val="006D2FDD"/>
    <w:rsid w:val="006D3166"/>
    <w:rsid w:val="006D3EA5"/>
    <w:rsid w:val="006D4DA2"/>
    <w:rsid w:val="006D55A2"/>
    <w:rsid w:val="006D55C8"/>
    <w:rsid w:val="006D5CFD"/>
    <w:rsid w:val="006D6302"/>
    <w:rsid w:val="006D7002"/>
    <w:rsid w:val="006D7123"/>
    <w:rsid w:val="006D791E"/>
    <w:rsid w:val="006E01AC"/>
    <w:rsid w:val="006E0342"/>
    <w:rsid w:val="006E0724"/>
    <w:rsid w:val="006E0ABF"/>
    <w:rsid w:val="006E0CC7"/>
    <w:rsid w:val="006E103A"/>
    <w:rsid w:val="006E1046"/>
    <w:rsid w:val="006E108B"/>
    <w:rsid w:val="006E1205"/>
    <w:rsid w:val="006E12B5"/>
    <w:rsid w:val="006E16DE"/>
    <w:rsid w:val="006E2081"/>
    <w:rsid w:val="006E24F3"/>
    <w:rsid w:val="006E2E0B"/>
    <w:rsid w:val="006E3773"/>
    <w:rsid w:val="006E3C38"/>
    <w:rsid w:val="006E4CBC"/>
    <w:rsid w:val="006E5499"/>
    <w:rsid w:val="006E66B1"/>
    <w:rsid w:val="006E6C3E"/>
    <w:rsid w:val="006E6F0F"/>
    <w:rsid w:val="006E70A5"/>
    <w:rsid w:val="006E7916"/>
    <w:rsid w:val="006E7E84"/>
    <w:rsid w:val="006E7FFE"/>
    <w:rsid w:val="006F0201"/>
    <w:rsid w:val="006F093E"/>
    <w:rsid w:val="006F0971"/>
    <w:rsid w:val="006F105F"/>
    <w:rsid w:val="006F15A3"/>
    <w:rsid w:val="006F2203"/>
    <w:rsid w:val="006F2A6D"/>
    <w:rsid w:val="006F2C70"/>
    <w:rsid w:val="006F2C9E"/>
    <w:rsid w:val="006F2E12"/>
    <w:rsid w:val="006F2E84"/>
    <w:rsid w:val="006F34EC"/>
    <w:rsid w:val="006F3796"/>
    <w:rsid w:val="006F42CA"/>
    <w:rsid w:val="006F4BEF"/>
    <w:rsid w:val="006F4FA6"/>
    <w:rsid w:val="006F5F39"/>
    <w:rsid w:val="006F6496"/>
    <w:rsid w:val="006F6AED"/>
    <w:rsid w:val="00700295"/>
    <w:rsid w:val="007004C8"/>
    <w:rsid w:val="00701077"/>
    <w:rsid w:val="007028B2"/>
    <w:rsid w:val="00702E5C"/>
    <w:rsid w:val="00703D2F"/>
    <w:rsid w:val="007048F7"/>
    <w:rsid w:val="00704E2C"/>
    <w:rsid w:val="00704E35"/>
    <w:rsid w:val="00705070"/>
    <w:rsid w:val="007050C5"/>
    <w:rsid w:val="007051E1"/>
    <w:rsid w:val="007069D4"/>
    <w:rsid w:val="00706E12"/>
    <w:rsid w:val="00707019"/>
    <w:rsid w:val="00710763"/>
    <w:rsid w:val="0071175C"/>
    <w:rsid w:val="0071179F"/>
    <w:rsid w:val="007117C3"/>
    <w:rsid w:val="00711A03"/>
    <w:rsid w:val="00712C48"/>
    <w:rsid w:val="007131D4"/>
    <w:rsid w:val="00714360"/>
    <w:rsid w:val="00714645"/>
    <w:rsid w:val="00714A6D"/>
    <w:rsid w:val="00715269"/>
    <w:rsid w:val="00715AA8"/>
    <w:rsid w:val="00716058"/>
    <w:rsid w:val="0071625D"/>
    <w:rsid w:val="00716AFF"/>
    <w:rsid w:val="00716D04"/>
    <w:rsid w:val="00717290"/>
    <w:rsid w:val="00717C8A"/>
    <w:rsid w:val="00720678"/>
    <w:rsid w:val="007208FD"/>
    <w:rsid w:val="00720AC0"/>
    <w:rsid w:val="00720E32"/>
    <w:rsid w:val="00720F31"/>
    <w:rsid w:val="007218EC"/>
    <w:rsid w:val="00722914"/>
    <w:rsid w:val="00722C7A"/>
    <w:rsid w:val="00723CF9"/>
    <w:rsid w:val="007248BE"/>
    <w:rsid w:val="00724C05"/>
    <w:rsid w:val="00724CEC"/>
    <w:rsid w:val="00724D0B"/>
    <w:rsid w:val="00724D30"/>
    <w:rsid w:val="0072586C"/>
    <w:rsid w:val="00725920"/>
    <w:rsid w:val="00725ACE"/>
    <w:rsid w:val="007265D8"/>
    <w:rsid w:val="007302C0"/>
    <w:rsid w:val="00730A39"/>
    <w:rsid w:val="00730BE3"/>
    <w:rsid w:val="007312EA"/>
    <w:rsid w:val="00731814"/>
    <w:rsid w:val="00732F8D"/>
    <w:rsid w:val="007340A5"/>
    <w:rsid w:val="00734655"/>
    <w:rsid w:val="00734BF5"/>
    <w:rsid w:val="00734E27"/>
    <w:rsid w:val="00734F29"/>
    <w:rsid w:val="007355DE"/>
    <w:rsid w:val="00735688"/>
    <w:rsid w:val="00735D3A"/>
    <w:rsid w:val="00735EFD"/>
    <w:rsid w:val="00737201"/>
    <w:rsid w:val="00737F1F"/>
    <w:rsid w:val="0074058C"/>
    <w:rsid w:val="00740A5D"/>
    <w:rsid w:val="00741451"/>
    <w:rsid w:val="00742A0B"/>
    <w:rsid w:val="00742B04"/>
    <w:rsid w:val="00743629"/>
    <w:rsid w:val="007443AD"/>
    <w:rsid w:val="007444E0"/>
    <w:rsid w:val="00744EAB"/>
    <w:rsid w:val="00745128"/>
    <w:rsid w:val="0074568E"/>
    <w:rsid w:val="00745984"/>
    <w:rsid w:val="00746311"/>
    <w:rsid w:val="00746A51"/>
    <w:rsid w:val="00746BE1"/>
    <w:rsid w:val="00746EBD"/>
    <w:rsid w:val="00746F1E"/>
    <w:rsid w:val="00746F6C"/>
    <w:rsid w:val="00747464"/>
    <w:rsid w:val="007501B3"/>
    <w:rsid w:val="007506C0"/>
    <w:rsid w:val="00750757"/>
    <w:rsid w:val="0075087C"/>
    <w:rsid w:val="00750A04"/>
    <w:rsid w:val="0075161A"/>
    <w:rsid w:val="00751C64"/>
    <w:rsid w:val="00751D50"/>
    <w:rsid w:val="00752B7D"/>
    <w:rsid w:val="00752C3F"/>
    <w:rsid w:val="00752E81"/>
    <w:rsid w:val="00752FAB"/>
    <w:rsid w:val="00752FC6"/>
    <w:rsid w:val="007531CD"/>
    <w:rsid w:val="007531D3"/>
    <w:rsid w:val="00753408"/>
    <w:rsid w:val="007534E7"/>
    <w:rsid w:val="00753768"/>
    <w:rsid w:val="007537D5"/>
    <w:rsid w:val="00753BA1"/>
    <w:rsid w:val="00753E30"/>
    <w:rsid w:val="007541A7"/>
    <w:rsid w:val="007543D6"/>
    <w:rsid w:val="007547FA"/>
    <w:rsid w:val="0075538F"/>
    <w:rsid w:val="00755403"/>
    <w:rsid w:val="007556B7"/>
    <w:rsid w:val="007557AB"/>
    <w:rsid w:val="00756358"/>
    <w:rsid w:val="00756C0A"/>
    <w:rsid w:val="00756C77"/>
    <w:rsid w:val="007573BD"/>
    <w:rsid w:val="00757A2E"/>
    <w:rsid w:val="00757E72"/>
    <w:rsid w:val="0076147F"/>
    <w:rsid w:val="007617FC"/>
    <w:rsid w:val="00761A5B"/>
    <w:rsid w:val="007620CA"/>
    <w:rsid w:val="0076220F"/>
    <w:rsid w:val="00763500"/>
    <w:rsid w:val="00763644"/>
    <w:rsid w:val="0076437D"/>
    <w:rsid w:val="00764D25"/>
    <w:rsid w:val="00765607"/>
    <w:rsid w:val="00765CC4"/>
    <w:rsid w:val="00765CDC"/>
    <w:rsid w:val="007662D7"/>
    <w:rsid w:val="00766D0B"/>
    <w:rsid w:val="00766F63"/>
    <w:rsid w:val="00767143"/>
    <w:rsid w:val="0076766A"/>
    <w:rsid w:val="00767808"/>
    <w:rsid w:val="0076788F"/>
    <w:rsid w:val="0077100D"/>
    <w:rsid w:val="0077102A"/>
    <w:rsid w:val="0077105F"/>
    <w:rsid w:val="00771358"/>
    <w:rsid w:val="00771859"/>
    <w:rsid w:val="007719EB"/>
    <w:rsid w:val="00771C1E"/>
    <w:rsid w:val="00772CC4"/>
    <w:rsid w:val="007733FA"/>
    <w:rsid w:val="007734BC"/>
    <w:rsid w:val="00774C8B"/>
    <w:rsid w:val="00774D97"/>
    <w:rsid w:val="00775477"/>
    <w:rsid w:val="007756A6"/>
    <w:rsid w:val="00775E36"/>
    <w:rsid w:val="00776404"/>
    <w:rsid w:val="0077672C"/>
    <w:rsid w:val="00776E9D"/>
    <w:rsid w:val="007773FB"/>
    <w:rsid w:val="007775F7"/>
    <w:rsid w:val="00780AB4"/>
    <w:rsid w:val="00781090"/>
    <w:rsid w:val="007823CF"/>
    <w:rsid w:val="007826F3"/>
    <w:rsid w:val="00782B2C"/>
    <w:rsid w:val="007830C5"/>
    <w:rsid w:val="007837F8"/>
    <w:rsid w:val="007840B4"/>
    <w:rsid w:val="00784DF6"/>
    <w:rsid w:val="00785012"/>
    <w:rsid w:val="007850CB"/>
    <w:rsid w:val="007853AF"/>
    <w:rsid w:val="00785C09"/>
    <w:rsid w:val="007865EC"/>
    <w:rsid w:val="00786ABB"/>
    <w:rsid w:val="007876C4"/>
    <w:rsid w:val="00787EAF"/>
    <w:rsid w:val="00790AAB"/>
    <w:rsid w:val="00790B4E"/>
    <w:rsid w:val="00790C8E"/>
    <w:rsid w:val="00790E92"/>
    <w:rsid w:val="00791330"/>
    <w:rsid w:val="00791BE0"/>
    <w:rsid w:val="007924A6"/>
    <w:rsid w:val="00792DC6"/>
    <w:rsid w:val="007932CB"/>
    <w:rsid w:val="0079367F"/>
    <w:rsid w:val="007938F2"/>
    <w:rsid w:val="007949C5"/>
    <w:rsid w:val="00795207"/>
    <w:rsid w:val="00795D99"/>
    <w:rsid w:val="00796182"/>
    <w:rsid w:val="007965F5"/>
    <w:rsid w:val="00796992"/>
    <w:rsid w:val="00796E20"/>
    <w:rsid w:val="007970BC"/>
    <w:rsid w:val="0079735E"/>
    <w:rsid w:val="0079790F"/>
    <w:rsid w:val="00797CF1"/>
    <w:rsid w:val="00797F34"/>
    <w:rsid w:val="007A001A"/>
    <w:rsid w:val="007A0040"/>
    <w:rsid w:val="007A048F"/>
    <w:rsid w:val="007A0A56"/>
    <w:rsid w:val="007A1646"/>
    <w:rsid w:val="007A1D9C"/>
    <w:rsid w:val="007A2582"/>
    <w:rsid w:val="007A2897"/>
    <w:rsid w:val="007A2C8E"/>
    <w:rsid w:val="007A32B6"/>
    <w:rsid w:val="007A3444"/>
    <w:rsid w:val="007A34C4"/>
    <w:rsid w:val="007A427A"/>
    <w:rsid w:val="007A42B7"/>
    <w:rsid w:val="007A6EFC"/>
    <w:rsid w:val="007A766D"/>
    <w:rsid w:val="007A7EA1"/>
    <w:rsid w:val="007B0A87"/>
    <w:rsid w:val="007B0F81"/>
    <w:rsid w:val="007B113C"/>
    <w:rsid w:val="007B16ED"/>
    <w:rsid w:val="007B1B98"/>
    <w:rsid w:val="007B24E3"/>
    <w:rsid w:val="007B2648"/>
    <w:rsid w:val="007B2E83"/>
    <w:rsid w:val="007B2F97"/>
    <w:rsid w:val="007B31CE"/>
    <w:rsid w:val="007B33D5"/>
    <w:rsid w:val="007B56F0"/>
    <w:rsid w:val="007B5A70"/>
    <w:rsid w:val="007B5DBC"/>
    <w:rsid w:val="007B5E31"/>
    <w:rsid w:val="007B6068"/>
    <w:rsid w:val="007B6158"/>
    <w:rsid w:val="007B6247"/>
    <w:rsid w:val="007B64CC"/>
    <w:rsid w:val="007B7194"/>
    <w:rsid w:val="007B7252"/>
    <w:rsid w:val="007B76D6"/>
    <w:rsid w:val="007B7D66"/>
    <w:rsid w:val="007C0174"/>
    <w:rsid w:val="007C1056"/>
    <w:rsid w:val="007C1FCB"/>
    <w:rsid w:val="007C2225"/>
    <w:rsid w:val="007C2BCB"/>
    <w:rsid w:val="007C2E72"/>
    <w:rsid w:val="007C3046"/>
    <w:rsid w:val="007C3389"/>
    <w:rsid w:val="007C3692"/>
    <w:rsid w:val="007C3EF7"/>
    <w:rsid w:val="007C4744"/>
    <w:rsid w:val="007C502D"/>
    <w:rsid w:val="007C5701"/>
    <w:rsid w:val="007C5C7A"/>
    <w:rsid w:val="007C6426"/>
    <w:rsid w:val="007C646A"/>
    <w:rsid w:val="007C71D7"/>
    <w:rsid w:val="007C7329"/>
    <w:rsid w:val="007C7670"/>
    <w:rsid w:val="007C7765"/>
    <w:rsid w:val="007C7C66"/>
    <w:rsid w:val="007C7F46"/>
    <w:rsid w:val="007C7F9D"/>
    <w:rsid w:val="007D10B5"/>
    <w:rsid w:val="007D2B6E"/>
    <w:rsid w:val="007D323D"/>
    <w:rsid w:val="007D38C1"/>
    <w:rsid w:val="007D3F0E"/>
    <w:rsid w:val="007D4392"/>
    <w:rsid w:val="007D4C06"/>
    <w:rsid w:val="007D5930"/>
    <w:rsid w:val="007D59DF"/>
    <w:rsid w:val="007D603C"/>
    <w:rsid w:val="007D6CCB"/>
    <w:rsid w:val="007D7CCB"/>
    <w:rsid w:val="007E1103"/>
    <w:rsid w:val="007E1923"/>
    <w:rsid w:val="007E19E6"/>
    <w:rsid w:val="007E1C3D"/>
    <w:rsid w:val="007E20B0"/>
    <w:rsid w:val="007E25F6"/>
    <w:rsid w:val="007E3175"/>
    <w:rsid w:val="007E3464"/>
    <w:rsid w:val="007E3622"/>
    <w:rsid w:val="007E3C07"/>
    <w:rsid w:val="007E4021"/>
    <w:rsid w:val="007E46EE"/>
    <w:rsid w:val="007E4FE7"/>
    <w:rsid w:val="007E5297"/>
    <w:rsid w:val="007E5416"/>
    <w:rsid w:val="007E567D"/>
    <w:rsid w:val="007E61C9"/>
    <w:rsid w:val="007E66B3"/>
    <w:rsid w:val="007E7B28"/>
    <w:rsid w:val="007E7C59"/>
    <w:rsid w:val="007F00F1"/>
    <w:rsid w:val="007F01C8"/>
    <w:rsid w:val="007F02C5"/>
    <w:rsid w:val="007F0F00"/>
    <w:rsid w:val="007F1D63"/>
    <w:rsid w:val="007F2387"/>
    <w:rsid w:val="007F3403"/>
    <w:rsid w:val="007F350D"/>
    <w:rsid w:val="007F47F1"/>
    <w:rsid w:val="007F48D4"/>
    <w:rsid w:val="007F5184"/>
    <w:rsid w:val="007F51B5"/>
    <w:rsid w:val="007F53A8"/>
    <w:rsid w:val="007F5927"/>
    <w:rsid w:val="007F6A63"/>
    <w:rsid w:val="007F6AD2"/>
    <w:rsid w:val="007F6C4C"/>
    <w:rsid w:val="007F725D"/>
    <w:rsid w:val="008001E3"/>
    <w:rsid w:val="00800A0A"/>
    <w:rsid w:val="00800E71"/>
    <w:rsid w:val="00801427"/>
    <w:rsid w:val="0080256E"/>
    <w:rsid w:val="008040D0"/>
    <w:rsid w:val="0080411A"/>
    <w:rsid w:val="0080527B"/>
    <w:rsid w:val="0080536A"/>
    <w:rsid w:val="00805524"/>
    <w:rsid w:val="008058EE"/>
    <w:rsid w:val="00805A14"/>
    <w:rsid w:val="00805F4E"/>
    <w:rsid w:val="0080627E"/>
    <w:rsid w:val="008062C3"/>
    <w:rsid w:val="00806C63"/>
    <w:rsid w:val="008072D1"/>
    <w:rsid w:val="00810256"/>
    <w:rsid w:val="0081069C"/>
    <w:rsid w:val="00810812"/>
    <w:rsid w:val="00811018"/>
    <w:rsid w:val="008115E9"/>
    <w:rsid w:val="00811647"/>
    <w:rsid w:val="00811BF9"/>
    <w:rsid w:val="00811DC3"/>
    <w:rsid w:val="00812A65"/>
    <w:rsid w:val="0081313D"/>
    <w:rsid w:val="0081381E"/>
    <w:rsid w:val="0081479A"/>
    <w:rsid w:val="00814EB1"/>
    <w:rsid w:val="00815677"/>
    <w:rsid w:val="008156C9"/>
    <w:rsid w:val="00815AA1"/>
    <w:rsid w:val="00815CA9"/>
    <w:rsid w:val="00815D22"/>
    <w:rsid w:val="0081622F"/>
    <w:rsid w:val="00816E03"/>
    <w:rsid w:val="00817057"/>
    <w:rsid w:val="00820BAC"/>
    <w:rsid w:val="00820CCD"/>
    <w:rsid w:val="0082198A"/>
    <w:rsid w:val="00821EC6"/>
    <w:rsid w:val="00822872"/>
    <w:rsid w:val="00822ED6"/>
    <w:rsid w:val="008240CE"/>
    <w:rsid w:val="008248B0"/>
    <w:rsid w:val="0082490E"/>
    <w:rsid w:val="00824C5F"/>
    <w:rsid w:val="00824DA0"/>
    <w:rsid w:val="008251CE"/>
    <w:rsid w:val="00825465"/>
    <w:rsid w:val="0082549A"/>
    <w:rsid w:val="00825B2C"/>
    <w:rsid w:val="0082647B"/>
    <w:rsid w:val="008270D8"/>
    <w:rsid w:val="00827A74"/>
    <w:rsid w:val="0083022A"/>
    <w:rsid w:val="00830B94"/>
    <w:rsid w:val="00830FBA"/>
    <w:rsid w:val="00831B71"/>
    <w:rsid w:val="00832DFE"/>
    <w:rsid w:val="00833020"/>
    <w:rsid w:val="00833266"/>
    <w:rsid w:val="00833B87"/>
    <w:rsid w:val="0083406D"/>
    <w:rsid w:val="0083451B"/>
    <w:rsid w:val="00834F2F"/>
    <w:rsid w:val="00837606"/>
    <w:rsid w:val="0083788E"/>
    <w:rsid w:val="008406F4"/>
    <w:rsid w:val="00840787"/>
    <w:rsid w:val="00841063"/>
    <w:rsid w:val="00841066"/>
    <w:rsid w:val="008410D8"/>
    <w:rsid w:val="008422F1"/>
    <w:rsid w:val="00842688"/>
    <w:rsid w:val="00842D43"/>
    <w:rsid w:val="00842DA3"/>
    <w:rsid w:val="00842FE9"/>
    <w:rsid w:val="00843364"/>
    <w:rsid w:val="00843BA3"/>
    <w:rsid w:val="00843EA1"/>
    <w:rsid w:val="008445B8"/>
    <w:rsid w:val="00844971"/>
    <w:rsid w:val="008449F5"/>
    <w:rsid w:val="008453E0"/>
    <w:rsid w:val="00845CAA"/>
    <w:rsid w:val="00845EE3"/>
    <w:rsid w:val="00846CB9"/>
    <w:rsid w:val="0084747D"/>
    <w:rsid w:val="0085010B"/>
    <w:rsid w:val="008507E0"/>
    <w:rsid w:val="00850A0C"/>
    <w:rsid w:val="00851118"/>
    <w:rsid w:val="00851379"/>
    <w:rsid w:val="00851A8D"/>
    <w:rsid w:val="00851BFD"/>
    <w:rsid w:val="0085278F"/>
    <w:rsid w:val="00853B53"/>
    <w:rsid w:val="008545CC"/>
    <w:rsid w:val="00854D47"/>
    <w:rsid w:val="00855604"/>
    <w:rsid w:val="0085570D"/>
    <w:rsid w:val="00855B07"/>
    <w:rsid w:val="00856E8E"/>
    <w:rsid w:val="0085702C"/>
    <w:rsid w:val="00857929"/>
    <w:rsid w:val="008601D1"/>
    <w:rsid w:val="00860246"/>
    <w:rsid w:val="00861196"/>
    <w:rsid w:val="00861CFF"/>
    <w:rsid w:val="00862CEE"/>
    <w:rsid w:val="00862F54"/>
    <w:rsid w:val="00863E7E"/>
    <w:rsid w:val="008640BF"/>
    <w:rsid w:val="0086461A"/>
    <w:rsid w:val="008649AB"/>
    <w:rsid w:val="00864E3F"/>
    <w:rsid w:val="008654CC"/>
    <w:rsid w:val="0086608E"/>
    <w:rsid w:val="00866AA7"/>
    <w:rsid w:val="00867229"/>
    <w:rsid w:val="00867577"/>
    <w:rsid w:val="00867D82"/>
    <w:rsid w:val="00867E79"/>
    <w:rsid w:val="00867F09"/>
    <w:rsid w:val="00870C4D"/>
    <w:rsid w:val="00870EA1"/>
    <w:rsid w:val="00871306"/>
    <w:rsid w:val="00871729"/>
    <w:rsid w:val="00871DE7"/>
    <w:rsid w:val="008725CB"/>
    <w:rsid w:val="00872E51"/>
    <w:rsid w:val="00872FF3"/>
    <w:rsid w:val="00874CE1"/>
    <w:rsid w:val="00874EA3"/>
    <w:rsid w:val="00876037"/>
    <w:rsid w:val="008760A2"/>
    <w:rsid w:val="008762F4"/>
    <w:rsid w:val="00877533"/>
    <w:rsid w:val="0087766A"/>
    <w:rsid w:val="008777AE"/>
    <w:rsid w:val="008778D1"/>
    <w:rsid w:val="00877CF5"/>
    <w:rsid w:val="008805C4"/>
    <w:rsid w:val="0088088F"/>
    <w:rsid w:val="0088233F"/>
    <w:rsid w:val="00882DB8"/>
    <w:rsid w:val="008833CD"/>
    <w:rsid w:val="00883D6D"/>
    <w:rsid w:val="00883E03"/>
    <w:rsid w:val="00883FA0"/>
    <w:rsid w:val="00884668"/>
    <w:rsid w:val="0088508A"/>
    <w:rsid w:val="0088585E"/>
    <w:rsid w:val="00885C76"/>
    <w:rsid w:val="00885DD7"/>
    <w:rsid w:val="00885FD7"/>
    <w:rsid w:val="00887717"/>
    <w:rsid w:val="008908F5"/>
    <w:rsid w:val="00891A16"/>
    <w:rsid w:val="008927B8"/>
    <w:rsid w:val="00892D1D"/>
    <w:rsid w:val="00892FFB"/>
    <w:rsid w:val="00893D9D"/>
    <w:rsid w:val="00893E32"/>
    <w:rsid w:val="00894A1B"/>
    <w:rsid w:val="008955FB"/>
    <w:rsid w:val="00895872"/>
    <w:rsid w:val="008966BA"/>
    <w:rsid w:val="00897730"/>
    <w:rsid w:val="008977DD"/>
    <w:rsid w:val="00897AE2"/>
    <w:rsid w:val="00897B0B"/>
    <w:rsid w:val="00897B16"/>
    <w:rsid w:val="008A00C9"/>
    <w:rsid w:val="008A09FC"/>
    <w:rsid w:val="008A0A6D"/>
    <w:rsid w:val="008A0F38"/>
    <w:rsid w:val="008A1126"/>
    <w:rsid w:val="008A1788"/>
    <w:rsid w:val="008A1D91"/>
    <w:rsid w:val="008A2622"/>
    <w:rsid w:val="008A2788"/>
    <w:rsid w:val="008A2CAA"/>
    <w:rsid w:val="008A2F45"/>
    <w:rsid w:val="008A314D"/>
    <w:rsid w:val="008A3B9E"/>
    <w:rsid w:val="008A3CE0"/>
    <w:rsid w:val="008A42A5"/>
    <w:rsid w:val="008A4A5F"/>
    <w:rsid w:val="008A563D"/>
    <w:rsid w:val="008A5C09"/>
    <w:rsid w:val="008A5E9F"/>
    <w:rsid w:val="008A5F07"/>
    <w:rsid w:val="008A5FBA"/>
    <w:rsid w:val="008A629B"/>
    <w:rsid w:val="008A6ABB"/>
    <w:rsid w:val="008A7CE8"/>
    <w:rsid w:val="008B0E32"/>
    <w:rsid w:val="008B18F6"/>
    <w:rsid w:val="008B25A4"/>
    <w:rsid w:val="008B27DE"/>
    <w:rsid w:val="008B2E72"/>
    <w:rsid w:val="008B2F4B"/>
    <w:rsid w:val="008B3C4B"/>
    <w:rsid w:val="008B44FC"/>
    <w:rsid w:val="008B47D9"/>
    <w:rsid w:val="008B5322"/>
    <w:rsid w:val="008B6D5F"/>
    <w:rsid w:val="008B6DAB"/>
    <w:rsid w:val="008B6DD0"/>
    <w:rsid w:val="008B73B8"/>
    <w:rsid w:val="008B7DF8"/>
    <w:rsid w:val="008C076A"/>
    <w:rsid w:val="008C0FBD"/>
    <w:rsid w:val="008C1861"/>
    <w:rsid w:val="008C1A73"/>
    <w:rsid w:val="008C29C3"/>
    <w:rsid w:val="008C2D9F"/>
    <w:rsid w:val="008C397B"/>
    <w:rsid w:val="008C41EE"/>
    <w:rsid w:val="008C4645"/>
    <w:rsid w:val="008C47DB"/>
    <w:rsid w:val="008C5108"/>
    <w:rsid w:val="008C5915"/>
    <w:rsid w:val="008C5A69"/>
    <w:rsid w:val="008C7112"/>
    <w:rsid w:val="008C7B67"/>
    <w:rsid w:val="008C7E82"/>
    <w:rsid w:val="008D101B"/>
    <w:rsid w:val="008D1558"/>
    <w:rsid w:val="008D1604"/>
    <w:rsid w:val="008D1CD8"/>
    <w:rsid w:val="008D1EBA"/>
    <w:rsid w:val="008D25B8"/>
    <w:rsid w:val="008D390B"/>
    <w:rsid w:val="008D3E42"/>
    <w:rsid w:val="008D562A"/>
    <w:rsid w:val="008D6485"/>
    <w:rsid w:val="008D64F9"/>
    <w:rsid w:val="008D77F2"/>
    <w:rsid w:val="008D7B94"/>
    <w:rsid w:val="008E0087"/>
    <w:rsid w:val="008E083C"/>
    <w:rsid w:val="008E1684"/>
    <w:rsid w:val="008E2314"/>
    <w:rsid w:val="008E30DC"/>
    <w:rsid w:val="008E3222"/>
    <w:rsid w:val="008E3B58"/>
    <w:rsid w:val="008E3D00"/>
    <w:rsid w:val="008E4149"/>
    <w:rsid w:val="008E41BB"/>
    <w:rsid w:val="008E44DE"/>
    <w:rsid w:val="008E466E"/>
    <w:rsid w:val="008E4CC2"/>
    <w:rsid w:val="008E4D2B"/>
    <w:rsid w:val="008E4D3D"/>
    <w:rsid w:val="008E53DB"/>
    <w:rsid w:val="008E60A0"/>
    <w:rsid w:val="008E6EEA"/>
    <w:rsid w:val="008F0732"/>
    <w:rsid w:val="008F1D9E"/>
    <w:rsid w:val="008F2209"/>
    <w:rsid w:val="008F2B3C"/>
    <w:rsid w:val="008F2F15"/>
    <w:rsid w:val="008F347C"/>
    <w:rsid w:val="008F398E"/>
    <w:rsid w:val="008F4A0E"/>
    <w:rsid w:val="008F4C5A"/>
    <w:rsid w:val="008F547E"/>
    <w:rsid w:val="008F5FD0"/>
    <w:rsid w:val="008F6098"/>
    <w:rsid w:val="008F6147"/>
    <w:rsid w:val="008F6B38"/>
    <w:rsid w:val="008F705D"/>
    <w:rsid w:val="008F7087"/>
    <w:rsid w:val="009003F6"/>
    <w:rsid w:val="00900435"/>
    <w:rsid w:val="0090145F"/>
    <w:rsid w:val="00901715"/>
    <w:rsid w:val="009017A1"/>
    <w:rsid w:val="00901D12"/>
    <w:rsid w:val="00901EF3"/>
    <w:rsid w:val="00902AC2"/>
    <w:rsid w:val="0090344B"/>
    <w:rsid w:val="009037DC"/>
    <w:rsid w:val="00903C9C"/>
    <w:rsid w:val="00903D95"/>
    <w:rsid w:val="00904E13"/>
    <w:rsid w:val="00905A6E"/>
    <w:rsid w:val="00905BD4"/>
    <w:rsid w:val="009067CE"/>
    <w:rsid w:val="009071DF"/>
    <w:rsid w:val="009075EF"/>
    <w:rsid w:val="00907C50"/>
    <w:rsid w:val="00910702"/>
    <w:rsid w:val="00911537"/>
    <w:rsid w:val="00911610"/>
    <w:rsid w:val="00911709"/>
    <w:rsid w:val="00911F18"/>
    <w:rsid w:val="00912581"/>
    <w:rsid w:val="0091296F"/>
    <w:rsid w:val="00912B1D"/>
    <w:rsid w:val="00912DB0"/>
    <w:rsid w:val="00913665"/>
    <w:rsid w:val="0091408E"/>
    <w:rsid w:val="00914A0A"/>
    <w:rsid w:val="00914CD0"/>
    <w:rsid w:val="009166C7"/>
    <w:rsid w:val="00920658"/>
    <w:rsid w:val="009216A2"/>
    <w:rsid w:val="009216E8"/>
    <w:rsid w:val="00922397"/>
    <w:rsid w:val="00923417"/>
    <w:rsid w:val="00923599"/>
    <w:rsid w:val="00923929"/>
    <w:rsid w:val="009240FA"/>
    <w:rsid w:val="009249BA"/>
    <w:rsid w:val="0092519E"/>
    <w:rsid w:val="009256DE"/>
    <w:rsid w:val="00925847"/>
    <w:rsid w:val="0092602D"/>
    <w:rsid w:val="00926379"/>
    <w:rsid w:val="00930BEB"/>
    <w:rsid w:val="00931100"/>
    <w:rsid w:val="009312AD"/>
    <w:rsid w:val="0093136F"/>
    <w:rsid w:val="009318F1"/>
    <w:rsid w:val="00931900"/>
    <w:rsid w:val="00933B1E"/>
    <w:rsid w:val="0093461D"/>
    <w:rsid w:val="00934823"/>
    <w:rsid w:val="00934C1A"/>
    <w:rsid w:val="00934F9C"/>
    <w:rsid w:val="009367CC"/>
    <w:rsid w:val="0093735D"/>
    <w:rsid w:val="00937876"/>
    <w:rsid w:val="00937A5D"/>
    <w:rsid w:val="009400D4"/>
    <w:rsid w:val="00940DF2"/>
    <w:rsid w:val="00941010"/>
    <w:rsid w:val="00941B48"/>
    <w:rsid w:val="0094202E"/>
    <w:rsid w:val="00942DC9"/>
    <w:rsid w:val="00942F01"/>
    <w:rsid w:val="00942FF2"/>
    <w:rsid w:val="009444A7"/>
    <w:rsid w:val="00944763"/>
    <w:rsid w:val="009449F5"/>
    <w:rsid w:val="00945382"/>
    <w:rsid w:val="00945911"/>
    <w:rsid w:val="0094614D"/>
    <w:rsid w:val="009462B4"/>
    <w:rsid w:val="00946C20"/>
    <w:rsid w:val="00947913"/>
    <w:rsid w:val="00947DB6"/>
    <w:rsid w:val="0095111B"/>
    <w:rsid w:val="00951B9D"/>
    <w:rsid w:val="00951F2D"/>
    <w:rsid w:val="009520AB"/>
    <w:rsid w:val="009520F1"/>
    <w:rsid w:val="0095225B"/>
    <w:rsid w:val="00952371"/>
    <w:rsid w:val="00952A5A"/>
    <w:rsid w:val="009538AB"/>
    <w:rsid w:val="00953F35"/>
    <w:rsid w:val="00954121"/>
    <w:rsid w:val="00954694"/>
    <w:rsid w:val="009546F6"/>
    <w:rsid w:val="0095569D"/>
    <w:rsid w:val="00955A16"/>
    <w:rsid w:val="0095610E"/>
    <w:rsid w:val="0095717C"/>
    <w:rsid w:val="0096017D"/>
    <w:rsid w:val="00960224"/>
    <w:rsid w:val="00960D6B"/>
    <w:rsid w:val="00960DA2"/>
    <w:rsid w:val="00960F38"/>
    <w:rsid w:val="0096137C"/>
    <w:rsid w:val="009629A6"/>
    <w:rsid w:val="00962D26"/>
    <w:rsid w:val="00963463"/>
    <w:rsid w:val="0096369B"/>
    <w:rsid w:val="009641EC"/>
    <w:rsid w:val="0096460A"/>
    <w:rsid w:val="00965045"/>
    <w:rsid w:val="009657E7"/>
    <w:rsid w:val="00965D17"/>
    <w:rsid w:val="009661B1"/>
    <w:rsid w:val="00966A44"/>
    <w:rsid w:val="00966B21"/>
    <w:rsid w:val="00967F00"/>
    <w:rsid w:val="0097037C"/>
    <w:rsid w:val="00970767"/>
    <w:rsid w:val="009715D8"/>
    <w:rsid w:val="00971824"/>
    <w:rsid w:val="00971867"/>
    <w:rsid w:val="00971B21"/>
    <w:rsid w:val="00971CF6"/>
    <w:rsid w:val="009720B9"/>
    <w:rsid w:val="00972194"/>
    <w:rsid w:val="009721AB"/>
    <w:rsid w:val="009725FD"/>
    <w:rsid w:val="009731E4"/>
    <w:rsid w:val="00973946"/>
    <w:rsid w:val="009742E4"/>
    <w:rsid w:val="00974695"/>
    <w:rsid w:val="00975B56"/>
    <w:rsid w:val="00975E0D"/>
    <w:rsid w:val="00975F6D"/>
    <w:rsid w:val="0097617C"/>
    <w:rsid w:val="009767B7"/>
    <w:rsid w:val="0097744A"/>
    <w:rsid w:val="00977A43"/>
    <w:rsid w:val="00977ABA"/>
    <w:rsid w:val="00977F0F"/>
    <w:rsid w:val="00980166"/>
    <w:rsid w:val="00981D9E"/>
    <w:rsid w:val="00981F17"/>
    <w:rsid w:val="009823AE"/>
    <w:rsid w:val="0098397E"/>
    <w:rsid w:val="00984359"/>
    <w:rsid w:val="00984C51"/>
    <w:rsid w:val="00985561"/>
    <w:rsid w:val="00985668"/>
    <w:rsid w:val="00985BE3"/>
    <w:rsid w:val="00985D70"/>
    <w:rsid w:val="009865E8"/>
    <w:rsid w:val="009866EB"/>
    <w:rsid w:val="00986837"/>
    <w:rsid w:val="00986F97"/>
    <w:rsid w:val="00990B92"/>
    <w:rsid w:val="00990FAA"/>
    <w:rsid w:val="00991C97"/>
    <w:rsid w:val="00992325"/>
    <w:rsid w:val="00992AAE"/>
    <w:rsid w:val="00992F97"/>
    <w:rsid w:val="00993EDA"/>
    <w:rsid w:val="00993EFD"/>
    <w:rsid w:val="009941BC"/>
    <w:rsid w:val="00994919"/>
    <w:rsid w:val="009949DA"/>
    <w:rsid w:val="00994CBD"/>
    <w:rsid w:val="00994CC2"/>
    <w:rsid w:val="00994DE6"/>
    <w:rsid w:val="00994E3B"/>
    <w:rsid w:val="00994EEE"/>
    <w:rsid w:val="00994FA8"/>
    <w:rsid w:val="009952A6"/>
    <w:rsid w:val="00995C58"/>
    <w:rsid w:val="00995DA1"/>
    <w:rsid w:val="00995E3A"/>
    <w:rsid w:val="00996786"/>
    <w:rsid w:val="00996837"/>
    <w:rsid w:val="009969FB"/>
    <w:rsid w:val="00996B75"/>
    <w:rsid w:val="009978CB"/>
    <w:rsid w:val="009A01C4"/>
    <w:rsid w:val="009A0A53"/>
    <w:rsid w:val="009A0B99"/>
    <w:rsid w:val="009A0F27"/>
    <w:rsid w:val="009A147E"/>
    <w:rsid w:val="009A1A80"/>
    <w:rsid w:val="009A230E"/>
    <w:rsid w:val="009A2641"/>
    <w:rsid w:val="009A2833"/>
    <w:rsid w:val="009A350F"/>
    <w:rsid w:val="009A39FD"/>
    <w:rsid w:val="009A3A86"/>
    <w:rsid w:val="009A3B06"/>
    <w:rsid w:val="009A3C98"/>
    <w:rsid w:val="009A3ECC"/>
    <w:rsid w:val="009A48B2"/>
    <w:rsid w:val="009A5CE6"/>
    <w:rsid w:val="009A5F0B"/>
    <w:rsid w:val="009A64E8"/>
    <w:rsid w:val="009A68C6"/>
    <w:rsid w:val="009A697A"/>
    <w:rsid w:val="009A7501"/>
    <w:rsid w:val="009A7955"/>
    <w:rsid w:val="009A7980"/>
    <w:rsid w:val="009B0045"/>
    <w:rsid w:val="009B1D94"/>
    <w:rsid w:val="009B51B8"/>
    <w:rsid w:val="009B5B2F"/>
    <w:rsid w:val="009B5D3E"/>
    <w:rsid w:val="009B5DC4"/>
    <w:rsid w:val="009B64E9"/>
    <w:rsid w:val="009B7538"/>
    <w:rsid w:val="009B7E6F"/>
    <w:rsid w:val="009C00C3"/>
    <w:rsid w:val="009C0AB5"/>
    <w:rsid w:val="009C0F6C"/>
    <w:rsid w:val="009C1016"/>
    <w:rsid w:val="009C1059"/>
    <w:rsid w:val="009C1382"/>
    <w:rsid w:val="009C21B4"/>
    <w:rsid w:val="009C37C9"/>
    <w:rsid w:val="009C3C03"/>
    <w:rsid w:val="009C49EB"/>
    <w:rsid w:val="009C4DC9"/>
    <w:rsid w:val="009C524A"/>
    <w:rsid w:val="009C5EC9"/>
    <w:rsid w:val="009C5F3E"/>
    <w:rsid w:val="009C6507"/>
    <w:rsid w:val="009C747A"/>
    <w:rsid w:val="009C77A9"/>
    <w:rsid w:val="009D0B13"/>
    <w:rsid w:val="009D1EB3"/>
    <w:rsid w:val="009D262A"/>
    <w:rsid w:val="009D2662"/>
    <w:rsid w:val="009D28FC"/>
    <w:rsid w:val="009D296D"/>
    <w:rsid w:val="009D2C0C"/>
    <w:rsid w:val="009D2C1F"/>
    <w:rsid w:val="009D2C31"/>
    <w:rsid w:val="009D3F91"/>
    <w:rsid w:val="009D420F"/>
    <w:rsid w:val="009D4658"/>
    <w:rsid w:val="009D4DB3"/>
    <w:rsid w:val="009D5496"/>
    <w:rsid w:val="009D5980"/>
    <w:rsid w:val="009D59EE"/>
    <w:rsid w:val="009D65A8"/>
    <w:rsid w:val="009D668B"/>
    <w:rsid w:val="009D732E"/>
    <w:rsid w:val="009D7611"/>
    <w:rsid w:val="009D7FFD"/>
    <w:rsid w:val="009E05E2"/>
    <w:rsid w:val="009E161B"/>
    <w:rsid w:val="009E265D"/>
    <w:rsid w:val="009E282A"/>
    <w:rsid w:val="009E2ABF"/>
    <w:rsid w:val="009E39BA"/>
    <w:rsid w:val="009E39E5"/>
    <w:rsid w:val="009E40D5"/>
    <w:rsid w:val="009E4444"/>
    <w:rsid w:val="009E498D"/>
    <w:rsid w:val="009E4DA1"/>
    <w:rsid w:val="009E4F30"/>
    <w:rsid w:val="009E628E"/>
    <w:rsid w:val="009E69A9"/>
    <w:rsid w:val="009E6D8B"/>
    <w:rsid w:val="009E70EE"/>
    <w:rsid w:val="009E74EC"/>
    <w:rsid w:val="009E759D"/>
    <w:rsid w:val="009F015B"/>
    <w:rsid w:val="009F0292"/>
    <w:rsid w:val="009F0578"/>
    <w:rsid w:val="009F1813"/>
    <w:rsid w:val="009F23CB"/>
    <w:rsid w:val="009F256D"/>
    <w:rsid w:val="009F2848"/>
    <w:rsid w:val="009F30AA"/>
    <w:rsid w:val="009F31E9"/>
    <w:rsid w:val="009F3D80"/>
    <w:rsid w:val="009F4849"/>
    <w:rsid w:val="009F52EF"/>
    <w:rsid w:val="009F5343"/>
    <w:rsid w:val="009F5846"/>
    <w:rsid w:val="009F5E0A"/>
    <w:rsid w:val="009F60EE"/>
    <w:rsid w:val="009F651F"/>
    <w:rsid w:val="009F6545"/>
    <w:rsid w:val="009F71A2"/>
    <w:rsid w:val="009F769B"/>
    <w:rsid w:val="00A00556"/>
    <w:rsid w:val="00A02F80"/>
    <w:rsid w:val="00A03290"/>
    <w:rsid w:val="00A03A7C"/>
    <w:rsid w:val="00A03FA4"/>
    <w:rsid w:val="00A04FB7"/>
    <w:rsid w:val="00A05226"/>
    <w:rsid w:val="00A05E7F"/>
    <w:rsid w:val="00A05F70"/>
    <w:rsid w:val="00A060BE"/>
    <w:rsid w:val="00A067FE"/>
    <w:rsid w:val="00A0690A"/>
    <w:rsid w:val="00A069DC"/>
    <w:rsid w:val="00A071D2"/>
    <w:rsid w:val="00A072BF"/>
    <w:rsid w:val="00A077E4"/>
    <w:rsid w:val="00A07AC0"/>
    <w:rsid w:val="00A07BFB"/>
    <w:rsid w:val="00A07CEB"/>
    <w:rsid w:val="00A07E78"/>
    <w:rsid w:val="00A104A9"/>
    <w:rsid w:val="00A1065B"/>
    <w:rsid w:val="00A11693"/>
    <w:rsid w:val="00A11A61"/>
    <w:rsid w:val="00A11A6A"/>
    <w:rsid w:val="00A123B5"/>
    <w:rsid w:val="00A12F6D"/>
    <w:rsid w:val="00A1383B"/>
    <w:rsid w:val="00A1391F"/>
    <w:rsid w:val="00A13AE7"/>
    <w:rsid w:val="00A13EF8"/>
    <w:rsid w:val="00A142F9"/>
    <w:rsid w:val="00A144E7"/>
    <w:rsid w:val="00A14515"/>
    <w:rsid w:val="00A1462B"/>
    <w:rsid w:val="00A14C44"/>
    <w:rsid w:val="00A14E7D"/>
    <w:rsid w:val="00A14EC0"/>
    <w:rsid w:val="00A151DA"/>
    <w:rsid w:val="00A152B7"/>
    <w:rsid w:val="00A154CB"/>
    <w:rsid w:val="00A15593"/>
    <w:rsid w:val="00A1578D"/>
    <w:rsid w:val="00A1619B"/>
    <w:rsid w:val="00A16324"/>
    <w:rsid w:val="00A20F90"/>
    <w:rsid w:val="00A220ED"/>
    <w:rsid w:val="00A22672"/>
    <w:rsid w:val="00A2288B"/>
    <w:rsid w:val="00A22CF3"/>
    <w:rsid w:val="00A23121"/>
    <w:rsid w:val="00A2370D"/>
    <w:rsid w:val="00A23B1C"/>
    <w:rsid w:val="00A2404F"/>
    <w:rsid w:val="00A241A9"/>
    <w:rsid w:val="00A251F0"/>
    <w:rsid w:val="00A279A5"/>
    <w:rsid w:val="00A27AC3"/>
    <w:rsid w:val="00A30689"/>
    <w:rsid w:val="00A308C5"/>
    <w:rsid w:val="00A30A1F"/>
    <w:rsid w:val="00A315DF"/>
    <w:rsid w:val="00A317D6"/>
    <w:rsid w:val="00A3185F"/>
    <w:rsid w:val="00A318DD"/>
    <w:rsid w:val="00A31FDA"/>
    <w:rsid w:val="00A3296B"/>
    <w:rsid w:val="00A32B83"/>
    <w:rsid w:val="00A32D8C"/>
    <w:rsid w:val="00A32DBA"/>
    <w:rsid w:val="00A332B1"/>
    <w:rsid w:val="00A33827"/>
    <w:rsid w:val="00A3388F"/>
    <w:rsid w:val="00A34068"/>
    <w:rsid w:val="00A34148"/>
    <w:rsid w:val="00A353EF"/>
    <w:rsid w:val="00A354A6"/>
    <w:rsid w:val="00A35623"/>
    <w:rsid w:val="00A359E5"/>
    <w:rsid w:val="00A35D32"/>
    <w:rsid w:val="00A35E1B"/>
    <w:rsid w:val="00A36001"/>
    <w:rsid w:val="00A36F51"/>
    <w:rsid w:val="00A3791A"/>
    <w:rsid w:val="00A37C59"/>
    <w:rsid w:val="00A4091D"/>
    <w:rsid w:val="00A41614"/>
    <w:rsid w:val="00A41D9E"/>
    <w:rsid w:val="00A41E69"/>
    <w:rsid w:val="00A42AE5"/>
    <w:rsid w:val="00A43B45"/>
    <w:rsid w:val="00A43D4A"/>
    <w:rsid w:val="00A44563"/>
    <w:rsid w:val="00A4460F"/>
    <w:rsid w:val="00A45C38"/>
    <w:rsid w:val="00A46580"/>
    <w:rsid w:val="00A47854"/>
    <w:rsid w:val="00A47F49"/>
    <w:rsid w:val="00A47FFB"/>
    <w:rsid w:val="00A500FE"/>
    <w:rsid w:val="00A5015B"/>
    <w:rsid w:val="00A502F5"/>
    <w:rsid w:val="00A5085E"/>
    <w:rsid w:val="00A50D15"/>
    <w:rsid w:val="00A50F96"/>
    <w:rsid w:val="00A51724"/>
    <w:rsid w:val="00A5192A"/>
    <w:rsid w:val="00A51DC8"/>
    <w:rsid w:val="00A531F5"/>
    <w:rsid w:val="00A538DA"/>
    <w:rsid w:val="00A540B7"/>
    <w:rsid w:val="00A5431F"/>
    <w:rsid w:val="00A54A5E"/>
    <w:rsid w:val="00A54AC5"/>
    <w:rsid w:val="00A55546"/>
    <w:rsid w:val="00A55582"/>
    <w:rsid w:val="00A557F5"/>
    <w:rsid w:val="00A55961"/>
    <w:rsid w:val="00A564EA"/>
    <w:rsid w:val="00A5665A"/>
    <w:rsid w:val="00A60217"/>
    <w:rsid w:val="00A605CB"/>
    <w:rsid w:val="00A61BB4"/>
    <w:rsid w:val="00A61FF9"/>
    <w:rsid w:val="00A6210D"/>
    <w:rsid w:val="00A6241F"/>
    <w:rsid w:val="00A62571"/>
    <w:rsid w:val="00A62FBF"/>
    <w:rsid w:val="00A633FF"/>
    <w:rsid w:val="00A63946"/>
    <w:rsid w:val="00A63A05"/>
    <w:rsid w:val="00A64354"/>
    <w:rsid w:val="00A64880"/>
    <w:rsid w:val="00A64E6D"/>
    <w:rsid w:val="00A65438"/>
    <w:rsid w:val="00A65FE6"/>
    <w:rsid w:val="00A66992"/>
    <w:rsid w:val="00A67C69"/>
    <w:rsid w:val="00A70660"/>
    <w:rsid w:val="00A7102E"/>
    <w:rsid w:val="00A7160E"/>
    <w:rsid w:val="00A716D7"/>
    <w:rsid w:val="00A71989"/>
    <w:rsid w:val="00A72E8B"/>
    <w:rsid w:val="00A73020"/>
    <w:rsid w:val="00A730CC"/>
    <w:rsid w:val="00A738BC"/>
    <w:rsid w:val="00A7390B"/>
    <w:rsid w:val="00A73DAF"/>
    <w:rsid w:val="00A73E68"/>
    <w:rsid w:val="00A74B8B"/>
    <w:rsid w:val="00A75D7D"/>
    <w:rsid w:val="00A76850"/>
    <w:rsid w:val="00A77616"/>
    <w:rsid w:val="00A77816"/>
    <w:rsid w:val="00A77A28"/>
    <w:rsid w:val="00A80299"/>
    <w:rsid w:val="00A808BE"/>
    <w:rsid w:val="00A80FE4"/>
    <w:rsid w:val="00A81438"/>
    <w:rsid w:val="00A81DCA"/>
    <w:rsid w:val="00A8227D"/>
    <w:rsid w:val="00A82AF6"/>
    <w:rsid w:val="00A83759"/>
    <w:rsid w:val="00A84A8F"/>
    <w:rsid w:val="00A855FB"/>
    <w:rsid w:val="00A8573B"/>
    <w:rsid w:val="00A85969"/>
    <w:rsid w:val="00A859B4"/>
    <w:rsid w:val="00A8677A"/>
    <w:rsid w:val="00A876CE"/>
    <w:rsid w:val="00A87BC1"/>
    <w:rsid w:val="00A87FC6"/>
    <w:rsid w:val="00A90127"/>
    <w:rsid w:val="00A902A8"/>
    <w:rsid w:val="00A9047C"/>
    <w:rsid w:val="00A9063C"/>
    <w:rsid w:val="00A90938"/>
    <w:rsid w:val="00A90DD7"/>
    <w:rsid w:val="00A9142E"/>
    <w:rsid w:val="00A9342F"/>
    <w:rsid w:val="00A94857"/>
    <w:rsid w:val="00A949DA"/>
    <w:rsid w:val="00A94BE7"/>
    <w:rsid w:val="00A9583E"/>
    <w:rsid w:val="00A95848"/>
    <w:rsid w:val="00A95A8F"/>
    <w:rsid w:val="00A963D1"/>
    <w:rsid w:val="00A963DE"/>
    <w:rsid w:val="00A96A58"/>
    <w:rsid w:val="00A96E53"/>
    <w:rsid w:val="00A975BF"/>
    <w:rsid w:val="00A978F9"/>
    <w:rsid w:val="00A9793C"/>
    <w:rsid w:val="00A97E6A"/>
    <w:rsid w:val="00AA03DF"/>
    <w:rsid w:val="00AA051B"/>
    <w:rsid w:val="00AA060D"/>
    <w:rsid w:val="00AA0C87"/>
    <w:rsid w:val="00AA0D6C"/>
    <w:rsid w:val="00AA1D58"/>
    <w:rsid w:val="00AA2248"/>
    <w:rsid w:val="00AA2BB7"/>
    <w:rsid w:val="00AA3452"/>
    <w:rsid w:val="00AA37A1"/>
    <w:rsid w:val="00AA4186"/>
    <w:rsid w:val="00AA51DC"/>
    <w:rsid w:val="00AA55A0"/>
    <w:rsid w:val="00AA55A3"/>
    <w:rsid w:val="00AA56F2"/>
    <w:rsid w:val="00AA6B0B"/>
    <w:rsid w:val="00AA756B"/>
    <w:rsid w:val="00AA7750"/>
    <w:rsid w:val="00AA7AD4"/>
    <w:rsid w:val="00AA7C30"/>
    <w:rsid w:val="00AA7D98"/>
    <w:rsid w:val="00AB083C"/>
    <w:rsid w:val="00AB0842"/>
    <w:rsid w:val="00AB09E5"/>
    <w:rsid w:val="00AB0FD3"/>
    <w:rsid w:val="00AB20D0"/>
    <w:rsid w:val="00AB287B"/>
    <w:rsid w:val="00AB2C9F"/>
    <w:rsid w:val="00AB3347"/>
    <w:rsid w:val="00AB38F3"/>
    <w:rsid w:val="00AB39F9"/>
    <w:rsid w:val="00AB427F"/>
    <w:rsid w:val="00AB4714"/>
    <w:rsid w:val="00AB4E88"/>
    <w:rsid w:val="00AB4F6B"/>
    <w:rsid w:val="00AB5176"/>
    <w:rsid w:val="00AB5594"/>
    <w:rsid w:val="00AB5AEE"/>
    <w:rsid w:val="00AB5D29"/>
    <w:rsid w:val="00AB5DD8"/>
    <w:rsid w:val="00AB5F1D"/>
    <w:rsid w:val="00AB6358"/>
    <w:rsid w:val="00AB63BA"/>
    <w:rsid w:val="00AB6B4C"/>
    <w:rsid w:val="00AB6F6D"/>
    <w:rsid w:val="00AB7091"/>
    <w:rsid w:val="00AC0709"/>
    <w:rsid w:val="00AC0F5B"/>
    <w:rsid w:val="00AC10FF"/>
    <w:rsid w:val="00AC11A5"/>
    <w:rsid w:val="00AC1D12"/>
    <w:rsid w:val="00AC2045"/>
    <w:rsid w:val="00AC2466"/>
    <w:rsid w:val="00AC2624"/>
    <w:rsid w:val="00AC28D4"/>
    <w:rsid w:val="00AC2C24"/>
    <w:rsid w:val="00AC2C8A"/>
    <w:rsid w:val="00AC307E"/>
    <w:rsid w:val="00AC32CE"/>
    <w:rsid w:val="00AC3F42"/>
    <w:rsid w:val="00AC4349"/>
    <w:rsid w:val="00AC4816"/>
    <w:rsid w:val="00AC4D60"/>
    <w:rsid w:val="00AC56DC"/>
    <w:rsid w:val="00AC5A3C"/>
    <w:rsid w:val="00AC6716"/>
    <w:rsid w:val="00AC6FF0"/>
    <w:rsid w:val="00AC7356"/>
    <w:rsid w:val="00AC778D"/>
    <w:rsid w:val="00AC7D66"/>
    <w:rsid w:val="00AD082E"/>
    <w:rsid w:val="00AD134B"/>
    <w:rsid w:val="00AD15CB"/>
    <w:rsid w:val="00AD1A52"/>
    <w:rsid w:val="00AD2135"/>
    <w:rsid w:val="00AD2416"/>
    <w:rsid w:val="00AD2DF0"/>
    <w:rsid w:val="00AD2F50"/>
    <w:rsid w:val="00AD40CE"/>
    <w:rsid w:val="00AD4EC2"/>
    <w:rsid w:val="00AD4EE3"/>
    <w:rsid w:val="00AD55C0"/>
    <w:rsid w:val="00AD5B2F"/>
    <w:rsid w:val="00AD61E6"/>
    <w:rsid w:val="00AD67CC"/>
    <w:rsid w:val="00AD70FB"/>
    <w:rsid w:val="00AD7106"/>
    <w:rsid w:val="00AE05F7"/>
    <w:rsid w:val="00AE06D9"/>
    <w:rsid w:val="00AE0994"/>
    <w:rsid w:val="00AE0DF2"/>
    <w:rsid w:val="00AE133E"/>
    <w:rsid w:val="00AE18D6"/>
    <w:rsid w:val="00AE2699"/>
    <w:rsid w:val="00AE360D"/>
    <w:rsid w:val="00AE3D22"/>
    <w:rsid w:val="00AE3E21"/>
    <w:rsid w:val="00AE45D5"/>
    <w:rsid w:val="00AE68BD"/>
    <w:rsid w:val="00AF042F"/>
    <w:rsid w:val="00AF0B05"/>
    <w:rsid w:val="00AF12E8"/>
    <w:rsid w:val="00AF1793"/>
    <w:rsid w:val="00AF17DB"/>
    <w:rsid w:val="00AF1F35"/>
    <w:rsid w:val="00AF224C"/>
    <w:rsid w:val="00AF2C67"/>
    <w:rsid w:val="00AF36DC"/>
    <w:rsid w:val="00AF3D3B"/>
    <w:rsid w:val="00AF42A5"/>
    <w:rsid w:val="00AF440C"/>
    <w:rsid w:val="00AF455C"/>
    <w:rsid w:val="00AF4741"/>
    <w:rsid w:val="00AF4DF2"/>
    <w:rsid w:val="00AF5010"/>
    <w:rsid w:val="00AF51EC"/>
    <w:rsid w:val="00AF5444"/>
    <w:rsid w:val="00AF5738"/>
    <w:rsid w:val="00AF58B6"/>
    <w:rsid w:val="00AF5B2F"/>
    <w:rsid w:val="00AF67F2"/>
    <w:rsid w:val="00AF6EBC"/>
    <w:rsid w:val="00AF736C"/>
    <w:rsid w:val="00AF791E"/>
    <w:rsid w:val="00B00506"/>
    <w:rsid w:val="00B00F9C"/>
    <w:rsid w:val="00B010EF"/>
    <w:rsid w:val="00B013EE"/>
    <w:rsid w:val="00B019ED"/>
    <w:rsid w:val="00B01A98"/>
    <w:rsid w:val="00B01CE1"/>
    <w:rsid w:val="00B01D9E"/>
    <w:rsid w:val="00B02B64"/>
    <w:rsid w:val="00B02C0D"/>
    <w:rsid w:val="00B0334D"/>
    <w:rsid w:val="00B0398A"/>
    <w:rsid w:val="00B04597"/>
    <w:rsid w:val="00B0460D"/>
    <w:rsid w:val="00B0622E"/>
    <w:rsid w:val="00B07797"/>
    <w:rsid w:val="00B07842"/>
    <w:rsid w:val="00B07F66"/>
    <w:rsid w:val="00B1051E"/>
    <w:rsid w:val="00B105F3"/>
    <w:rsid w:val="00B10D0A"/>
    <w:rsid w:val="00B10EF4"/>
    <w:rsid w:val="00B10F54"/>
    <w:rsid w:val="00B114F0"/>
    <w:rsid w:val="00B1160D"/>
    <w:rsid w:val="00B11B44"/>
    <w:rsid w:val="00B11EF8"/>
    <w:rsid w:val="00B12579"/>
    <w:rsid w:val="00B1258A"/>
    <w:rsid w:val="00B12919"/>
    <w:rsid w:val="00B129A1"/>
    <w:rsid w:val="00B135E1"/>
    <w:rsid w:val="00B13853"/>
    <w:rsid w:val="00B13B45"/>
    <w:rsid w:val="00B142F1"/>
    <w:rsid w:val="00B1473D"/>
    <w:rsid w:val="00B14AE0"/>
    <w:rsid w:val="00B14C36"/>
    <w:rsid w:val="00B15464"/>
    <w:rsid w:val="00B15CB9"/>
    <w:rsid w:val="00B1738F"/>
    <w:rsid w:val="00B17473"/>
    <w:rsid w:val="00B17A15"/>
    <w:rsid w:val="00B17BCC"/>
    <w:rsid w:val="00B20187"/>
    <w:rsid w:val="00B20733"/>
    <w:rsid w:val="00B20774"/>
    <w:rsid w:val="00B20A3E"/>
    <w:rsid w:val="00B20B91"/>
    <w:rsid w:val="00B21329"/>
    <w:rsid w:val="00B22037"/>
    <w:rsid w:val="00B221E0"/>
    <w:rsid w:val="00B22949"/>
    <w:rsid w:val="00B22D58"/>
    <w:rsid w:val="00B2313B"/>
    <w:rsid w:val="00B23B4B"/>
    <w:rsid w:val="00B23D25"/>
    <w:rsid w:val="00B244AD"/>
    <w:rsid w:val="00B2453B"/>
    <w:rsid w:val="00B24685"/>
    <w:rsid w:val="00B247B5"/>
    <w:rsid w:val="00B2502F"/>
    <w:rsid w:val="00B254D7"/>
    <w:rsid w:val="00B25997"/>
    <w:rsid w:val="00B25AC3"/>
    <w:rsid w:val="00B25B8A"/>
    <w:rsid w:val="00B25BB8"/>
    <w:rsid w:val="00B26932"/>
    <w:rsid w:val="00B26AA7"/>
    <w:rsid w:val="00B26FA8"/>
    <w:rsid w:val="00B270BA"/>
    <w:rsid w:val="00B300F2"/>
    <w:rsid w:val="00B3020A"/>
    <w:rsid w:val="00B3061C"/>
    <w:rsid w:val="00B3172B"/>
    <w:rsid w:val="00B322FD"/>
    <w:rsid w:val="00B324C4"/>
    <w:rsid w:val="00B328DF"/>
    <w:rsid w:val="00B32EF3"/>
    <w:rsid w:val="00B33305"/>
    <w:rsid w:val="00B345A7"/>
    <w:rsid w:val="00B34FCB"/>
    <w:rsid w:val="00B35152"/>
    <w:rsid w:val="00B3538F"/>
    <w:rsid w:val="00B35489"/>
    <w:rsid w:val="00B357D2"/>
    <w:rsid w:val="00B35CF0"/>
    <w:rsid w:val="00B3635C"/>
    <w:rsid w:val="00B366F2"/>
    <w:rsid w:val="00B36738"/>
    <w:rsid w:val="00B36BAC"/>
    <w:rsid w:val="00B36EE5"/>
    <w:rsid w:val="00B37158"/>
    <w:rsid w:val="00B374A8"/>
    <w:rsid w:val="00B37691"/>
    <w:rsid w:val="00B377F4"/>
    <w:rsid w:val="00B3786A"/>
    <w:rsid w:val="00B40007"/>
    <w:rsid w:val="00B408E4"/>
    <w:rsid w:val="00B40AB2"/>
    <w:rsid w:val="00B41318"/>
    <w:rsid w:val="00B417A4"/>
    <w:rsid w:val="00B41EAC"/>
    <w:rsid w:val="00B41F29"/>
    <w:rsid w:val="00B43396"/>
    <w:rsid w:val="00B44CA8"/>
    <w:rsid w:val="00B47198"/>
    <w:rsid w:val="00B47981"/>
    <w:rsid w:val="00B47AA2"/>
    <w:rsid w:val="00B47CB5"/>
    <w:rsid w:val="00B47E25"/>
    <w:rsid w:val="00B5024A"/>
    <w:rsid w:val="00B50A42"/>
    <w:rsid w:val="00B50EA3"/>
    <w:rsid w:val="00B5281C"/>
    <w:rsid w:val="00B539C1"/>
    <w:rsid w:val="00B54101"/>
    <w:rsid w:val="00B54293"/>
    <w:rsid w:val="00B5432F"/>
    <w:rsid w:val="00B543C8"/>
    <w:rsid w:val="00B5598B"/>
    <w:rsid w:val="00B55D41"/>
    <w:rsid w:val="00B56212"/>
    <w:rsid w:val="00B56216"/>
    <w:rsid w:val="00B5637E"/>
    <w:rsid w:val="00B56741"/>
    <w:rsid w:val="00B571E7"/>
    <w:rsid w:val="00B578C0"/>
    <w:rsid w:val="00B579DC"/>
    <w:rsid w:val="00B63611"/>
    <w:rsid w:val="00B648FF"/>
    <w:rsid w:val="00B65A6B"/>
    <w:rsid w:val="00B660B5"/>
    <w:rsid w:val="00B66125"/>
    <w:rsid w:val="00B66821"/>
    <w:rsid w:val="00B669E6"/>
    <w:rsid w:val="00B6795E"/>
    <w:rsid w:val="00B700D6"/>
    <w:rsid w:val="00B7019E"/>
    <w:rsid w:val="00B71BF0"/>
    <w:rsid w:val="00B72713"/>
    <w:rsid w:val="00B727C7"/>
    <w:rsid w:val="00B7296F"/>
    <w:rsid w:val="00B7327E"/>
    <w:rsid w:val="00B73A15"/>
    <w:rsid w:val="00B740BE"/>
    <w:rsid w:val="00B745E6"/>
    <w:rsid w:val="00B75434"/>
    <w:rsid w:val="00B7549F"/>
    <w:rsid w:val="00B76326"/>
    <w:rsid w:val="00B7676E"/>
    <w:rsid w:val="00B775F3"/>
    <w:rsid w:val="00B77C08"/>
    <w:rsid w:val="00B77C89"/>
    <w:rsid w:val="00B77EBF"/>
    <w:rsid w:val="00B806EB"/>
    <w:rsid w:val="00B8096C"/>
    <w:rsid w:val="00B80FC4"/>
    <w:rsid w:val="00B81123"/>
    <w:rsid w:val="00B81343"/>
    <w:rsid w:val="00B81777"/>
    <w:rsid w:val="00B817C0"/>
    <w:rsid w:val="00B82187"/>
    <w:rsid w:val="00B83046"/>
    <w:rsid w:val="00B83522"/>
    <w:rsid w:val="00B837FC"/>
    <w:rsid w:val="00B83B9C"/>
    <w:rsid w:val="00B84964"/>
    <w:rsid w:val="00B853B2"/>
    <w:rsid w:val="00B854B6"/>
    <w:rsid w:val="00B85661"/>
    <w:rsid w:val="00B860AD"/>
    <w:rsid w:val="00B86844"/>
    <w:rsid w:val="00B87036"/>
    <w:rsid w:val="00B87716"/>
    <w:rsid w:val="00B8778E"/>
    <w:rsid w:val="00B87986"/>
    <w:rsid w:val="00B9001C"/>
    <w:rsid w:val="00B90424"/>
    <w:rsid w:val="00B90B29"/>
    <w:rsid w:val="00B91DC6"/>
    <w:rsid w:val="00B93975"/>
    <w:rsid w:val="00B93A7F"/>
    <w:rsid w:val="00B93F85"/>
    <w:rsid w:val="00B9423F"/>
    <w:rsid w:val="00B946CA"/>
    <w:rsid w:val="00B956E0"/>
    <w:rsid w:val="00B958CC"/>
    <w:rsid w:val="00B95DBC"/>
    <w:rsid w:val="00B9632B"/>
    <w:rsid w:val="00B96C8C"/>
    <w:rsid w:val="00B974B5"/>
    <w:rsid w:val="00B97B4D"/>
    <w:rsid w:val="00BA0D71"/>
    <w:rsid w:val="00BA0DDF"/>
    <w:rsid w:val="00BA16D4"/>
    <w:rsid w:val="00BA2480"/>
    <w:rsid w:val="00BA2754"/>
    <w:rsid w:val="00BA32E4"/>
    <w:rsid w:val="00BA44DF"/>
    <w:rsid w:val="00BA4766"/>
    <w:rsid w:val="00BA48E7"/>
    <w:rsid w:val="00BA5EE6"/>
    <w:rsid w:val="00BA6174"/>
    <w:rsid w:val="00BA6249"/>
    <w:rsid w:val="00BA63D4"/>
    <w:rsid w:val="00BA66C8"/>
    <w:rsid w:val="00BA69B6"/>
    <w:rsid w:val="00BA6F88"/>
    <w:rsid w:val="00BA71C8"/>
    <w:rsid w:val="00BB04B2"/>
    <w:rsid w:val="00BB0BBC"/>
    <w:rsid w:val="00BB0E0D"/>
    <w:rsid w:val="00BB19DB"/>
    <w:rsid w:val="00BB32E4"/>
    <w:rsid w:val="00BB42C9"/>
    <w:rsid w:val="00BB4577"/>
    <w:rsid w:val="00BB51B4"/>
    <w:rsid w:val="00BB5655"/>
    <w:rsid w:val="00BB5786"/>
    <w:rsid w:val="00BB5FDD"/>
    <w:rsid w:val="00BB623D"/>
    <w:rsid w:val="00BB6DBD"/>
    <w:rsid w:val="00BB73D7"/>
    <w:rsid w:val="00BB7967"/>
    <w:rsid w:val="00BC05DE"/>
    <w:rsid w:val="00BC06DB"/>
    <w:rsid w:val="00BC0C59"/>
    <w:rsid w:val="00BC0DB9"/>
    <w:rsid w:val="00BC1232"/>
    <w:rsid w:val="00BC1C6F"/>
    <w:rsid w:val="00BC1FCD"/>
    <w:rsid w:val="00BC2C9B"/>
    <w:rsid w:val="00BC3EE9"/>
    <w:rsid w:val="00BC4338"/>
    <w:rsid w:val="00BC4E70"/>
    <w:rsid w:val="00BC5087"/>
    <w:rsid w:val="00BC5B92"/>
    <w:rsid w:val="00BC632D"/>
    <w:rsid w:val="00BC6C6B"/>
    <w:rsid w:val="00BD0487"/>
    <w:rsid w:val="00BD06CD"/>
    <w:rsid w:val="00BD14B4"/>
    <w:rsid w:val="00BD2100"/>
    <w:rsid w:val="00BD2367"/>
    <w:rsid w:val="00BD2E4F"/>
    <w:rsid w:val="00BD3486"/>
    <w:rsid w:val="00BD398C"/>
    <w:rsid w:val="00BD4803"/>
    <w:rsid w:val="00BD5281"/>
    <w:rsid w:val="00BD5799"/>
    <w:rsid w:val="00BD581E"/>
    <w:rsid w:val="00BD5CCA"/>
    <w:rsid w:val="00BD5DBF"/>
    <w:rsid w:val="00BD5DF4"/>
    <w:rsid w:val="00BD664C"/>
    <w:rsid w:val="00BD6BD5"/>
    <w:rsid w:val="00BE04DC"/>
    <w:rsid w:val="00BE0774"/>
    <w:rsid w:val="00BE296F"/>
    <w:rsid w:val="00BE318A"/>
    <w:rsid w:val="00BE3F78"/>
    <w:rsid w:val="00BE479D"/>
    <w:rsid w:val="00BE4931"/>
    <w:rsid w:val="00BE4936"/>
    <w:rsid w:val="00BE4A2C"/>
    <w:rsid w:val="00BE4E1F"/>
    <w:rsid w:val="00BE520C"/>
    <w:rsid w:val="00BE6990"/>
    <w:rsid w:val="00BE77B8"/>
    <w:rsid w:val="00BE783A"/>
    <w:rsid w:val="00BF0218"/>
    <w:rsid w:val="00BF2B8C"/>
    <w:rsid w:val="00BF31E3"/>
    <w:rsid w:val="00BF3981"/>
    <w:rsid w:val="00BF3A5E"/>
    <w:rsid w:val="00BF3B01"/>
    <w:rsid w:val="00BF4025"/>
    <w:rsid w:val="00BF471F"/>
    <w:rsid w:val="00BF47C0"/>
    <w:rsid w:val="00BF538B"/>
    <w:rsid w:val="00BF53C7"/>
    <w:rsid w:val="00BF5684"/>
    <w:rsid w:val="00BF602E"/>
    <w:rsid w:val="00BF69C2"/>
    <w:rsid w:val="00BF6A4C"/>
    <w:rsid w:val="00BF6AE6"/>
    <w:rsid w:val="00C00788"/>
    <w:rsid w:val="00C02532"/>
    <w:rsid w:val="00C03429"/>
    <w:rsid w:val="00C03B53"/>
    <w:rsid w:val="00C043A4"/>
    <w:rsid w:val="00C046F5"/>
    <w:rsid w:val="00C049ED"/>
    <w:rsid w:val="00C04B12"/>
    <w:rsid w:val="00C06BA8"/>
    <w:rsid w:val="00C06E29"/>
    <w:rsid w:val="00C07192"/>
    <w:rsid w:val="00C07919"/>
    <w:rsid w:val="00C07A19"/>
    <w:rsid w:val="00C07F0B"/>
    <w:rsid w:val="00C10403"/>
    <w:rsid w:val="00C115AF"/>
    <w:rsid w:val="00C116F8"/>
    <w:rsid w:val="00C12025"/>
    <w:rsid w:val="00C12B86"/>
    <w:rsid w:val="00C134C5"/>
    <w:rsid w:val="00C13DB5"/>
    <w:rsid w:val="00C141F6"/>
    <w:rsid w:val="00C142C4"/>
    <w:rsid w:val="00C14A2F"/>
    <w:rsid w:val="00C154CB"/>
    <w:rsid w:val="00C1555C"/>
    <w:rsid w:val="00C156DA"/>
    <w:rsid w:val="00C16CFC"/>
    <w:rsid w:val="00C16E73"/>
    <w:rsid w:val="00C17602"/>
    <w:rsid w:val="00C17AE1"/>
    <w:rsid w:val="00C200E4"/>
    <w:rsid w:val="00C200F6"/>
    <w:rsid w:val="00C205FB"/>
    <w:rsid w:val="00C20B96"/>
    <w:rsid w:val="00C20F04"/>
    <w:rsid w:val="00C21015"/>
    <w:rsid w:val="00C217EE"/>
    <w:rsid w:val="00C21CB2"/>
    <w:rsid w:val="00C21E0B"/>
    <w:rsid w:val="00C22D33"/>
    <w:rsid w:val="00C22FC7"/>
    <w:rsid w:val="00C24A59"/>
    <w:rsid w:val="00C25838"/>
    <w:rsid w:val="00C25D83"/>
    <w:rsid w:val="00C25F86"/>
    <w:rsid w:val="00C27D33"/>
    <w:rsid w:val="00C3081B"/>
    <w:rsid w:val="00C30970"/>
    <w:rsid w:val="00C30FC1"/>
    <w:rsid w:val="00C3128B"/>
    <w:rsid w:val="00C31E57"/>
    <w:rsid w:val="00C321B0"/>
    <w:rsid w:val="00C322C3"/>
    <w:rsid w:val="00C32732"/>
    <w:rsid w:val="00C32E93"/>
    <w:rsid w:val="00C3306A"/>
    <w:rsid w:val="00C332A0"/>
    <w:rsid w:val="00C3375C"/>
    <w:rsid w:val="00C33B19"/>
    <w:rsid w:val="00C341D2"/>
    <w:rsid w:val="00C345A4"/>
    <w:rsid w:val="00C34FA3"/>
    <w:rsid w:val="00C350E9"/>
    <w:rsid w:val="00C35711"/>
    <w:rsid w:val="00C3677E"/>
    <w:rsid w:val="00C36A14"/>
    <w:rsid w:val="00C40141"/>
    <w:rsid w:val="00C40698"/>
    <w:rsid w:val="00C41110"/>
    <w:rsid w:val="00C41561"/>
    <w:rsid w:val="00C41FF8"/>
    <w:rsid w:val="00C4276D"/>
    <w:rsid w:val="00C42B01"/>
    <w:rsid w:val="00C42BCE"/>
    <w:rsid w:val="00C45E10"/>
    <w:rsid w:val="00C45FC3"/>
    <w:rsid w:val="00C46083"/>
    <w:rsid w:val="00C467EE"/>
    <w:rsid w:val="00C468E1"/>
    <w:rsid w:val="00C47454"/>
    <w:rsid w:val="00C47568"/>
    <w:rsid w:val="00C504F1"/>
    <w:rsid w:val="00C50C4A"/>
    <w:rsid w:val="00C516EB"/>
    <w:rsid w:val="00C51B0D"/>
    <w:rsid w:val="00C51B75"/>
    <w:rsid w:val="00C53119"/>
    <w:rsid w:val="00C5430D"/>
    <w:rsid w:val="00C543C8"/>
    <w:rsid w:val="00C544DB"/>
    <w:rsid w:val="00C54EB8"/>
    <w:rsid w:val="00C5549A"/>
    <w:rsid w:val="00C55AFE"/>
    <w:rsid w:val="00C56E76"/>
    <w:rsid w:val="00C57052"/>
    <w:rsid w:val="00C57131"/>
    <w:rsid w:val="00C57EAD"/>
    <w:rsid w:val="00C61D40"/>
    <w:rsid w:val="00C61EEA"/>
    <w:rsid w:val="00C62A74"/>
    <w:rsid w:val="00C62B5B"/>
    <w:rsid w:val="00C63D06"/>
    <w:rsid w:val="00C63D4F"/>
    <w:rsid w:val="00C6438A"/>
    <w:rsid w:val="00C64BD4"/>
    <w:rsid w:val="00C64F06"/>
    <w:rsid w:val="00C650B4"/>
    <w:rsid w:val="00C65EE7"/>
    <w:rsid w:val="00C66C26"/>
    <w:rsid w:val="00C67633"/>
    <w:rsid w:val="00C6786E"/>
    <w:rsid w:val="00C67D5D"/>
    <w:rsid w:val="00C70178"/>
    <w:rsid w:val="00C70273"/>
    <w:rsid w:val="00C702F8"/>
    <w:rsid w:val="00C7030A"/>
    <w:rsid w:val="00C707CC"/>
    <w:rsid w:val="00C7125C"/>
    <w:rsid w:val="00C712A1"/>
    <w:rsid w:val="00C71C53"/>
    <w:rsid w:val="00C71D78"/>
    <w:rsid w:val="00C7202E"/>
    <w:rsid w:val="00C72572"/>
    <w:rsid w:val="00C72745"/>
    <w:rsid w:val="00C72ADF"/>
    <w:rsid w:val="00C73B18"/>
    <w:rsid w:val="00C744C3"/>
    <w:rsid w:val="00C74AAA"/>
    <w:rsid w:val="00C74D84"/>
    <w:rsid w:val="00C75B08"/>
    <w:rsid w:val="00C75C51"/>
    <w:rsid w:val="00C75CCC"/>
    <w:rsid w:val="00C7710C"/>
    <w:rsid w:val="00C77BE1"/>
    <w:rsid w:val="00C8098B"/>
    <w:rsid w:val="00C809A1"/>
    <w:rsid w:val="00C80A21"/>
    <w:rsid w:val="00C80F4F"/>
    <w:rsid w:val="00C80FC2"/>
    <w:rsid w:val="00C81578"/>
    <w:rsid w:val="00C81FEE"/>
    <w:rsid w:val="00C824EA"/>
    <w:rsid w:val="00C8300C"/>
    <w:rsid w:val="00C845BA"/>
    <w:rsid w:val="00C85C04"/>
    <w:rsid w:val="00C86459"/>
    <w:rsid w:val="00C8697B"/>
    <w:rsid w:val="00C87280"/>
    <w:rsid w:val="00C8745C"/>
    <w:rsid w:val="00C87EA2"/>
    <w:rsid w:val="00C87F0E"/>
    <w:rsid w:val="00C90130"/>
    <w:rsid w:val="00C902BF"/>
    <w:rsid w:val="00C918E4"/>
    <w:rsid w:val="00C91913"/>
    <w:rsid w:val="00C9213C"/>
    <w:rsid w:val="00C9234D"/>
    <w:rsid w:val="00C9271A"/>
    <w:rsid w:val="00C93868"/>
    <w:rsid w:val="00C944EB"/>
    <w:rsid w:val="00C94646"/>
    <w:rsid w:val="00C94B78"/>
    <w:rsid w:val="00C957FA"/>
    <w:rsid w:val="00C95B5C"/>
    <w:rsid w:val="00C97813"/>
    <w:rsid w:val="00CA00AD"/>
    <w:rsid w:val="00CA0305"/>
    <w:rsid w:val="00CA0AAC"/>
    <w:rsid w:val="00CA0B6F"/>
    <w:rsid w:val="00CA1820"/>
    <w:rsid w:val="00CA253C"/>
    <w:rsid w:val="00CA283F"/>
    <w:rsid w:val="00CA3778"/>
    <w:rsid w:val="00CA3A38"/>
    <w:rsid w:val="00CA3CB1"/>
    <w:rsid w:val="00CA3F1A"/>
    <w:rsid w:val="00CA429A"/>
    <w:rsid w:val="00CA429D"/>
    <w:rsid w:val="00CA4D5C"/>
    <w:rsid w:val="00CA516A"/>
    <w:rsid w:val="00CA6D5A"/>
    <w:rsid w:val="00CB0364"/>
    <w:rsid w:val="00CB1D62"/>
    <w:rsid w:val="00CB1F99"/>
    <w:rsid w:val="00CB221E"/>
    <w:rsid w:val="00CB22F7"/>
    <w:rsid w:val="00CB2C7F"/>
    <w:rsid w:val="00CB2FC7"/>
    <w:rsid w:val="00CB3295"/>
    <w:rsid w:val="00CB3854"/>
    <w:rsid w:val="00CB41AD"/>
    <w:rsid w:val="00CB4625"/>
    <w:rsid w:val="00CB466E"/>
    <w:rsid w:val="00CB5D12"/>
    <w:rsid w:val="00CB5E8F"/>
    <w:rsid w:val="00CB70EF"/>
    <w:rsid w:val="00CB7119"/>
    <w:rsid w:val="00CB73A7"/>
    <w:rsid w:val="00CC209F"/>
    <w:rsid w:val="00CC2D21"/>
    <w:rsid w:val="00CC418B"/>
    <w:rsid w:val="00CC4320"/>
    <w:rsid w:val="00CC555C"/>
    <w:rsid w:val="00CC5749"/>
    <w:rsid w:val="00CC5EAA"/>
    <w:rsid w:val="00CC6B16"/>
    <w:rsid w:val="00CC6D07"/>
    <w:rsid w:val="00CC7412"/>
    <w:rsid w:val="00CC7B95"/>
    <w:rsid w:val="00CC7D38"/>
    <w:rsid w:val="00CD1090"/>
    <w:rsid w:val="00CD1273"/>
    <w:rsid w:val="00CD197E"/>
    <w:rsid w:val="00CD1C01"/>
    <w:rsid w:val="00CD1E3B"/>
    <w:rsid w:val="00CD1F4F"/>
    <w:rsid w:val="00CD23F7"/>
    <w:rsid w:val="00CD3A49"/>
    <w:rsid w:val="00CD4187"/>
    <w:rsid w:val="00CD5410"/>
    <w:rsid w:val="00CD5F63"/>
    <w:rsid w:val="00CD6042"/>
    <w:rsid w:val="00CD65C0"/>
    <w:rsid w:val="00CD6BF9"/>
    <w:rsid w:val="00CE0919"/>
    <w:rsid w:val="00CE0B22"/>
    <w:rsid w:val="00CE1074"/>
    <w:rsid w:val="00CE1E28"/>
    <w:rsid w:val="00CE1EF8"/>
    <w:rsid w:val="00CE2223"/>
    <w:rsid w:val="00CE2F82"/>
    <w:rsid w:val="00CE36C4"/>
    <w:rsid w:val="00CE381A"/>
    <w:rsid w:val="00CE4076"/>
    <w:rsid w:val="00CE432E"/>
    <w:rsid w:val="00CE4C3F"/>
    <w:rsid w:val="00CE4C95"/>
    <w:rsid w:val="00CE4D57"/>
    <w:rsid w:val="00CE5353"/>
    <w:rsid w:val="00CE55D8"/>
    <w:rsid w:val="00CE68A9"/>
    <w:rsid w:val="00CF0738"/>
    <w:rsid w:val="00CF075F"/>
    <w:rsid w:val="00CF08DA"/>
    <w:rsid w:val="00CF128F"/>
    <w:rsid w:val="00CF1437"/>
    <w:rsid w:val="00CF2016"/>
    <w:rsid w:val="00CF26A0"/>
    <w:rsid w:val="00CF2F75"/>
    <w:rsid w:val="00CF30D8"/>
    <w:rsid w:val="00CF3A77"/>
    <w:rsid w:val="00CF4018"/>
    <w:rsid w:val="00CF4DA1"/>
    <w:rsid w:val="00CF5032"/>
    <w:rsid w:val="00CF5865"/>
    <w:rsid w:val="00CF5D75"/>
    <w:rsid w:val="00CF5E5A"/>
    <w:rsid w:val="00D01903"/>
    <w:rsid w:val="00D01FA6"/>
    <w:rsid w:val="00D02124"/>
    <w:rsid w:val="00D02EC1"/>
    <w:rsid w:val="00D03169"/>
    <w:rsid w:val="00D04693"/>
    <w:rsid w:val="00D04FAF"/>
    <w:rsid w:val="00D054FD"/>
    <w:rsid w:val="00D05CCF"/>
    <w:rsid w:val="00D06961"/>
    <w:rsid w:val="00D06F27"/>
    <w:rsid w:val="00D06FB7"/>
    <w:rsid w:val="00D06FD1"/>
    <w:rsid w:val="00D074F4"/>
    <w:rsid w:val="00D078E9"/>
    <w:rsid w:val="00D10AFC"/>
    <w:rsid w:val="00D11CD8"/>
    <w:rsid w:val="00D1284C"/>
    <w:rsid w:val="00D1309F"/>
    <w:rsid w:val="00D135BB"/>
    <w:rsid w:val="00D14261"/>
    <w:rsid w:val="00D148B4"/>
    <w:rsid w:val="00D148DA"/>
    <w:rsid w:val="00D14B42"/>
    <w:rsid w:val="00D14F43"/>
    <w:rsid w:val="00D15494"/>
    <w:rsid w:val="00D1587B"/>
    <w:rsid w:val="00D16103"/>
    <w:rsid w:val="00D1675F"/>
    <w:rsid w:val="00D174BA"/>
    <w:rsid w:val="00D1750D"/>
    <w:rsid w:val="00D17D40"/>
    <w:rsid w:val="00D17E16"/>
    <w:rsid w:val="00D20863"/>
    <w:rsid w:val="00D2125E"/>
    <w:rsid w:val="00D21362"/>
    <w:rsid w:val="00D21711"/>
    <w:rsid w:val="00D22633"/>
    <w:rsid w:val="00D231F2"/>
    <w:rsid w:val="00D234EC"/>
    <w:rsid w:val="00D236BF"/>
    <w:rsid w:val="00D23AF0"/>
    <w:rsid w:val="00D23FB8"/>
    <w:rsid w:val="00D24395"/>
    <w:rsid w:val="00D24697"/>
    <w:rsid w:val="00D246DE"/>
    <w:rsid w:val="00D24D82"/>
    <w:rsid w:val="00D25477"/>
    <w:rsid w:val="00D26BC4"/>
    <w:rsid w:val="00D2765E"/>
    <w:rsid w:val="00D27748"/>
    <w:rsid w:val="00D27B87"/>
    <w:rsid w:val="00D30A9E"/>
    <w:rsid w:val="00D30F5D"/>
    <w:rsid w:val="00D311D4"/>
    <w:rsid w:val="00D31201"/>
    <w:rsid w:val="00D31853"/>
    <w:rsid w:val="00D31AAF"/>
    <w:rsid w:val="00D31B1B"/>
    <w:rsid w:val="00D32ED3"/>
    <w:rsid w:val="00D32F20"/>
    <w:rsid w:val="00D341E2"/>
    <w:rsid w:val="00D343B3"/>
    <w:rsid w:val="00D34960"/>
    <w:rsid w:val="00D351C4"/>
    <w:rsid w:val="00D35514"/>
    <w:rsid w:val="00D35C77"/>
    <w:rsid w:val="00D35E48"/>
    <w:rsid w:val="00D360A3"/>
    <w:rsid w:val="00D364DC"/>
    <w:rsid w:val="00D37058"/>
    <w:rsid w:val="00D37705"/>
    <w:rsid w:val="00D37BFE"/>
    <w:rsid w:val="00D37D71"/>
    <w:rsid w:val="00D409C6"/>
    <w:rsid w:val="00D40E07"/>
    <w:rsid w:val="00D41587"/>
    <w:rsid w:val="00D41AFC"/>
    <w:rsid w:val="00D420BE"/>
    <w:rsid w:val="00D42525"/>
    <w:rsid w:val="00D42E62"/>
    <w:rsid w:val="00D438F6"/>
    <w:rsid w:val="00D43B3A"/>
    <w:rsid w:val="00D44504"/>
    <w:rsid w:val="00D4477E"/>
    <w:rsid w:val="00D44E2A"/>
    <w:rsid w:val="00D45758"/>
    <w:rsid w:val="00D45821"/>
    <w:rsid w:val="00D45FCF"/>
    <w:rsid w:val="00D46228"/>
    <w:rsid w:val="00D46CEB"/>
    <w:rsid w:val="00D46D34"/>
    <w:rsid w:val="00D47199"/>
    <w:rsid w:val="00D47A58"/>
    <w:rsid w:val="00D50397"/>
    <w:rsid w:val="00D5048F"/>
    <w:rsid w:val="00D51C0A"/>
    <w:rsid w:val="00D5207D"/>
    <w:rsid w:val="00D524D5"/>
    <w:rsid w:val="00D527EC"/>
    <w:rsid w:val="00D52976"/>
    <w:rsid w:val="00D52A4E"/>
    <w:rsid w:val="00D52FF3"/>
    <w:rsid w:val="00D53141"/>
    <w:rsid w:val="00D53377"/>
    <w:rsid w:val="00D53580"/>
    <w:rsid w:val="00D538FC"/>
    <w:rsid w:val="00D53BAD"/>
    <w:rsid w:val="00D53BCA"/>
    <w:rsid w:val="00D54514"/>
    <w:rsid w:val="00D54946"/>
    <w:rsid w:val="00D54A15"/>
    <w:rsid w:val="00D55C3D"/>
    <w:rsid w:val="00D55D29"/>
    <w:rsid w:val="00D5642D"/>
    <w:rsid w:val="00D566BB"/>
    <w:rsid w:val="00D568F1"/>
    <w:rsid w:val="00D600FA"/>
    <w:rsid w:val="00D61A1A"/>
    <w:rsid w:val="00D61D34"/>
    <w:rsid w:val="00D627E8"/>
    <w:rsid w:val="00D62D19"/>
    <w:rsid w:val="00D632AD"/>
    <w:rsid w:val="00D6400A"/>
    <w:rsid w:val="00D64626"/>
    <w:rsid w:val="00D6466A"/>
    <w:rsid w:val="00D650D3"/>
    <w:rsid w:val="00D653F1"/>
    <w:rsid w:val="00D66E30"/>
    <w:rsid w:val="00D7001A"/>
    <w:rsid w:val="00D703C2"/>
    <w:rsid w:val="00D70541"/>
    <w:rsid w:val="00D706B3"/>
    <w:rsid w:val="00D707B9"/>
    <w:rsid w:val="00D715D7"/>
    <w:rsid w:val="00D718D8"/>
    <w:rsid w:val="00D71E43"/>
    <w:rsid w:val="00D71ECB"/>
    <w:rsid w:val="00D72E3E"/>
    <w:rsid w:val="00D73082"/>
    <w:rsid w:val="00D734EE"/>
    <w:rsid w:val="00D739C4"/>
    <w:rsid w:val="00D739F2"/>
    <w:rsid w:val="00D73A52"/>
    <w:rsid w:val="00D73B84"/>
    <w:rsid w:val="00D74328"/>
    <w:rsid w:val="00D74A5D"/>
    <w:rsid w:val="00D751CC"/>
    <w:rsid w:val="00D779B1"/>
    <w:rsid w:val="00D77BD3"/>
    <w:rsid w:val="00D77BFA"/>
    <w:rsid w:val="00D77C35"/>
    <w:rsid w:val="00D77D25"/>
    <w:rsid w:val="00D8086A"/>
    <w:rsid w:val="00D813C1"/>
    <w:rsid w:val="00D819E3"/>
    <w:rsid w:val="00D82BB3"/>
    <w:rsid w:val="00D83720"/>
    <w:rsid w:val="00D83D18"/>
    <w:rsid w:val="00D84EED"/>
    <w:rsid w:val="00D85095"/>
    <w:rsid w:val="00D85467"/>
    <w:rsid w:val="00D85BEF"/>
    <w:rsid w:val="00D85C3B"/>
    <w:rsid w:val="00D86A10"/>
    <w:rsid w:val="00D86B9A"/>
    <w:rsid w:val="00D86C24"/>
    <w:rsid w:val="00D90D91"/>
    <w:rsid w:val="00D9243A"/>
    <w:rsid w:val="00D92DC7"/>
    <w:rsid w:val="00D93497"/>
    <w:rsid w:val="00D93CDA"/>
    <w:rsid w:val="00D942D5"/>
    <w:rsid w:val="00D9437A"/>
    <w:rsid w:val="00D94D0A"/>
    <w:rsid w:val="00D952CB"/>
    <w:rsid w:val="00D9566B"/>
    <w:rsid w:val="00D960E3"/>
    <w:rsid w:val="00D9624F"/>
    <w:rsid w:val="00D9644A"/>
    <w:rsid w:val="00D973E5"/>
    <w:rsid w:val="00D973ED"/>
    <w:rsid w:val="00D9743D"/>
    <w:rsid w:val="00D97906"/>
    <w:rsid w:val="00DA124E"/>
    <w:rsid w:val="00DA1437"/>
    <w:rsid w:val="00DA1F6B"/>
    <w:rsid w:val="00DA233F"/>
    <w:rsid w:val="00DA24FB"/>
    <w:rsid w:val="00DA25F6"/>
    <w:rsid w:val="00DA2BBC"/>
    <w:rsid w:val="00DA331F"/>
    <w:rsid w:val="00DA335F"/>
    <w:rsid w:val="00DA36AB"/>
    <w:rsid w:val="00DA394F"/>
    <w:rsid w:val="00DA4875"/>
    <w:rsid w:val="00DA49EE"/>
    <w:rsid w:val="00DA526D"/>
    <w:rsid w:val="00DA5927"/>
    <w:rsid w:val="00DA5AEB"/>
    <w:rsid w:val="00DA5B8F"/>
    <w:rsid w:val="00DA6000"/>
    <w:rsid w:val="00DA6092"/>
    <w:rsid w:val="00DA66EB"/>
    <w:rsid w:val="00DA6C39"/>
    <w:rsid w:val="00DA6D5F"/>
    <w:rsid w:val="00DA76C4"/>
    <w:rsid w:val="00DA76D4"/>
    <w:rsid w:val="00DB0265"/>
    <w:rsid w:val="00DB02A1"/>
    <w:rsid w:val="00DB0A0B"/>
    <w:rsid w:val="00DB0D8A"/>
    <w:rsid w:val="00DB105A"/>
    <w:rsid w:val="00DB115E"/>
    <w:rsid w:val="00DB3595"/>
    <w:rsid w:val="00DB40DB"/>
    <w:rsid w:val="00DB4316"/>
    <w:rsid w:val="00DB4C1F"/>
    <w:rsid w:val="00DB4ED3"/>
    <w:rsid w:val="00DB534A"/>
    <w:rsid w:val="00DB57BC"/>
    <w:rsid w:val="00DB59DC"/>
    <w:rsid w:val="00DB668A"/>
    <w:rsid w:val="00DB669E"/>
    <w:rsid w:val="00DB73AE"/>
    <w:rsid w:val="00DB7ACB"/>
    <w:rsid w:val="00DB7FC2"/>
    <w:rsid w:val="00DC119D"/>
    <w:rsid w:val="00DC1348"/>
    <w:rsid w:val="00DC19A8"/>
    <w:rsid w:val="00DC1F60"/>
    <w:rsid w:val="00DC219F"/>
    <w:rsid w:val="00DC25FA"/>
    <w:rsid w:val="00DC3C0B"/>
    <w:rsid w:val="00DC3CA7"/>
    <w:rsid w:val="00DC4212"/>
    <w:rsid w:val="00DC4C49"/>
    <w:rsid w:val="00DC511D"/>
    <w:rsid w:val="00DC5663"/>
    <w:rsid w:val="00DC5E0E"/>
    <w:rsid w:val="00DC5EEC"/>
    <w:rsid w:val="00DC610E"/>
    <w:rsid w:val="00DC7B0E"/>
    <w:rsid w:val="00DD0FFD"/>
    <w:rsid w:val="00DD18F6"/>
    <w:rsid w:val="00DD19D4"/>
    <w:rsid w:val="00DD2288"/>
    <w:rsid w:val="00DD2A7B"/>
    <w:rsid w:val="00DD2F5B"/>
    <w:rsid w:val="00DD3D11"/>
    <w:rsid w:val="00DD3D79"/>
    <w:rsid w:val="00DD4336"/>
    <w:rsid w:val="00DD5410"/>
    <w:rsid w:val="00DD5946"/>
    <w:rsid w:val="00DD5B2F"/>
    <w:rsid w:val="00DD601A"/>
    <w:rsid w:val="00DD63C7"/>
    <w:rsid w:val="00DD6A97"/>
    <w:rsid w:val="00DD71E1"/>
    <w:rsid w:val="00DD71FF"/>
    <w:rsid w:val="00DD773A"/>
    <w:rsid w:val="00DD7AC8"/>
    <w:rsid w:val="00DD7AC9"/>
    <w:rsid w:val="00DD7C3A"/>
    <w:rsid w:val="00DE0090"/>
    <w:rsid w:val="00DE0D9E"/>
    <w:rsid w:val="00DE193A"/>
    <w:rsid w:val="00DE1D18"/>
    <w:rsid w:val="00DE26B4"/>
    <w:rsid w:val="00DE2785"/>
    <w:rsid w:val="00DE28A9"/>
    <w:rsid w:val="00DE2ADA"/>
    <w:rsid w:val="00DE3982"/>
    <w:rsid w:val="00DE3C4E"/>
    <w:rsid w:val="00DE4A57"/>
    <w:rsid w:val="00DE5E00"/>
    <w:rsid w:val="00DE5E9F"/>
    <w:rsid w:val="00DE6F08"/>
    <w:rsid w:val="00DE7171"/>
    <w:rsid w:val="00DE723C"/>
    <w:rsid w:val="00DE7AA0"/>
    <w:rsid w:val="00DE7E6E"/>
    <w:rsid w:val="00DE7F06"/>
    <w:rsid w:val="00DF06C2"/>
    <w:rsid w:val="00DF06D4"/>
    <w:rsid w:val="00DF0A3F"/>
    <w:rsid w:val="00DF0AA7"/>
    <w:rsid w:val="00DF0B22"/>
    <w:rsid w:val="00DF18CF"/>
    <w:rsid w:val="00DF1BD4"/>
    <w:rsid w:val="00DF351D"/>
    <w:rsid w:val="00DF4042"/>
    <w:rsid w:val="00DF40A0"/>
    <w:rsid w:val="00DF441A"/>
    <w:rsid w:val="00DF4583"/>
    <w:rsid w:val="00DF47C6"/>
    <w:rsid w:val="00DF4CCE"/>
    <w:rsid w:val="00DF5940"/>
    <w:rsid w:val="00DF59AF"/>
    <w:rsid w:val="00DF5F6E"/>
    <w:rsid w:val="00DF64BA"/>
    <w:rsid w:val="00DF668C"/>
    <w:rsid w:val="00DF6871"/>
    <w:rsid w:val="00E00253"/>
    <w:rsid w:val="00E004DB"/>
    <w:rsid w:val="00E00E4A"/>
    <w:rsid w:val="00E01747"/>
    <w:rsid w:val="00E022B2"/>
    <w:rsid w:val="00E02468"/>
    <w:rsid w:val="00E03B4A"/>
    <w:rsid w:val="00E03C50"/>
    <w:rsid w:val="00E03D57"/>
    <w:rsid w:val="00E0576D"/>
    <w:rsid w:val="00E06023"/>
    <w:rsid w:val="00E06180"/>
    <w:rsid w:val="00E06348"/>
    <w:rsid w:val="00E0639A"/>
    <w:rsid w:val="00E06ED8"/>
    <w:rsid w:val="00E0747D"/>
    <w:rsid w:val="00E10ACE"/>
    <w:rsid w:val="00E110E2"/>
    <w:rsid w:val="00E112F8"/>
    <w:rsid w:val="00E11581"/>
    <w:rsid w:val="00E11734"/>
    <w:rsid w:val="00E12AAE"/>
    <w:rsid w:val="00E13A6F"/>
    <w:rsid w:val="00E13EE2"/>
    <w:rsid w:val="00E14159"/>
    <w:rsid w:val="00E148BD"/>
    <w:rsid w:val="00E14BE9"/>
    <w:rsid w:val="00E1552A"/>
    <w:rsid w:val="00E15626"/>
    <w:rsid w:val="00E15946"/>
    <w:rsid w:val="00E159C4"/>
    <w:rsid w:val="00E16E63"/>
    <w:rsid w:val="00E1741C"/>
    <w:rsid w:val="00E17AFE"/>
    <w:rsid w:val="00E17B16"/>
    <w:rsid w:val="00E208BD"/>
    <w:rsid w:val="00E20C06"/>
    <w:rsid w:val="00E215CC"/>
    <w:rsid w:val="00E21981"/>
    <w:rsid w:val="00E21F2B"/>
    <w:rsid w:val="00E22438"/>
    <w:rsid w:val="00E22B5D"/>
    <w:rsid w:val="00E23B7C"/>
    <w:rsid w:val="00E242E2"/>
    <w:rsid w:val="00E245FD"/>
    <w:rsid w:val="00E24DAE"/>
    <w:rsid w:val="00E250B8"/>
    <w:rsid w:val="00E251B9"/>
    <w:rsid w:val="00E25355"/>
    <w:rsid w:val="00E257AF"/>
    <w:rsid w:val="00E25B1D"/>
    <w:rsid w:val="00E26883"/>
    <w:rsid w:val="00E26FCD"/>
    <w:rsid w:val="00E27F27"/>
    <w:rsid w:val="00E27F83"/>
    <w:rsid w:val="00E3027C"/>
    <w:rsid w:val="00E319E3"/>
    <w:rsid w:val="00E31CBE"/>
    <w:rsid w:val="00E327CA"/>
    <w:rsid w:val="00E33180"/>
    <w:rsid w:val="00E332CD"/>
    <w:rsid w:val="00E33EED"/>
    <w:rsid w:val="00E35417"/>
    <w:rsid w:val="00E35523"/>
    <w:rsid w:val="00E356BE"/>
    <w:rsid w:val="00E35F3A"/>
    <w:rsid w:val="00E36D1A"/>
    <w:rsid w:val="00E36DED"/>
    <w:rsid w:val="00E370EC"/>
    <w:rsid w:val="00E4007C"/>
    <w:rsid w:val="00E40187"/>
    <w:rsid w:val="00E41108"/>
    <w:rsid w:val="00E419EF"/>
    <w:rsid w:val="00E41A58"/>
    <w:rsid w:val="00E4244E"/>
    <w:rsid w:val="00E42792"/>
    <w:rsid w:val="00E42ECE"/>
    <w:rsid w:val="00E43B96"/>
    <w:rsid w:val="00E44605"/>
    <w:rsid w:val="00E45498"/>
    <w:rsid w:val="00E45538"/>
    <w:rsid w:val="00E46C01"/>
    <w:rsid w:val="00E47A7C"/>
    <w:rsid w:val="00E47B5B"/>
    <w:rsid w:val="00E50D47"/>
    <w:rsid w:val="00E511F9"/>
    <w:rsid w:val="00E5159E"/>
    <w:rsid w:val="00E5175F"/>
    <w:rsid w:val="00E51BEC"/>
    <w:rsid w:val="00E52742"/>
    <w:rsid w:val="00E529A8"/>
    <w:rsid w:val="00E52C6F"/>
    <w:rsid w:val="00E537B0"/>
    <w:rsid w:val="00E5390E"/>
    <w:rsid w:val="00E53E72"/>
    <w:rsid w:val="00E540C9"/>
    <w:rsid w:val="00E54A73"/>
    <w:rsid w:val="00E55506"/>
    <w:rsid w:val="00E56038"/>
    <w:rsid w:val="00E569C8"/>
    <w:rsid w:val="00E579D7"/>
    <w:rsid w:val="00E57FD4"/>
    <w:rsid w:val="00E608D7"/>
    <w:rsid w:val="00E61695"/>
    <w:rsid w:val="00E6188C"/>
    <w:rsid w:val="00E61BFA"/>
    <w:rsid w:val="00E63AFB"/>
    <w:rsid w:val="00E64E3D"/>
    <w:rsid w:val="00E655BA"/>
    <w:rsid w:val="00E664E7"/>
    <w:rsid w:val="00E66615"/>
    <w:rsid w:val="00E666E0"/>
    <w:rsid w:val="00E66906"/>
    <w:rsid w:val="00E66CE5"/>
    <w:rsid w:val="00E67D1C"/>
    <w:rsid w:val="00E70A58"/>
    <w:rsid w:val="00E710DE"/>
    <w:rsid w:val="00E71CD0"/>
    <w:rsid w:val="00E728DF"/>
    <w:rsid w:val="00E72EEC"/>
    <w:rsid w:val="00E731F9"/>
    <w:rsid w:val="00E7334B"/>
    <w:rsid w:val="00E73E3F"/>
    <w:rsid w:val="00E73E8F"/>
    <w:rsid w:val="00E75D2A"/>
    <w:rsid w:val="00E75DB8"/>
    <w:rsid w:val="00E75EF4"/>
    <w:rsid w:val="00E766F1"/>
    <w:rsid w:val="00E76846"/>
    <w:rsid w:val="00E76BA8"/>
    <w:rsid w:val="00E76CEE"/>
    <w:rsid w:val="00E80179"/>
    <w:rsid w:val="00E80193"/>
    <w:rsid w:val="00E81091"/>
    <w:rsid w:val="00E81536"/>
    <w:rsid w:val="00E83E46"/>
    <w:rsid w:val="00E848E2"/>
    <w:rsid w:val="00E84909"/>
    <w:rsid w:val="00E8504D"/>
    <w:rsid w:val="00E85586"/>
    <w:rsid w:val="00E85858"/>
    <w:rsid w:val="00E85E5D"/>
    <w:rsid w:val="00E85F5B"/>
    <w:rsid w:val="00E86ED7"/>
    <w:rsid w:val="00E872AF"/>
    <w:rsid w:val="00E872BE"/>
    <w:rsid w:val="00E87341"/>
    <w:rsid w:val="00E907CE"/>
    <w:rsid w:val="00E91444"/>
    <w:rsid w:val="00E91AA9"/>
    <w:rsid w:val="00E91BB6"/>
    <w:rsid w:val="00E91D2D"/>
    <w:rsid w:val="00E925AE"/>
    <w:rsid w:val="00E925F0"/>
    <w:rsid w:val="00E92D37"/>
    <w:rsid w:val="00E9311F"/>
    <w:rsid w:val="00E943DE"/>
    <w:rsid w:val="00E94D78"/>
    <w:rsid w:val="00E95755"/>
    <w:rsid w:val="00E95CDF"/>
    <w:rsid w:val="00E968CD"/>
    <w:rsid w:val="00E96B48"/>
    <w:rsid w:val="00E96E56"/>
    <w:rsid w:val="00E96ED5"/>
    <w:rsid w:val="00E97867"/>
    <w:rsid w:val="00E97A36"/>
    <w:rsid w:val="00EA0034"/>
    <w:rsid w:val="00EA009D"/>
    <w:rsid w:val="00EA01ED"/>
    <w:rsid w:val="00EA256C"/>
    <w:rsid w:val="00EA2C22"/>
    <w:rsid w:val="00EA2FF8"/>
    <w:rsid w:val="00EA5389"/>
    <w:rsid w:val="00EA5529"/>
    <w:rsid w:val="00EA57FC"/>
    <w:rsid w:val="00EA5CA3"/>
    <w:rsid w:val="00EA6A94"/>
    <w:rsid w:val="00EA6D53"/>
    <w:rsid w:val="00EB04B8"/>
    <w:rsid w:val="00EB10AD"/>
    <w:rsid w:val="00EB2219"/>
    <w:rsid w:val="00EB3361"/>
    <w:rsid w:val="00EB3860"/>
    <w:rsid w:val="00EB3DD0"/>
    <w:rsid w:val="00EB4196"/>
    <w:rsid w:val="00EB4836"/>
    <w:rsid w:val="00EB4ED4"/>
    <w:rsid w:val="00EB52AB"/>
    <w:rsid w:val="00EB576D"/>
    <w:rsid w:val="00EB594B"/>
    <w:rsid w:val="00EB61AD"/>
    <w:rsid w:val="00EB63BB"/>
    <w:rsid w:val="00EB63EB"/>
    <w:rsid w:val="00EB641B"/>
    <w:rsid w:val="00EB66EF"/>
    <w:rsid w:val="00EB705F"/>
    <w:rsid w:val="00EB7661"/>
    <w:rsid w:val="00EC0B32"/>
    <w:rsid w:val="00EC0C16"/>
    <w:rsid w:val="00EC1390"/>
    <w:rsid w:val="00EC18A3"/>
    <w:rsid w:val="00EC22FE"/>
    <w:rsid w:val="00EC2403"/>
    <w:rsid w:val="00EC29B2"/>
    <w:rsid w:val="00EC3434"/>
    <w:rsid w:val="00EC34B0"/>
    <w:rsid w:val="00EC41B7"/>
    <w:rsid w:val="00EC4B61"/>
    <w:rsid w:val="00EC4D79"/>
    <w:rsid w:val="00EC5A77"/>
    <w:rsid w:val="00EC6310"/>
    <w:rsid w:val="00EC66FA"/>
    <w:rsid w:val="00EC7BFB"/>
    <w:rsid w:val="00ED0289"/>
    <w:rsid w:val="00ED03BF"/>
    <w:rsid w:val="00ED05BD"/>
    <w:rsid w:val="00ED0852"/>
    <w:rsid w:val="00ED0A9B"/>
    <w:rsid w:val="00ED0EA1"/>
    <w:rsid w:val="00ED2465"/>
    <w:rsid w:val="00ED36CA"/>
    <w:rsid w:val="00ED374C"/>
    <w:rsid w:val="00ED448E"/>
    <w:rsid w:val="00ED46D6"/>
    <w:rsid w:val="00ED5544"/>
    <w:rsid w:val="00ED559B"/>
    <w:rsid w:val="00ED6547"/>
    <w:rsid w:val="00ED6AB1"/>
    <w:rsid w:val="00ED6BF0"/>
    <w:rsid w:val="00ED6C55"/>
    <w:rsid w:val="00ED77D6"/>
    <w:rsid w:val="00ED7A70"/>
    <w:rsid w:val="00ED7D80"/>
    <w:rsid w:val="00EE006D"/>
    <w:rsid w:val="00EE0A1A"/>
    <w:rsid w:val="00EE0EE7"/>
    <w:rsid w:val="00EE1837"/>
    <w:rsid w:val="00EE1E50"/>
    <w:rsid w:val="00EE1EDB"/>
    <w:rsid w:val="00EE20CC"/>
    <w:rsid w:val="00EE218A"/>
    <w:rsid w:val="00EE334E"/>
    <w:rsid w:val="00EE35F1"/>
    <w:rsid w:val="00EE442E"/>
    <w:rsid w:val="00EE4744"/>
    <w:rsid w:val="00EE49B4"/>
    <w:rsid w:val="00EE4D9D"/>
    <w:rsid w:val="00EE5A91"/>
    <w:rsid w:val="00EE62FF"/>
    <w:rsid w:val="00EE6F9E"/>
    <w:rsid w:val="00EE7C10"/>
    <w:rsid w:val="00EF0598"/>
    <w:rsid w:val="00EF08B3"/>
    <w:rsid w:val="00EF0900"/>
    <w:rsid w:val="00EF0AB0"/>
    <w:rsid w:val="00EF1BF8"/>
    <w:rsid w:val="00EF239E"/>
    <w:rsid w:val="00EF23CF"/>
    <w:rsid w:val="00EF250F"/>
    <w:rsid w:val="00EF355A"/>
    <w:rsid w:val="00EF37A5"/>
    <w:rsid w:val="00EF3FF4"/>
    <w:rsid w:val="00EF4A5D"/>
    <w:rsid w:val="00EF5503"/>
    <w:rsid w:val="00EF56D2"/>
    <w:rsid w:val="00EF5C23"/>
    <w:rsid w:val="00EF5D5C"/>
    <w:rsid w:val="00EF642B"/>
    <w:rsid w:val="00EF6459"/>
    <w:rsid w:val="00EF707D"/>
    <w:rsid w:val="00EF734F"/>
    <w:rsid w:val="00EF74FB"/>
    <w:rsid w:val="00EF7728"/>
    <w:rsid w:val="00F00690"/>
    <w:rsid w:val="00F01DD5"/>
    <w:rsid w:val="00F02765"/>
    <w:rsid w:val="00F029B0"/>
    <w:rsid w:val="00F03438"/>
    <w:rsid w:val="00F037FF"/>
    <w:rsid w:val="00F03C05"/>
    <w:rsid w:val="00F03D54"/>
    <w:rsid w:val="00F044AC"/>
    <w:rsid w:val="00F05766"/>
    <w:rsid w:val="00F05A9F"/>
    <w:rsid w:val="00F05AD5"/>
    <w:rsid w:val="00F05DA7"/>
    <w:rsid w:val="00F067EF"/>
    <w:rsid w:val="00F06CA8"/>
    <w:rsid w:val="00F10C05"/>
    <w:rsid w:val="00F11733"/>
    <w:rsid w:val="00F11C47"/>
    <w:rsid w:val="00F11C95"/>
    <w:rsid w:val="00F11DAC"/>
    <w:rsid w:val="00F11DCA"/>
    <w:rsid w:val="00F11EFE"/>
    <w:rsid w:val="00F11FA6"/>
    <w:rsid w:val="00F13A18"/>
    <w:rsid w:val="00F13A9E"/>
    <w:rsid w:val="00F13AFB"/>
    <w:rsid w:val="00F13C1D"/>
    <w:rsid w:val="00F13E02"/>
    <w:rsid w:val="00F1438B"/>
    <w:rsid w:val="00F14476"/>
    <w:rsid w:val="00F14F17"/>
    <w:rsid w:val="00F14F82"/>
    <w:rsid w:val="00F1518B"/>
    <w:rsid w:val="00F16016"/>
    <w:rsid w:val="00F16129"/>
    <w:rsid w:val="00F164BA"/>
    <w:rsid w:val="00F171B0"/>
    <w:rsid w:val="00F173AD"/>
    <w:rsid w:val="00F17473"/>
    <w:rsid w:val="00F1754B"/>
    <w:rsid w:val="00F17C0D"/>
    <w:rsid w:val="00F17EBF"/>
    <w:rsid w:val="00F207F0"/>
    <w:rsid w:val="00F20AE6"/>
    <w:rsid w:val="00F22250"/>
    <w:rsid w:val="00F2335C"/>
    <w:rsid w:val="00F24145"/>
    <w:rsid w:val="00F24781"/>
    <w:rsid w:val="00F24A32"/>
    <w:rsid w:val="00F24DEA"/>
    <w:rsid w:val="00F24F09"/>
    <w:rsid w:val="00F256D2"/>
    <w:rsid w:val="00F265FA"/>
    <w:rsid w:val="00F278EE"/>
    <w:rsid w:val="00F301A1"/>
    <w:rsid w:val="00F30872"/>
    <w:rsid w:val="00F30AEA"/>
    <w:rsid w:val="00F3195C"/>
    <w:rsid w:val="00F32252"/>
    <w:rsid w:val="00F32977"/>
    <w:rsid w:val="00F32BD3"/>
    <w:rsid w:val="00F33164"/>
    <w:rsid w:val="00F33F36"/>
    <w:rsid w:val="00F34B87"/>
    <w:rsid w:val="00F3502A"/>
    <w:rsid w:val="00F354CA"/>
    <w:rsid w:val="00F3555E"/>
    <w:rsid w:val="00F3629E"/>
    <w:rsid w:val="00F3633E"/>
    <w:rsid w:val="00F37186"/>
    <w:rsid w:val="00F374DA"/>
    <w:rsid w:val="00F37820"/>
    <w:rsid w:val="00F40BBE"/>
    <w:rsid w:val="00F40D59"/>
    <w:rsid w:val="00F42062"/>
    <w:rsid w:val="00F422F5"/>
    <w:rsid w:val="00F4294E"/>
    <w:rsid w:val="00F42CDE"/>
    <w:rsid w:val="00F42EA6"/>
    <w:rsid w:val="00F4348E"/>
    <w:rsid w:val="00F43E63"/>
    <w:rsid w:val="00F44721"/>
    <w:rsid w:val="00F44A91"/>
    <w:rsid w:val="00F44E18"/>
    <w:rsid w:val="00F44EB3"/>
    <w:rsid w:val="00F44FE2"/>
    <w:rsid w:val="00F45AAB"/>
    <w:rsid w:val="00F45EFA"/>
    <w:rsid w:val="00F46590"/>
    <w:rsid w:val="00F500A3"/>
    <w:rsid w:val="00F51124"/>
    <w:rsid w:val="00F512AE"/>
    <w:rsid w:val="00F51323"/>
    <w:rsid w:val="00F51D85"/>
    <w:rsid w:val="00F532E8"/>
    <w:rsid w:val="00F538A3"/>
    <w:rsid w:val="00F53DE3"/>
    <w:rsid w:val="00F53F18"/>
    <w:rsid w:val="00F54083"/>
    <w:rsid w:val="00F553C8"/>
    <w:rsid w:val="00F55492"/>
    <w:rsid w:val="00F55A72"/>
    <w:rsid w:val="00F56417"/>
    <w:rsid w:val="00F5658D"/>
    <w:rsid w:val="00F566A1"/>
    <w:rsid w:val="00F57027"/>
    <w:rsid w:val="00F572E2"/>
    <w:rsid w:val="00F57D7F"/>
    <w:rsid w:val="00F57E8F"/>
    <w:rsid w:val="00F60596"/>
    <w:rsid w:val="00F61291"/>
    <w:rsid w:val="00F612F6"/>
    <w:rsid w:val="00F61AED"/>
    <w:rsid w:val="00F623C2"/>
    <w:rsid w:val="00F63A45"/>
    <w:rsid w:val="00F64716"/>
    <w:rsid w:val="00F64759"/>
    <w:rsid w:val="00F65DCE"/>
    <w:rsid w:val="00F65E7F"/>
    <w:rsid w:val="00F66551"/>
    <w:rsid w:val="00F67303"/>
    <w:rsid w:val="00F6731A"/>
    <w:rsid w:val="00F675CE"/>
    <w:rsid w:val="00F67C4E"/>
    <w:rsid w:val="00F67CD3"/>
    <w:rsid w:val="00F7107D"/>
    <w:rsid w:val="00F71EDA"/>
    <w:rsid w:val="00F720BA"/>
    <w:rsid w:val="00F72983"/>
    <w:rsid w:val="00F735E9"/>
    <w:rsid w:val="00F73885"/>
    <w:rsid w:val="00F7418F"/>
    <w:rsid w:val="00F74277"/>
    <w:rsid w:val="00F751A6"/>
    <w:rsid w:val="00F755CC"/>
    <w:rsid w:val="00F75F13"/>
    <w:rsid w:val="00F762CE"/>
    <w:rsid w:val="00F76896"/>
    <w:rsid w:val="00F76B9B"/>
    <w:rsid w:val="00F77081"/>
    <w:rsid w:val="00F77182"/>
    <w:rsid w:val="00F77419"/>
    <w:rsid w:val="00F806E9"/>
    <w:rsid w:val="00F80B44"/>
    <w:rsid w:val="00F80BB7"/>
    <w:rsid w:val="00F80E5A"/>
    <w:rsid w:val="00F81929"/>
    <w:rsid w:val="00F81CFD"/>
    <w:rsid w:val="00F81DFD"/>
    <w:rsid w:val="00F81F0A"/>
    <w:rsid w:val="00F82B17"/>
    <w:rsid w:val="00F82D2C"/>
    <w:rsid w:val="00F8356D"/>
    <w:rsid w:val="00F84093"/>
    <w:rsid w:val="00F844BF"/>
    <w:rsid w:val="00F84826"/>
    <w:rsid w:val="00F84C8C"/>
    <w:rsid w:val="00F850A1"/>
    <w:rsid w:val="00F857ED"/>
    <w:rsid w:val="00F85902"/>
    <w:rsid w:val="00F8610A"/>
    <w:rsid w:val="00F866B6"/>
    <w:rsid w:val="00F877A7"/>
    <w:rsid w:val="00F90262"/>
    <w:rsid w:val="00F9073D"/>
    <w:rsid w:val="00F911B3"/>
    <w:rsid w:val="00F91892"/>
    <w:rsid w:val="00F91D78"/>
    <w:rsid w:val="00F9270C"/>
    <w:rsid w:val="00F92C60"/>
    <w:rsid w:val="00F930C0"/>
    <w:rsid w:val="00F9324B"/>
    <w:rsid w:val="00F93444"/>
    <w:rsid w:val="00F93F4D"/>
    <w:rsid w:val="00F946D2"/>
    <w:rsid w:val="00F946F1"/>
    <w:rsid w:val="00F94A75"/>
    <w:rsid w:val="00F94E45"/>
    <w:rsid w:val="00F951F8"/>
    <w:rsid w:val="00F95228"/>
    <w:rsid w:val="00F958B8"/>
    <w:rsid w:val="00F95BB3"/>
    <w:rsid w:val="00F95D73"/>
    <w:rsid w:val="00F95F43"/>
    <w:rsid w:val="00F970F7"/>
    <w:rsid w:val="00F97817"/>
    <w:rsid w:val="00F97A68"/>
    <w:rsid w:val="00FA0619"/>
    <w:rsid w:val="00FA0C18"/>
    <w:rsid w:val="00FA11BD"/>
    <w:rsid w:val="00FA13A8"/>
    <w:rsid w:val="00FA1499"/>
    <w:rsid w:val="00FA1B4C"/>
    <w:rsid w:val="00FA21D8"/>
    <w:rsid w:val="00FA37EF"/>
    <w:rsid w:val="00FA38AA"/>
    <w:rsid w:val="00FA58CC"/>
    <w:rsid w:val="00FA59F6"/>
    <w:rsid w:val="00FA5D7C"/>
    <w:rsid w:val="00FA5E4B"/>
    <w:rsid w:val="00FA5F0D"/>
    <w:rsid w:val="00FA66D4"/>
    <w:rsid w:val="00FA6915"/>
    <w:rsid w:val="00FA768A"/>
    <w:rsid w:val="00FA778C"/>
    <w:rsid w:val="00FA7F43"/>
    <w:rsid w:val="00FB0176"/>
    <w:rsid w:val="00FB07B5"/>
    <w:rsid w:val="00FB1088"/>
    <w:rsid w:val="00FB10A0"/>
    <w:rsid w:val="00FB132F"/>
    <w:rsid w:val="00FB1496"/>
    <w:rsid w:val="00FB1B6D"/>
    <w:rsid w:val="00FB1D20"/>
    <w:rsid w:val="00FB202D"/>
    <w:rsid w:val="00FB27EB"/>
    <w:rsid w:val="00FB2AD5"/>
    <w:rsid w:val="00FB3019"/>
    <w:rsid w:val="00FB374F"/>
    <w:rsid w:val="00FB38AE"/>
    <w:rsid w:val="00FB4D73"/>
    <w:rsid w:val="00FB5B0A"/>
    <w:rsid w:val="00FB5FB0"/>
    <w:rsid w:val="00FB609C"/>
    <w:rsid w:val="00FB62DE"/>
    <w:rsid w:val="00FB6717"/>
    <w:rsid w:val="00FB6CF6"/>
    <w:rsid w:val="00FB76B5"/>
    <w:rsid w:val="00FB7F4D"/>
    <w:rsid w:val="00FC0796"/>
    <w:rsid w:val="00FC109B"/>
    <w:rsid w:val="00FC1394"/>
    <w:rsid w:val="00FC15CF"/>
    <w:rsid w:val="00FC254F"/>
    <w:rsid w:val="00FC269E"/>
    <w:rsid w:val="00FC29F8"/>
    <w:rsid w:val="00FC2B33"/>
    <w:rsid w:val="00FC2DFD"/>
    <w:rsid w:val="00FC305A"/>
    <w:rsid w:val="00FC32BC"/>
    <w:rsid w:val="00FC3386"/>
    <w:rsid w:val="00FC354A"/>
    <w:rsid w:val="00FC595E"/>
    <w:rsid w:val="00FC694D"/>
    <w:rsid w:val="00FC7823"/>
    <w:rsid w:val="00FC7B58"/>
    <w:rsid w:val="00FC7D13"/>
    <w:rsid w:val="00FD0224"/>
    <w:rsid w:val="00FD0D57"/>
    <w:rsid w:val="00FD11A1"/>
    <w:rsid w:val="00FD17C3"/>
    <w:rsid w:val="00FD1EBF"/>
    <w:rsid w:val="00FD2093"/>
    <w:rsid w:val="00FD291D"/>
    <w:rsid w:val="00FD3041"/>
    <w:rsid w:val="00FD32B0"/>
    <w:rsid w:val="00FD3D24"/>
    <w:rsid w:val="00FD440C"/>
    <w:rsid w:val="00FD5640"/>
    <w:rsid w:val="00FD6B7E"/>
    <w:rsid w:val="00FD6C01"/>
    <w:rsid w:val="00FD6F97"/>
    <w:rsid w:val="00FD70D0"/>
    <w:rsid w:val="00FD7BE6"/>
    <w:rsid w:val="00FD7C6F"/>
    <w:rsid w:val="00FE008B"/>
    <w:rsid w:val="00FE1C4A"/>
    <w:rsid w:val="00FE21FB"/>
    <w:rsid w:val="00FE232E"/>
    <w:rsid w:val="00FE2423"/>
    <w:rsid w:val="00FE30B2"/>
    <w:rsid w:val="00FE3713"/>
    <w:rsid w:val="00FE3834"/>
    <w:rsid w:val="00FE407E"/>
    <w:rsid w:val="00FE4B27"/>
    <w:rsid w:val="00FE4C65"/>
    <w:rsid w:val="00FE537D"/>
    <w:rsid w:val="00FE54F3"/>
    <w:rsid w:val="00FE56EC"/>
    <w:rsid w:val="00FE610A"/>
    <w:rsid w:val="00FE643B"/>
    <w:rsid w:val="00FE6542"/>
    <w:rsid w:val="00FE6AF4"/>
    <w:rsid w:val="00FE7585"/>
    <w:rsid w:val="00FE78A4"/>
    <w:rsid w:val="00FE7BCF"/>
    <w:rsid w:val="00FE7E9D"/>
    <w:rsid w:val="00FF04E1"/>
    <w:rsid w:val="00FF08F9"/>
    <w:rsid w:val="00FF1198"/>
    <w:rsid w:val="00FF123D"/>
    <w:rsid w:val="00FF1BD8"/>
    <w:rsid w:val="00FF22ED"/>
    <w:rsid w:val="00FF2364"/>
    <w:rsid w:val="00FF2ACE"/>
    <w:rsid w:val="00FF3ABF"/>
    <w:rsid w:val="00FF4ED5"/>
    <w:rsid w:val="00FF52AE"/>
    <w:rsid w:val="00FF5423"/>
    <w:rsid w:val="00FF600E"/>
    <w:rsid w:val="00FF7C3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B5B9"/>
  <w15:docId w15:val="{19482218-8FE9-4F8A-B81D-70323BD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1A"/>
    <w:rPr>
      <w:b/>
      <w:sz w:val="24"/>
      <w:szCs w:val="24"/>
    </w:rPr>
  </w:style>
  <w:style w:type="paragraph" w:styleId="Heading1">
    <w:name w:val="heading 1"/>
    <w:basedOn w:val="Normal"/>
    <w:next w:val="Normal"/>
    <w:link w:val="Heading1Char"/>
    <w:qFormat/>
    <w:rsid w:val="001D3177"/>
    <w:pPr>
      <w:keepNext/>
      <w:numPr>
        <w:numId w:val="1"/>
      </w:numPr>
      <w:tabs>
        <w:tab w:val="clear" w:pos="540"/>
        <w:tab w:val="num" w:pos="360"/>
      </w:tabs>
      <w:spacing w:before="360" w:after="240"/>
      <w:ind w:left="0"/>
      <w:outlineLvl w:val="0"/>
    </w:pPr>
    <w:rPr>
      <w:rFonts w:ascii="Arial" w:hAnsi="Arial"/>
      <w:spacing w:val="20"/>
      <w:sz w:val="28"/>
    </w:rPr>
  </w:style>
  <w:style w:type="paragraph" w:styleId="Heading2">
    <w:name w:val="heading 2"/>
    <w:basedOn w:val="Normal"/>
    <w:next w:val="Normal"/>
    <w:link w:val="Heading2Char"/>
    <w:qFormat/>
    <w:rsid w:val="001D3177"/>
    <w:pPr>
      <w:keepNext/>
      <w:numPr>
        <w:ilvl w:val="1"/>
        <w:numId w:val="1"/>
      </w:numPr>
      <w:spacing w:before="360" w:after="240"/>
      <w:outlineLvl w:val="1"/>
    </w:pPr>
    <w:rPr>
      <w:rFonts w:ascii="Arial" w:hAnsi="Arial"/>
      <w:i/>
      <w:spacing w:val="20"/>
      <w:sz w:val="26"/>
    </w:rPr>
  </w:style>
  <w:style w:type="paragraph" w:styleId="Heading3">
    <w:name w:val="heading 3"/>
    <w:basedOn w:val="Normal"/>
    <w:next w:val="Normal"/>
    <w:qFormat/>
    <w:rsid w:val="00BF3A5E"/>
    <w:pPr>
      <w:keepNext/>
      <w:spacing w:before="360" w:after="120"/>
      <w:outlineLvl w:val="2"/>
    </w:pPr>
    <w:rPr>
      <w:rFonts w:ascii="Arial" w:hAnsi="Arial"/>
    </w:rPr>
  </w:style>
  <w:style w:type="paragraph" w:styleId="Heading4">
    <w:name w:val="heading 4"/>
    <w:basedOn w:val="Normal"/>
    <w:next w:val="Normal"/>
    <w:qFormat/>
    <w:rsid w:val="00BF3A5E"/>
    <w:pPr>
      <w:keepNext/>
      <w:spacing w:before="360" w:after="120"/>
      <w:outlineLvl w:val="3"/>
    </w:pPr>
    <w:rPr>
      <w:i/>
      <w:spacing w:val="20"/>
    </w:rPr>
  </w:style>
  <w:style w:type="paragraph" w:styleId="Heading5">
    <w:name w:val="heading 5"/>
    <w:basedOn w:val="HeadingMain"/>
    <w:next w:val="Normal"/>
    <w:qFormat/>
    <w:rsid w:val="00DF64BA"/>
    <w:pPr>
      <w:outlineLvl w:val="4"/>
    </w:pPr>
    <w:rPr>
      <w:sz w:val="24"/>
    </w:rPr>
  </w:style>
  <w:style w:type="paragraph" w:styleId="Heading6">
    <w:name w:val="heading 6"/>
    <w:basedOn w:val="Normal"/>
    <w:next w:val="Normal"/>
    <w:qFormat/>
    <w:rsid w:val="001201E6"/>
    <w:pPr>
      <w:keepNext/>
      <w:numPr>
        <w:ilvl w:val="5"/>
        <w:numId w:val="1"/>
      </w:numPr>
      <w:spacing w:line="360" w:lineRule="auto"/>
      <w:outlineLvl w:val="5"/>
    </w:pPr>
    <w:rPr>
      <w:i/>
    </w:rPr>
  </w:style>
  <w:style w:type="paragraph" w:styleId="Heading7">
    <w:name w:val="heading 7"/>
    <w:basedOn w:val="Normal"/>
    <w:next w:val="Normal"/>
    <w:qFormat/>
    <w:rsid w:val="001201E6"/>
    <w:pPr>
      <w:keepNext/>
      <w:numPr>
        <w:ilvl w:val="6"/>
        <w:numId w:val="1"/>
      </w:numPr>
      <w:spacing w:line="360" w:lineRule="auto"/>
      <w:jc w:val="center"/>
      <w:outlineLvl w:val="6"/>
    </w:pPr>
    <w:rPr>
      <w:i/>
    </w:rPr>
  </w:style>
  <w:style w:type="paragraph" w:styleId="Heading8">
    <w:name w:val="heading 8"/>
    <w:basedOn w:val="Normal"/>
    <w:next w:val="Normal"/>
    <w:qFormat/>
    <w:rsid w:val="001201E6"/>
    <w:pPr>
      <w:keepNext/>
      <w:numPr>
        <w:ilvl w:val="7"/>
        <w:numId w:val="1"/>
      </w:numPr>
      <w:spacing w:line="360" w:lineRule="auto"/>
      <w:outlineLvl w:val="7"/>
    </w:pPr>
    <w:rPr>
      <w:sz w:val="28"/>
    </w:rPr>
  </w:style>
  <w:style w:type="paragraph" w:styleId="Heading9">
    <w:name w:val="heading 9"/>
    <w:basedOn w:val="Normal"/>
    <w:next w:val="Normal"/>
    <w:qFormat/>
    <w:rsid w:val="001201E6"/>
    <w:pPr>
      <w:keepNext/>
      <w:numPr>
        <w:ilvl w:val="8"/>
        <w:numId w:val="1"/>
      </w:numPr>
      <w:spacing w:line="360"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177"/>
    <w:pPr>
      <w:spacing w:line="360" w:lineRule="auto"/>
      <w:jc w:val="center"/>
    </w:pPr>
    <w:rPr>
      <w:spacing w:val="20"/>
      <w:sz w:val="32"/>
      <w:szCs w:val="32"/>
    </w:rPr>
  </w:style>
  <w:style w:type="paragraph" w:styleId="Subtitle">
    <w:name w:val="Subtitle"/>
    <w:basedOn w:val="Normal"/>
    <w:qFormat/>
    <w:rsid w:val="001201E6"/>
    <w:pPr>
      <w:spacing w:line="360" w:lineRule="auto"/>
    </w:pPr>
  </w:style>
  <w:style w:type="paragraph" w:styleId="BodyText">
    <w:name w:val="Body Text"/>
    <w:basedOn w:val="Normal"/>
    <w:link w:val="BodyTextChar"/>
    <w:qFormat/>
    <w:rsid w:val="00382BEC"/>
    <w:pPr>
      <w:spacing w:before="120" w:after="120" w:line="320" w:lineRule="exact"/>
      <w:jc w:val="both"/>
    </w:pPr>
    <w:rPr>
      <w:rFonts w:ascii="Arial" w:hAnsi="Arial"/>
      <w:sz w:val="22"/>
    </w:rPr>
  </w:style>
  <w:style w:type="paragraph" w:styleId="BodyText2">
    <w:name w:val="Body Text 2"/>
    <w:basedOn w:val="Normal"/>
    <w:rsid w:val="001201E6"/>
    <w:pPr>
      <w:spacing w:line="360" w:lineRule="auto"/>
      <w:jc w:val="center"/>
    </w:pPr>
  </w:style>
  <w:style w:type="paragraph" w:styleId="BodyText3">
    <w:name w:val="Body Text 3"/>
    <w:basedOn w:val="Normal"/>
    <w:rsid w:val="001201E6"/>
  </w:style>
  <w:style w:type="paragraph" w:styleId="FootnoteText">
    <w:name w:val="footnote text"/>
    <w:basedOn w:val="Normal"/>
    <w:link w:val="FootnoteTextChar"/>
    <w:qFormat/>
    <w:rsid w:val="00E96E56"/>
    <w:pPr>
      <w:tabs>
        <w:tab w:val="left" w:pos="990"/>
      </w:tabs>
      <w:spacing w:after="120"/>
      <w:ind w:firstLine="720"/>
    </w:pPr>
    <w:rPr>
      <w:b w:val="0"/>
      <w:sz w:val="20"/>
    </w:rPr>
  </w:style>
  <w:style w:type="character" w:styleId="FootnoteReference">
    <w:name w:val="footnote reference"/>
    <w:basedOn w:val="DefaultParagraphFont"/>
    <w:qFormat/>
    <w:rsid w:val="001201E6"/>
    <w:rPr>
      <w:vertAlign w:val="superscript"/>
    </w:rPr>
  </w:style>
  <w:style w:type="paragraph" w:styleId="Header">
    <w:name w:val="header"/>
    <w:basedOn w:val="Normal"/>
    <w:rsid w:val="001201E6"/>
    <w:pPr>
      <w:tabs>
        <w:tab w:val="center" w:pos="4320"/>
        <w:tab w:val="right" w:pos="8640"/>
      </w:tabs>
    </w:pPr>
  </w:style>
  <w:style w:type="paragraph" w:styleId="Footer">
    <w:name w:val="footer"/>
    <w:basedOn w:val="Normal"/>
    <w:link w:val="FooterChar"/>
    <w:uiPriority w:val="99"/>
    <w:rsid w:val="001201E6"/>
    <w:pPr>
      <w:tabs>
        <w:tab w:val="center" w:pos="4320"/>
        <w:tab w:val="right" w:pos="8640"/>
      </w:tabs>
    </w:pPr>
  </w:style>
  <w:style w:type="character" w:styleId="PageNumber">
    <w:name w:val="page number"/>
    <w:basedOn w:val="DefaultParagraphFont"/>
    <w:rsid w:val="001201E6"/>
  </w:style>
  <w:style w:type="character" w:styleId="Hyperlink">
    <w:name w:val="Hyperlink"/>
    <w:basedOn w:val="DefaultParagraphFont"/>
    <w:uiPriority w:val="99"/>
    <w:rsid w:val="00646008"/>
    <w:rPr>
      <w:rFonts w:ascii="Times New Roman" w:hAnsi="Times New Roman"/>
      <w:b/>
      <w:color w:val="0000D4"/>
      <w:sz w:val="24"/>
      <w:u w:val="single"/>
    </w:rPr>
  </w:style>
  <w:style w:type="paragraph" w:styleId="TOC1">
    <w:name w:val="toc 1"/>
    <w:basedOn w:val="Normal"/>
    <w:next w:val="Normal"/>
    <w:autoRedefine/>
    <w:uiPriority w:val="39"/>
    <w:qFormat/>
    <w:rsid w:val="00CA6D5A"/>
    <w:pPr>
      <w:tabs>
        <w:tab w:val="left" w:pos="540"/>
        <w:tab w:val="right" w:leader="dot" w:pos="9638"/>
      </w:tabs>
      <w:spacing w:before="120" w:after="120"/>
    </w:pPr>
    <w:rPr>
      <w:rFonts w:ascii="Arial" w:hAnsi="Arial" w:cs="Arial"/>
      <w:bCs/>
      <w:caps/>
      <w:noProof/>
    </w:rPr>
  </w:style>
  <w:style w:type="paragraph" w:styleId="Caption">
    <w:name w:val="caption"/>
    <w:basedOn w:val="Normal"/>
    <w:next w:val="Normal"/>
    <w:qFormat/>
    <w:rsid w:val="001D3177"/>
    <w:pPr>
      <w:spacing w:before="360" w:after="120"/>
    </w:pPr>
    <w:rPr>
      <w:rFonts w:ascii="Arial" w:hAnsi="Arial"/>
      <w:sz w:val="22"/>
    </w:rPr>
  </w:style>
  <w:style w:type="table" w:styleId="TableGrid">
    <w:name w:val="Table Grid"/>
    <w:basedOn w:val="TableNormal"/>
    <w:uiPriority w:val="59"/>
    <w:rsid w:val="0012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Heading1"/>
    <w:rsid w:val="001D3177"/>
    <w:pPr>
      <w:keepNext w:val="0"/>
      <w:numPr>
        <w:numId w:val="0"/>
      </w:numPr>
      <w:pBdr>
        <w:top w:val="single" w:sz="48" w:space="1" w:color="auto"/>
        <w:bottom w:val="single" w:sz="6" w:space="1" w:color="auto"/>
      </w:pBdr>
      <w:spacing w:before="1440" w:after="7440"/>
      <w:outlineLvl w:val="9"/>
    </w:pPr>
    <w:rPr>
      <w:sz w:val="56"/>
    </w:rPr>
  </w:style>
  <w:style w:type="paragraph" w:styleId="BodyTextIndent">
    <w:name w:val="Body Text Indent"/>
    <w:basedOn w:val="Normal"/>
    <w:rsid w:val="001201E6"/>
    <w:pPr>
      <w:spacing w:after="120"/>
      <w:ind w:left="360"/>
    </w:pPr>
  </w:style>
  <w:style w:type="character" w:styleId="CommentReference">
    <w:name w:val="annotation reference"/>
    <w:basedOn w:val="DefaultParagraphFont"/>
    <w:uiPriority w:val="99"/>
    <w:semiHidden/>
    <w:rsid w:val="00DB4265"/>
    <w:rPr>
      <w:sz w:val="16"/>
      <w:szCs w:val="16"/>
    </w:rPr>
  </w:style>
  <w:style w:type="paragraph" w:styleId="CommentText">
    <w:name w:val="annotation text"/>
    <w:basedOn w:val="Normal"/>
    <w:link w:val="CommentTextChar"/>
    <w:uiPriority w:val="99"/>
    <w:semiHidden/>
    <w:rsid w:val="00DB4265"/>
  </w:style>
  <w:style w:type="paragraph" w:styleId="CommentSubject">
    <w:name w:val="annotation subject"/>
    <w:basedOn w:val="CommentText"/>
    <w:next w:val="CommentText"/>
    <w:semiHidden/>
    <w:rsid w:val="00DB4265"/>
    <w:rPr>
      <w:bCs/>
    </w:rPr>
  </w:style>
  <w:style w:type="paragraph" w:styleId="BalloonText">
    <w:name w:val="Balloon Text"/>
    <w:basedOn w:val="Normal"/>
    <w:semiHidden/>
    <w:rsid w:val="00DB4265"/>
    <w:rPr>
      <w:rFonts w:ascii="Tahoma" w:hAnsi="Tahoma" w:cs="Tahoma"/>
      <w:sz w:val="16"/>
      <w:szCs w:val="16"/>
    </w:rPr>
  </w:style>
  <w:style w:type="character" w:styleId="LineNumber">
    <w:name w:val="line number"/>
    <w:basedOn w:val="PageNumber"/>
    <w:rsid w:val="002463C4"/>
    <w:rPr>
      <w:rFonts w:ascii="Arial" w:hAnsi="Arial"/>
      <w:sz w:val="24"/>
    </w:rPr>
  </w:style>
  <w:style w:type="paragraph" w:customStyle="1" w:styleId="HeadingMain">
    <w:name w:val="Heading Main"/>
    <w:basedOn w:val="Heading1"/>
    <w:rsid w:val="009F5846"/>
    <w:pPr>
      <w:numPr>
        <w:numId w:val="0"/>
      </w:numPr>
    </w:pPr>
    <w:rPr>
      <w:caps/>
      <w:sz w:val="32"/>
      <w:szCs w:val="32"/>
    </w:rPr>
  </w:style>
  <w:style w:type="paragraph" w:customStyle="1" w:styleId="sr-A">
    <w:name w:val="sr-(A)"/>
    <w:basedOn w:val="Normal"/>
    <w:rsid w:val="00EF0996"/>
    <w:pPr>
      <w:tabs>
        <w:tab w:val="left" w:pos="1710"/>
      </w:tabs>
      <w:ind w:left="1710" w:hanging="450"/>
      <w:jc w:val="both"/>
    </w:pPr>
  </w:style>
  <w:style w:type="paragraph" w:styleId="ListBullet">
    <w:name w:val="List Bullet"/>
    <w:basedOn w:val="Normal"/>
    <w:autoRedefine/>
    <w:qFormat/>
    <w:rsid w:val="00C30FC1"/>
    <w:pPr>
      <w:tabs>
        <w:tab w:val="left" w:pos="360"/>
      </w:tabs>
      <w:spacing w:before="120" w:after="120" w:line="320" w:lineRule="exact"/>
    </w:pPr>
  </w:style>
  <w:style w:type="paragraph" w:customStyle="1" w:styleId="TableCell">
    <w:name w:val="TableCell"/>
    <w:rsid w:val="00CE3860"/>
    <w:pPr>
      <w:spacing w:before="80" w:after="80"/>
    </w:pPr>
    <w:rPr>
      <w:rFonts w:ascii="Arial" w:hAnsi="Arial"/>
      <w:noProof/>
    </w:rPr>
  </w:style>
  <w:style w:type="paragraph" w:customStyle="1" w:styleId="Default">
    <w:name w:val="Default"/>
    <w:rsid w:val="00574AE3"/>
    <w:pPr>
      <w:autoSpaceDE w:val="0"/>
      <w:autoSpaceDN w:val="0"/>
      <w:adjustRightInd w:val="0"/>
    </w:pPr>
    <w:rPr>
      <w:color w:val="000000"/>
      <w:sz w:val="24"/>
      <w:szCs w:val="24"/>
    </w:rPr>
  </w:style>
  <w:style w:type="paragraph" w:customStyle="1" w:styleId="Title2">
    <w:name w:val="Title2"/>
    <w:basedOn w:val="Title"/>
    <w:rsid w:val="00BF3A5E"/>
    <w:pPr>
      <w:spacing w:before="240" w:line="240" w:lineRule="auto"/>
      <w:jc w:val="left"/>
    </w:pPr>
    <w:rPr>
      <w:sz w:val="26"/>
      <w:szCs w:val="28"/>
    </w:rPr>
  </w:style>
  <w:style w:type="paragraph" w:customStyle="1" w:styleId="TableLabel">
    <w:name w:val="TableLabel"/>
    <w:rsid w:val="00047AE5"/>
    <w:pPr>
      <w:spacing w:before="120" w:after="120"/>
    </w:pPr>
    <w:rPr>
      <w:rFonts w:ascii="Arial" w:hAnsi="Arial"/>
      <w:b/>
      <w:noProof/>
    </w:rPr>
  </w:style>
  <w:style w:type="paragraph" w:styleId="TOC2">
    <w:name w:val="toc 2"/>
    <w:basedOn w:val="Normal"/>
    <w:next w:val="Normal"/>
    <w:autoRedefine/>
    <w:uiPriority w:val="39"/>
    <w:qFormat/>
    <w:rsid w:val="003A04F7"/>
    <w:pPr>
      <w:tabs>
        <w:tab w:val="left" w:pos="720"/>
        <w:tab w:val="right" w:leader="dot" w:pos="9638"/>
      </w:tabs>
      <w:ind w:left="200"/>
    </w:pPr>
    <w:rPr>
      <w:rFonts w:ascii="Calibri" w:hAnsi="Calibri"/>
      <w:smallCaps/>
    </w:rPr>
  </w:style>
  <w:style w:type="paragraph" w:customStyle="1" w:styleId="StyleHeading2Before18ptAfter12pt">
    <w:name w:val="Style Heading 2 + Before:  18 pt After:  12 pt"/>
    <w:basedOn w:val="Heading2"/>
    <w:rsid w:val="006A6C4C"/>
    <w:rPr>
      <w:bCs/>
      <w:iCs/>
    </w:rPr>
  </w:style>
  <w:style w:type="paragraph" w:customStyle="1" w:styleId="CM2">
    <w:name w:val="CM2"/>
    <w:basedOn w:val="Normal"/>
    <w:next w:val="Normal"/>
    <w:rsid w:val="001D5413"/>
    <w:pPr>
      <w:autoSpaceDE w:val="0"/>
      <w:autoSpaceDN w:val="0"/>
      <w:adjustRightInd w:val="0"/>
      <w:spacing w:after="353"/>
    </w:pPr>
    <w:rPr>
      <w:rFonts w:ascii="Arial" w:hAnsi="Arial"/>
    </w:rPr>
  </w:style>
  <w:style w:type="character" w:customStyle="1" w:styleId="Heading1Char">
    <w:name w:val="Heading 1 Char"/>
    <w:basedOn w:val="DefaultParagraphFont"/>
    <w:link w:val="Heading1"/>
    <w:rsid w:val="001D3177"/>
    <w:rPr>
      <w:rFonts w:ascii="Arial" w:hAnsi="Arial"/>
      <w:b/>
      <w:spacing w:val="20"/>
      <w:sz w:val="28"/>
      <w:szCs w:val="24"/>
    </w:rPr>
  </w:style>
  <w:style w:type="paragraph" w:styleId="NormalWeb">
    <w:name w:val="Normal (Web)"/>
    <w:basedOn w:val="Normal"/>
    <w:rsid w:val="00440A17"/>
    <w:pPr>
      <w:spacing w:before="100" w:beforeAutospacing="1" w:after="100" w:afterAutospacing="1"/>
    </w:pPr>
  </w:style>
  <w:style w:type="paragraph" w:customStyle="1" w:styleId="sr-i">
    <w:name w:val="sr-(i)"/>
    <w:basedOn w:val="Normal"/>
    <w:rsid w:val="00DC1348"/>
    <w:pPr>
      <w:tabs>
        <w:tab w:val="left" w:pos="2250"/>
      </w:tabs>
      <w:spacing w:line="240" w:lineRule="exact"/>
      <w:ind w:left="2250" w:hanging="540"/>
      <w:jc w:val="both"/>
    </w:pPr>
  </w:style>
  <w:style w:type="paragraph" w:customStyle="1" w:styleId="SR1">
    <w:name w:val="SR(1)"/>
    <w:basedOn w:val="Normal"/>
    <w:rsid w:val="00DC1348"/>
    <w:pPr>
      <w:tabs>
        <w:tab w:val="left" w:pos="2495"/>
        <w:tab w:val="left" w:pos="3071"/>
        <w:tab w:val="left" w:pos="3647"/>
        <w:tab w:val="left" w:pos="8910"/>
      </w:tabs>
      <w:ind w:left="1260" w:hanging="540"/>
      <w:jc w:val="both"/>
    </w:pPr>
  </w:style>
  <w:style w:type="paragraph" w:styleId="TOC4">
    <w:name w:val="toc 4"/>
    <w:basedOn w:val="Normal"/>
    <w:next w:val="Normal"/>
    <w:autoRedefine/>
    <w:uiPriority w:val="39"/>
    <w:unhideWhenUsed/>
    <w:rsid w:val="005A5D4F"/>
    <w:pPr>
      <w:ind w:left="600"/>
    </w:pPr>
    <w:rPr>
      <w:rFonts w:ascii="Calibri" w:hAnsi="Calibri"/>
      <w:sz w:val="18"/>
      <w:szCs w:val="18"/>
    </w:rPr>
  </w:style>
  <w:style w:type="paragraph" w:customStyle="1" w:styleId="ListNumbered">
    <w:name w:val="List Numbered"/>
    <w:basedOn w:val="ListNumber"/>
    <w:rsid w:val="000A08AB"/>
    <w:pPr>
      <w:autoSpaceDE w:val="0"/>
      <w:autoSpaceDN w:val="0"/>
      <w:adjustRightInd w:val="0"/>
      <w:spacing w:before="120" w:after="120"/>
      <w:ind w:left="720"/>
      <w:contextualSpacing w:val="0"/>
    </w:pPr>
    <w:rPr>
      <w:szCs w:val="22"/>
    </w:rPr>
  </w:style>
  <w:style w:type="paragraph" w:customStyle="1" w:styleId="ListLetter">
    <w:name w:val="List Letter"/>
    <w:basedOn w:val="ListNumber5"/>
    <w:rsid w:val="000A08AB"/>
    <w:pPr>
      <w:numPr>
        <w:numId w:val="6"/>
      </w:numPr>
    </w:pPr>
    <w:rPr>
      <w:sz w:val="22"/>
    </w:rPr>
  </w:style>
  <w:style w:type="paragraph" w:styleId="ListNumber">
    <w:name w:val="List Number"/>
    <w:basedOn w:val="Normal"/>
    <w:uiPriority w:val="99"/>
    <w:unhideWhenUsed/>
    <w:rsid w:val="00B1473D"/>
    <w:pPr>
      <w:numPr>
        <w:numId w:val="2"/>
      </w:numPr>
      <w:contextualSpacing/>
    </w:pPr>
  </w:style>
  <w:style w:type="paragraph" w:styleId="TOC3">
    <w:name w:val="toc 3"/>
    <w:basedOn w:val="Normal"/>
    <w:next w:val="Normal"/>
    <w:autoRedefine/>
    <w:uiPriority w:val="39"/>
    <w:unhideWhenUsed/>
    <w:qFormat/>
    <w:rsid w:val="009367CC"/>
    <w:pPr>
      <w:ind w:left="400"/>
    </w:pPr>
    <w:rPr>
      <w:rFonts w:ascii="Calibri" w:hAnsi="Calibri"/>
      <w:i/>
      <w:iCs/>
    </w:rPr>
  </w:style>
  <w:style w:type="paragraph" w:styleId="ListNumber5">
    <w:name w:val="List Number 5"/>
    <w:basedOn w:val="Normal"/>
    <w:uiPriority w:val="99"/>
    <w:semiHidden/>
    <w:unhideWhenUsed/>
    <w:rsid w:val="00B1473D"/>
    <w:pPr>
      <w:numPr>
        <w:numId w:val="3"/>
      </w:numPr>
      <w:contextualSpacing/>
    </w:pPr>
  </w:style>
  <w:style w:type="paragraph" w:styleId="TOCHeading">
    <w:name w:val="TOC Heading"/>
    <w:basedOn w:val="Heading1"/>
    <w:next w:val="Normal"/>
    <w:uiPriority w:val="39"/>
    <w:qFormat/>
    <w:rsid w:val="009F5846"/>
    <w:pPr>
      <w:keepLines/>
      <w:numPr>
        <w:numId w:val="0"/>
      </w:numPr>
      <w:spacing w:before="480" w:after="0" w:line="276" w:lineRule="auto"/>
      <w:outlineLvl w:val="9"/>
    </w:pPr>
    <w:rPr>
      <w:rFonts w:ascii="Cambria" w:hAnsi="Cambria"/>
      <w:bCs/>
      <w:color w:val="365F91"/>
      <w:szCs w:val="28"/>
    </w:rPr>
  </w:style>
  <w:style w:type="paragraph" w:styleId="TOC5">
    <w:name w:val="toc 5"/>
    <w:basedOn w:val="Normal"/>
    <w:next w:val="Normal"/>
    <w:autoRedefine/>
    <w:uiPriority w:val="39"/>
    <w:unhideWhenUsed/>
    <w:rsid w:val="005A5D4F"/>
    <w:pPr>
      <w:ind w:left="800"/>
    </w:pPr>
    <w:rPr>
      <w:rFonts w:ascii="Calibri" w:hAnsi="Calibri"/>
      <w:sz w:val="18"/>
      <w:szCs w:val="18"/>
    </w:rPr>
  </w:style>
  <w:style w:type="paragraph" w:styleId="TOC6">
    <w:name w:val="toc 6"/>
    <w:basedOn w:val="Normal"/>
    <w:next w:val="Normal"/>
    <w:autoRedefine/>
    <w:uiPriority w:val="39"/>
    <w:unhideWhenUsed/>
    <w:rsid w:val="005A5D4F"/>
    <w:pPr>
      <w:ind w:left="1000"/>
    </w:pPr>
    <w:rPr>
      <w:rFonts w:ascii="Calibri" w:hAnsi="Calibri"/>
      <w:sz w:val="18"/>
      <w:szCs w:val="18"/>
    </w:rPr>
  </w:style>
  <w:style w:type="paragraph" w:styleId="TOC7">
    <w:name w:val="toc 7"/>
    <w:basedOn w:val="Normal"/>
    <w:next w:val="Normal"/>
    <w:autoRedefine/>
    <w:uiPriority w:val="39"/>
    <w:unhideWhenUsed/>
    <w:rsid w:val="005A5D4F"/>
    <w:pPr>
      <w:ind w:left="1200"/>
    </w:pPr>
    <w:rPr>
      <w:rFonts w:ascii="Calibri" w:hAnsi="Calibri"/>
      <w:sz w:val="18"/>
      <w:szCs w:val="18"/>
    </w:rPr>
  </w:style>
  <w:style w:type="paragraph" w:styleId="TOC8">
    <w:name w:val="toc 8"/>
    <w:basedOn w:val="Normal"/>
    <w:next w:val="Normal"/>
    <w:autoRedefine/>
    <w:uiPriority w:val="39"/>
    <w:unhideWhenUsed/>
    <w:rsid w:val="005A5D4F"/>
    <w:pPr>
      <w:ind w:left="1400"/>
    </w:pPr>
    <w:rPr>
      <w:rFonts w:ascii="Calibri" w:hAnsi="Calibri"/>
      <w:sz w:val="18"/>
      <w:szCs w:val="18"/>
    </w:rPr>
  </w:style>
  <w:style w:type="paragraph" w:styleId="TOC9">
    <w:name w:val="toc 9"/>
    <w:basedOn w:val="Normal"/>
    <w:next w:val="Normal"/>
    <w:autoRedefine/>
    <w:uiPriority w:val="39"/>
    <w:unhideWhenUsed/>
    <w:rsid w:val="005A5D4F"/>
    <w:pPr>
      <w:ind w:left="1600"/>
    </w:pPr>
    <w:rPr>
      <w:rFonts w:ascii="Calibri" w:hAnsi="Calibri"/>
      <w:sz w:val="18"/>
      <w:szCs w:val="18"/>
    </w:rPr>
  </w:style>
  <w:style w:type="paragraph" w:styleId="Revision">
    <w:name w:val="Revision"/>
    <w:hidden/>
    <w:uiPriority w:val="99"/>
    <w:semiHidden/>
    <w:rsid w:val="00C80A21"/>
  </w:style>
  <w:style w:type="paragraph" w:styleId="ListParagraph">
    <w:name w:val="List Paragraph"/>
    <w:basedOn w:val="BodyText"/>
    <w:uiPriority w:val="34"/>
    <w:qFormat/>
    <w:rsid w:val="006A02E8"/>
    <w:pPr>
      <w:spacing w:after="240" w:line="240" w:lineRule="exact"/>
      <w:ind w:left="360" w:right="360"/>
    </w:pPr>
    <w:rPr>
      <w:rFonts w:eastAsia="Calibri" w:cs="Calibri"/>
      <w:szCs w:val="22"/>
    </w:rPr>
  </w:style>
  <w:style w:type="paragraph" w:styleId="NoSpacing">
    <w:name w:val="No Spacing"/>
    <w:uiPriority w:val="1"/>
    <w:qFormat/>
    <w:rsid w:val="00766F6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2822C5"/>
    <w:rPr>
      <w:b/>
      <w:sz w:val="24"/>
      <w:szCs w:val="24"/>
    </w:rPr>
  </w:style>
  <w:style w:type="character" w:customStyle="1" w:styleId="FootnoteTextChar">
    <w:name w:val="Footnote Text Char"/>
    <w:basedOn w:val="DefaultParagraphFont"/>
    <w:link w:val="FootnoteText"/>
    <w:rsid w:val="00E96E56"/>
    <w:rPr>
      <w:szCs w:val="24"/>
    </w:rPr>
  </w:style>
  <w:style w:type="paragraph" w:customStyle="1" w:styleId="BodyTextFirstIndent15">
    <w:name w:val="Body Text First Indent 1.5"/>
    <w:basedOn w:val="Normal"/>
    <w:rsid w:val="0020026A"/>
    <w:pPr>
      <w:spacing w:line="360" w:lineRule="auto"/>
      <w:ind w:firstLine="720"/>
      <w:jc w:val="both"/>
    </w:pPr>
    <w:rPr>
      <w:b w:val="0"/>
    </w:rPr>
  </w:style>
  <w:style w:type="paragraph" w:styleId="BlockText">
    <w:name w:val="Block Text"/>
    <w:basedOn w:val="Normal"/>
    <w:unhideWhenUsed/>
    <w:rsid w:val="0020026A"/>
    <w:pPr>
      <w:spacing w:after="120"/>
      <w:ind w:left="720" w:right="720"/>
      <w:jc w:val="both"/>
    </w:pPr>
    <w:rPr>
      <w:b w:val="0"/>
    </w:rPr>
  </w:style>
  <w:style w:type="paragraph" w:customStyle="1" w:styleId="BulletText">
    <w:name w:val="Bullet Text"/>
    <w:basedOn w:val="BodyText"/>
    <w:semiHidden/>
    <w:rsid w:val="00C03B53"/>
    <w:pPr>
      <w:numPr>
        <w:numId w:val="8"/>
      </w:numPr>
      <w:spacing w:before="0" w:after="160" w:line="240" w:lineRule="auto"/>
    </w:pPr>
    <w:rPr>
      <w:rFonts w:ascii="Franklin Gothic Book" w:hAnsi="Franklin Gothic Book"/>
      <w:b w:val="0"/>
    </w:rPr>
  </w:style>
  <w:style w:type="character" w:customStyle="1" w:styleId="BodyTextChar">
    <w:name w:val="Body Text Char"/>
    <w:basedOn w:val="DefaultParagraphFont"/>
    <w:link w:val="BodyText"/>
    <w:rsid w:val="00382BEC"/>
    <w:rPr>
      <w:rFonts w:ascii="Arial" w:hAnsi="Arial"/>
      <w:b/>
      <w:sz w:val="22"/>
      <w:szCs w:val="24"/>
    </w:rPr>
  </w:style>
  <w:style w:type="character" w:customStyle="1" w:styleId="FooterChar">
    <w:name w:val="Footer Char"/>
    <w:basedOn w:val="DefaultParagraphFont"/>
    <w:link w:val="Footer"/>
    <w:uiPriority w:val="99"/>
    <w:rsid w:val="00236074"/>
    <w:rPr>
      <w:b/>
      <w:sz w:val="24"/>
      <w:szCs w:val="24"/>
    </w:rPr>
  </w:style>
  <w:style w:type="character" w:styleId="FollowedHyperlink">
    <w:name w:val="FollowedHyperlink"/>
    <w:basedOn w:val="DefaultParagraphFont"/>
    <w:uiPriority w:val="99"/>
    <w:semiHidden/>
    <w:unhideWhenUsed/>
    <w:rsid w:val="00404D65"/>
    <w:rPr>
      <w:color w:val="800080" w:themeColor="followedHyperlink"/>
      <w:u w:val="single"/>
    </w:rPr>
  </w:style>
  <w:style w:type="character" w:customStyle="1" w:styleId="Heading2Char">
    <w:name w:val="Heading 2 Char"/>
    <w:basedOn w:val="DefaultParagraphFont"/>
    <w:link w:val="Heading2"/>
    <w:rsid w:val="008B73B8"/>
    <w:rPr>
      <w:rFonts w:ascii="Arial" w:hAnsi="Arial"/>
      <w:b/>
      <w:i/>
      <w:spacing w:val="20"/>
      <w:sz w:val="26"/>
      <w:szCs w:val="24"/>
    </w:rPr>
  </w:style>
  <w:style w:type="paragraph" w:styleId="EndnoteText">
    <w:name w:val="endnote text"/>
    <w:basedOn w:val="Normal"/>
    <w:link w:val="EndnoteTextChar"/>
    <w:uiPriority w:val="99"/>
    <w:semiHidden/>
    <w:unhideWhenUsed/>
    <w:rsid w:val="00815677"/>
    <w:rPr>
      <w:sz w:val="20"/>
      <w:szCs w:val="20"/>
    </w:rPr>
  </w:style>
  <w:style w:type="character" w:customStyle="1" w:styleId="EndnoteTextChar">
    <w:name w:val="Endnote Text Char"/>
    <w:basedOn w:val="DefaultParagraphFont"/>
    <w:link w:val="EndnoteText"/>
    <w:uiPriority w:val="99"/>
    <w:semiHidden/>
    <w:rsid w:val="00815677"/>
    <w:rPr>
      <w:b/>
    </w:rPr>
  </w:style>
  <w:style w:type="character" w:styleId="EndnoteReference">
    <w:name w:val="endnote reference"/>
    <w:basedOn w:val="DefaultParagraphFont"/>
    <w:uiPriority w:val="99"/>
    <w:semiHidden/>
    <w:unhideWhenUsed/>
    <w:rsid w:val="00815677"/>
    <w:rPr>
      <w:vertAlign w:val="superscript"/>
    </w:rPr>
  </w:style>
  <w:style w:type="paragraph" w:customStyle="1" w:styleId="BulletList">
    <w:name w:val="BulletList"/>
    <w:basedOn w:val="Normal"/>
    <w:rsid w:val="009725FD"/>
    <w:pPr>
      <w:autoSpaceDE w:val="0"/>
      <w:autoSpaceDN w:val="0"/>
      <w:spacing w:after="120" w:line="360" w:lineRule="auto"/>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938">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24332065">
      <w:bodyDiv w:val="1"/>
      <w:marLeft w:val="0"/>
      <w:marRight w:val="0"/>
      <w:marTop w:val="0"/>
      <w:marBottom w:val="0"/>
      <w:divBdr>
        <w:top w:val="none" w:sz="0" w:space="0" w:color="auto"/>
        <w:left w:val="none" w:sz="0" w:space="0" w:color="auto"/>
        <w:bottom w:val="none" w:sz="0" w:space="0" w:color="auto"/>
        <w:right w:val="none" w:sz="0" w:space="0" w:color="auto"/>
      </w:divBdr>
    </w:div>
    <w:div w:id="24870880">
      <w:bodyDiv w:val="1"/>
      <w:marLeft w:val="0"/>
      <w:marRight w:val="0"/>
      <w:marTop w:val="0"/>
      <w:marBottom w:val="0"/>
      <w:divBdr>
        <w:top w:val="none" w:sz="0" w:space="0" w:color="auto"/>
        <w:left w:val="none" w:sz="0" w:space="0" w:color="auto"/>
        <w:bottom w:val="none" w:sz="0" w:space="0" w:color="auto"/>
        <w:right w:val="none" w:sz="0" w:space="0" w:color="auto"/>
      </w:divBdr>
    </w:div>
    <w:div w:id="31852152">
      <w:bodyDiv w:val="1"/>
      <w:marLeft w:val="0"/>
      <w:marRight w:val="0"/>
      <w:marTop w:val="0"/>
      <w:marBottom w:val="0"/>
      <w:divBdr>
        <w:top w:val="none" w:sz="0" w:space="0" w:color="auto"/>
        <w:left w:val="none" w:sz="0" w:space="0" w:color="auto"/>
        <w:bottom w:val="none" w:sz="0" w:space="0" w:color="auto"/>
        <w:right w:val="none" w:sz="0" w:space="0" w:color="auto"/>
      </w:divBdr>
    </w:div>
    <w:div w:id="57100011">
      <w:bodyDiv w:val="1"/>
      <w:marLeft w:val="0"/>
      <w:marRight w:val="0"/>
      <w:marTop w:val="0"/>
      <w:marBottom w:val="0"/>
      <w:divBdr>
        <w:top w:val="none" w:sz="0" w:space="0" w:color="auto"/>
        <w:left w:val="none" w:sz="0" w:space="0" w:color="auto"/>
        <w:bottom w:val="none" w:sz="0" w:space="0" w:color="auto"/>
        <w:right w:val="none" w:sz="0" w:space="0" w:color="auto"/>
      </w:divBdr>
    </w:div>
    <w:div w:id="57947947">
      <w:bodyDiv w:val="1"/>
      <w:marLeft w:val="0"/>
      <w:marRight w:val="0"/>
      <w:marTop w:val="0"/>
      <w:marBottom w:val="0"/>
      <w:divBdr>
        <w:top w:val="none" w:sz="0" w:space="0" w:color="auto"/>
        <w:left w:val="none" w:sz="0" w:space="0" w:color="auto"/>
        <w:bottom w:val="none" w:sz="0" w:space="0" w:color="auto"/>
        <w:right w:val="none" w:sz="0" w:space="0" w:color="auto"/>
      </w:divBdr>
    </w:div>
    <w:div w:id="62027512">
      <w:bodyDiv w:val="1"/>
      <w:marLeft w:val="0"/>
      <w:marRight w:val="0"/>
      <w:marTop w:val="0"/>
      <w:marBottom w:val="0"/>
      <w:divBdr>
        <w:top w:val="none" w:sz="0" w:space="0" w:color="auto"/>
        <w:left w:val="none" w:sz="0" w:space="0" w:color="auto"/>
        <w:bottom w:val="none" w:sz="0" w:space="0" w:color="auto"/>
        <w:right w:val="none" w:sz="0" w:space="0" w:color="auto"/>
      </w:divBdr>
    </w:div>
    <w:div w:id="62917249">
      <w:bodyDiv w:val="1"/>
      <w:marLeft w:val="0"/>
      <w:marRight w:val="0"/>
      <w:marTop w:val="0"/>
      <w:marBottom w:val="0"/>
      <w:divBdr>
        <w:top w:val="none" w:sz="0" w:space="0" w:color="auto"/>
        <w:left w:val="none" w:sz="0" w:space="0" w:color="auto"/>
        <w:bottom w:val="none" w:sz="0" w:space="0" w:color="auto"/>
        <w:right w:val="none" w:sz="0" w:space="0" w:color="auto"/>
      </w:divBdr>
    </w:div>
    <w:div w:id="93481995">
      <w:bodyDiv w:val="1"/>
      <w:marLeft w:val="0"/>
      <w:marRight w:val="0"/>
      <w:marTop w:val="0"/>
      <w:marBottom w:val="0"/>
      <w:divBdr>
        <w:top w:val="none" w:sz="0" w:space="0" w:color="auto"/>
        <w:left w:val="none" w:sz="0" w:space="0" w:color="auto"/>
        <w:bottom w:val="none" w:sz="0" w:space="0" w:color="auto"/>
        <w:right w:val="none" w:sz="0" w:space="0" w:color="auto"/>
      </w:divBdr>
    </w:div>
    <w:div w:id="105273188">
      <w:bodyDiv w:val="1"/>
      <w:marLeft w:val="0"/>
      <w:marRight w:val="0"/>
      <w:marTop w:val="0"/>
      <w:marBottom w:val="0"/>
      <w:divBdr>
        <w:top w:val="none" w:sz="0" w:space="0" w:color="auto"/>
        <w:left w:val="none" w:sz="0" w:space="0" w:color="auto"/>
        <w:bottom w:val="none" w:sz="0" w:space="0" w:color="auto"/>
        <w:right w:val="none" w:sz="0" w:space="0" w:color="auto"/>
      </w:divBdr>
    </w:div>
    <w:div w:id="125046824">
      <w:bodyDiv w:val="1"/>
      <w:marLeft w:val="0"/>
      <w:marRight w:val="0"/>
      <w:marTop w:val="0"/>
      <w:marBottom w:val="0"/>
      <w:divBdr>
        <w:top w:val="none" w:sz="0" w:space="0" w:color="auto"/>
        <w:left w:val="none" w:sz="0" w:space="0" w:color="auto"/>
        <w:bottom w:val="none" w:sz="0" w:space="0" w:color="auto"/>
        <w:right w:val="none" w:sz="0" w:space="0" w:color="auto"/>
      </w:divBdr>
    </w:div>
    <w:div w:id="146871086">
      <w:bodyDiv w:val="1"/>
      <w:marLeft w:val="0"/>
      <w:marRight w:val="0"/>
      <w:marTop w:val="0"/>
      <w:marBottom w:val="0"/>
      <w:divBdr>
        <w:top w:val="none" w:sz="0" w:space="0" w:color="auto"/>
        <w:left w:val="none" w:sz="0" w:space="0" w:color="auto"/>
        <w:bottom w:val="none" w:sz="0" w:space="0" w:color="auto"/>
        <w:right w:val="none" w:sz="0" w:space="0" w:color="auto"/>
      </w:divBdr>
    </w:div>
    <w:div w:id="159809513">
      <w:bodyDiv w:val="1"/>
      <w:marLeft w:val="0"/>
      <w:marRight w:val="0"/>
      <w:marTop w:val="0"/>
      <w:marBottom w:val="0"/>
      <w:divBdr>
        <w:top w:val="none" w:sz="0" w:space="0" w:color="auto"/>
        <w:left w:val="none" w:sz="0" w:space="0" w:color="auto"/>
        <w:bottom w:val="none" w:sz="0" w:space="0" w:color="auto"/>
        <w:right w:val="none" w:sz="0" w:space="0" w:color="auto"/>
      </w:divBdr>
    </w:div>
    <w:div w:id="170340005">
      <w:bodyDiv w:val="1"/>
      <w:marLeft w:val="0"/>
      <w:marRight w:val="0"/>
      <w:marTop w:val="0"/>
      <w:marBottom w:val="0"/>
      <w:divBdr>
        <w:top w:val="none" w:sz="0" w:space="0" w:color="auto"/>
        <w:left w:val="none" w:sz="0" w:space="0" w:color="auto"/>
        <w:bottom w:val="none" w:sz="0" w:space="0" w:color="auto"/>
        <w:right w:val="none" w:sz="0" w:space="0" w:color="auto"/>
      </w:divBdr>
    </w:div>
    <w:div w:id="188762810">
      <w:bodyDiv w:val="1"/>
      <w:marLeft w:val="0"/>
      <w:marRight w:val="0"/>
      <w:marTop w:val="0"/>
      <w:marBottom w:val="0"/>
      <w:divBdr>
        <w:top w:val="none" w:sz="0" w:space="0" w:color="auto"/>
        <w:left w:val="none" w:sz="0" w:space="0" w:color="auto"/>
        <w:bottom w:val="none" w:sz="0" w:space="0" w:color="auto"/>
        <w:right w:val="none" w:sz="0" w:space="0" w:color="auto"/>
      </w:divBdr>
    </w:div>
    <w:div w:id="206919445">
      <w:bodyDiv w:val="1"/>
      <w:marLeft w:val="0"/>
      <w:marRight w:val="0"/>
      <w:marTop w:val="0"/>
      <w:marBottom w:val="0"/>
      <w:divBdr>
        <w:top w:val="none" w:sz="0" w:space="0" w:color="auto"/>
        <w:left w:val="none" w:sz="0" w:space="0" w:color="auto"/>
        <w:bottom w:val="none" w:sz="0" w:space="0" w:color="auto"/>
        <w:right w:val="none" w:sz="0" w:space="0" w:color="auto"/>
      </w:divBdr>
    </w:div>
    <w:div w:id="209534539">
      <w:bodyDiv w:val="1"/>
      <w:marLeft w:val="0"/>
      <w:marRight w:val="0"/>
      <w:marTop w:val="0"/>
      <w:marBottom w:val="0"/>
      <w:divBdr>
        <w:top w:val="none" w:sz="0" w:space="0" w:color="auto"/>
        <w:left w:val="none" w:sz="0" w:space="0" w:color="auto"/>
        <w:bottom w:val="none" w:sz="0" w:space="0" w:color="auto"/>
        <w:right w:val="none" w:sz="0" w:space="0" w:color="auto"/>
      </w:divBdr>
    </w:div>
    <w:div w:id="210843893">
      <w:bodyDiv w:val="1"/>
      <w:marLeft w:val="0"/>
      <w:marRight w:val="0"/>
      <w:marTop w:val="0"/>
      <w:marBottom w:val="0"/>
      <w:divBdr>
        <w:top w:val="none" w:sz="0" w:space="0" w:color="auto"/>
        <w:left w:val="none" w:sz="0" w:space="0" w:color="auto"/>
        <w:bottom w:val="none" w:sz="0" w:space="0" w:color="auto"/>
        <w:right w:val="none" w:sz="0" w:space="0" w:color="auto"/>
      </w:divBdr>
    </w:div>
    <w:div w:id="215362603">
      <w:bodyDiv w:val="1"/>
      <w:marLeft w:val="0"/>
      <w:marRight w:val="0"/>
      <w:marTop w:val="0"/>
      <w:marBottom w:val="0"/>
      <w:divBdr>
        <w:top w:val="none" w:sz="0" w:space="0" w:color="auto"/>
        <w:left w:val="none" w:sz="0" w:space="0" w:color="auto"/>
        <w:bottom w:val="none" w:sz="0" w:space="0" w:color="auto"/>
        <w:right w:val="none" w:sz="0" w:space="0" w:color="auto"/>
      </w:divBdr>
    </w:div>
    <w:div w:id="219220380">
      <w:bodyDiv w:val="1"/>
      <w:marLeft w:val="0"/>
      <w:marRight w:val="0"/>
      <w:marTop w:val="0"/>
      <w:marBottom w:val="0"/>
      <w:divBdr>
        <w:top w:val="none" w:sz="0" w:space="0" w:color="auto"/>
        <w:left w:val="none" w:sz="0" w:space="0" w:color="auto"/>
        <w:bottom w:val="none" w:sz="0" w:space="0" w:color="auto"/>
        <w:right w:val="none" w:sz="0" w:space="0" w:color="auto"/>
      </w:divBdr>
    </w:div>
    <w:div w:id="240332410">
      <w:bodyDiv w:val="1"/>
      <w:marLeft w:val="0"/>
      <w:marRight w:val="0"/>
      <w:marTop w:val="0"/>
      <w:marBottom w:val="0"/>
      <w:divBdr>
        <w:top w:val="none" w:sz="0" w:space="0" w:color="auto"/>
        <w:left w:val="none" w:sz="0" w:space="0" w:color="auto"/>
        <w:bottom w:val="none" w:sz="0" w:space="0" w:color="auto"/>
        <w:right w:val="none" w:sz="0" w:space="0" w:color="auto"/>
      </w:divBdr>
    </w:div>
    <w:div w:id="241529891">
      <w:bodyDiv w:val="1"/>
      <w:marLeft w:val="0"/>
      <w:marRight w:val="0"/>
      <w:marTop w:val="0"/>
      <w:marBottom w:val="0"/>
      <w:divBdr>
        <w:top w:val="none" w:sz="0" w:space="0" w:color="auto"/>
        <w:left w:val="none" w:sz="0" w:space="0" w:color="auto"/>
        <w:bottom w:val="none" w:sz="0" w:space="0" w:color="auto"/>
        <w:right w:val="none" w:sz="0" w:space="0" w:color="auto"/>
      </w:divBdr>
    </w:div>
    <w:div w:id="294912551">
      <w:bodyDiv w:val="1"/>
      <w:marLeft w:val="0"/>
      <w:marRight w:val="0"/>
      <w:marTop w:val="0"/>
      <w:marBottom w:val="0"/>
      <w:divBdr>
        <w:top w:val="none" w:sz="0" w:space="0" w:color="auto"/>
        <w:left w:val="none" w:sz="0" w:space="0" w:color="auto"/>
        <w:bottom w:val="none" w:sz="0" w:space="0" w:color="auto"/>
        <w:right w:val="none" w:sz="0" w:space="0" w:color="auto"/>
      </w:divBdr>
    </w:div>
    <w:div w:id="308483586">
      <w:bodyDiv w:val="1"/>
      <w:marLeft w:val="0"/>
      <w:marRight w:val="0"/>
      <w:marTop w:val="0"/>
      <w:marBottom w:val="0"/>
      <w:divBdr>
        <w:top w:val="none" w:sz="0" w:space="0" w:color="auto"/>
        <w:left w:val="none" w:sz="0" w:space="0" w:color="auto"/>
        <w:bottom w:val="none" w:sz="0" w:space="0" w:color="auto"/>
        <w:right w:val="none" w:sz="0" w:space="0" w:color="auto"/>
      </w:divBdr>
    </w:div>
    <w:div w:id="309604146">
      <w:bodyDiv w:val="1"/>
      <w:marLeft w:val="0"/>
      <w:marRight w:val="0"/>
      <w:marTop w:val="0"/>
      <w:marBottom w:val="0"/>
      <w:divBdr>
        <w:top w:val="none" w:sz="0" w:space="0" w:color="auto"/>
        <w:left w:val="none" w:sz="0" w:space="0" w:color="auto"/>
        <w:bottom w:val="none" w:sz="0" w:space="0" w:color="auto"/>
        <w:right w:val="none" w:sz="0" w:space="0" w:color="auto"/>
      </w:divBdr>
    </w:div>
    <w:div w:id="313485370">
      <w:bodyDiv w:val="1"/>
      <w:marLeft w:val="0"/>
      <w:marRight w:val="0"/>
      <w:marTop w:val="0"/>
      <w:marBottom w:val="0"/>
      <w:divBdr>
        <w:top w:val="none" w:sz="0" w:space="0" w:color="auto"/>
        <w:left w:val="none" w:sz="0" w:space="0" w:color="auto"/>
        <w:bottom w:val="none" w:sz="0" w:space="0" w:color="auto"/>
        <w:right w:val="none" w:sz="0" w:space="0" w:color="auto"/>
      </w:divBdr>
    </w:div>
    <w:div w:id="324671385">
      <w:bodyDiv w:val="1"/>
      <w:marLeft w:val="0"/>
      <w:marRight w:val="0"/>
      <w:marTop w:val="0"/>
      <w:marBottom w:val="0"/>
      <w:divBdr>
        <w:top w:val="none" w:sz="0" w:space="0" w:color="auto"/>
        <w:left w:val="none" w:sz="0" w:space="0" w:color="auto"/>
        <w:bottom w:val="none" w:sz="0" w:space="0" w:color="auto"/>
        <w:right w:val="none" w:sz="0" w:space="0" w:color="auto"/>
      </w:divBdr>
    </w:div>
    <w:div w:id="333262208">
      <w:bodyDiv w:val="1"/>
      <w:marLeft w:val="0"/>
      <w:marRight w:val="0"/>
      <w:marTop w:val="0"/>
      <w:marBottom w:val="0"/>
      <w:divBdr>
        <w:top w:val="none" w:sz="0" w:space="0" w:color="auto"/>
        <w:left w:val="none" w:sz="0" w:space="0" w:color="auto"/>
        <w:bottom w:val="none" w:sz="0" w:space="0" w:color="auto"/>
        <w:right w:val="none" w:sz="0" w:space="0" w:color="auto"/>
      </w:divBdr>
    </w:div>
    <w:div w:id="340351583">
      <w:bodyDiv w:val="1"/>
      <w:marLeft w:val="0"/>
      <w:marRight w:val="0"/>
      <w:marTop w:val="0"/>
      <w:marBottom w:val="0"/>
      <w:divBdr>
        <w:top w:val="none" w:sz="0" w:space="0" w:color="auto"/>
        <w:left w:val="none" w:sz="0" w:space="0" w:color="auto"/>
        <w:bottom w:val="none" w:sz="0" w:space="0" w:color="auto"/>
        <w:right w:val="none" w:sz="0" w:space="0" w:color="auto"/>
      </w:divBdr>
    </w:div>
    <w:div w:id="348721668">
      <w:bodyDiv w:val="1"/>
      <w:marLeft w:val="0"/>
      <w:marRight w:val="0"/>
      <w:marTop w:val="0"/>
      <w:marBottom w:val="0"/>
      <w:divBdr>
        <w:top w:val="none" w:sz="0" w:space="0" w:color="auto"/>
        <w:left w:val="none" w:sz="0" w:space="0" w:color="auto"/>
        <w:bottom w:val="none" w:sz="0" w:space="0" w:color="auto"/>
        <w:right w:val="none" w:sz="0" w:space="0" w:color="auto"/>
      </w:divBdr>
    </w:div>
    <w:div w:id="356465335">
      <w:bodyDiv w:val="1"/>
      <w:marLeft w:val="0"/>
      <w:marRight w:val="0"/>
      <w:marTop w:val="0"/>
      <w:marBottom w:val="0"/>
      <w:divBdr>
        <w:top w:val="none" w:sz="0" w:space="0" w:color="auto"/>
        <w:left w:val="none" w:sz="0" w:space="0" w:color="auto"/>
        <w:bottom w:val="none" w:sz="0" w:space="0" w:color="auto"/>
        <w:right w:val="none" w:sz="0" w:space="0" w:color="auto"/>
      </w:divBdr>
    </w:div>
    <w:div w:id="361135138">
      <w:bodyDiv w:val="1"/>
      <w:marLeft w:val="0"/>
      <w:marRight w:val="0"/>
      <w:marTop w:val="0"/>
      <w:marBottom w:val="0"/>
      <w:divBdr>
        <w:top w:val="none" w:sz="0" w:space="0" w:color="auto"/>
        <w:left w:val="none" w:sz="0" w:space="0" w:color="auto"/>
        <w:bottom w:val="none" w:sz="0" w:space="0" w:color="auto"/>
        <w:right w:val="none" w:sz="0" w:space="0" w:color="auto"/>
      </w:divBdr>
    </w:div>
    <w:div w:id="373189394">
      <w:bodyDiv w:val="1"/>
      <w:marLeft w:val="0"/>
      <w:marRight w:val="0"/>
      <w:marTop w:val="0"/>
      <w:marBottom w:val="0"/>
      <w:divBdr>
        <w:top w:val="none" w:sz="0" w:space="0" w:color="auto"/>
        <w:left w:val="none" w:sz="0" w:space="0" w:color="auto"/>
        <w:bottom w:val="none" w:sz="0" w:space="0" w:color="auto"/>
        <w:right w:val="none" w:sz="0" w:space="0" w:color="auto"/>
      </w:divBdr>
    </w:div>
    <w:div w:id="405104193">
      <w:bodyDiv w:val="1"/>
      <w:marLeft w:val="0"/>
      <w:marRight w:val="0"/>
      <w:marTop w:val="0"/>
      <w:marBottom w:val="0"/>
      <w:divBdr>
        <w:top w:val="none" w:sz="0" w:space="0" w:color="auto"/>
        <w:left w:val="none" w:sz="0" w:space="0" w:color="auto"/>
        <w:bottom w:val="none" w:sz="0" w:space="0" w:color="auto"/>
        <w:right w:val="none" w:sz="0" w:space="0" w:color="auto"/>
      </w:divBdr>
    </w:div>
    <w:div w:id="406541294">
      <w:bodyDiv w:val="1"/>
      <w:marLeft w:val="0"/>
      <w:marRight w:val="0"/>
      <w:marTop w:val="0"/>
      <w:marBottom w:val="0"/>
      <w:divBdr>
        <w:top w:val="none" w:sz="0" w:space="0" w:color="auto"/>
        <w:left w:val="none" w:sz="0" w:space="0" w:color="auto"/>
        <w:bottom w:val="none" w:sz="0" w:space="0" w:color="auto"/>
        <w:right w:val="none" w:sz="0" w:space="0" w:color="auto"/>
      </w:divBdr>
    </w:div>
    <w:div w:id="426923216">
      <w:bodyDiv w:val="1"/>
      <w:marLeft w:val="0"/>
      <w:marRight w:val="0"/>
      <w:marTop w:val="0"/>
      <w:marBottom w:val="0"/>
      <w:divBdr>
        <w:top w:val="none" w:sz="0" w:space="0" w:color="auto"/>
        <w:left w:val="none" w:sz="0" w:space="0" w:color="auto"/>
        <w:bottom w:val="none" w:sz="0" w:space="0" w:color="auto"/>
        <w:right w:val="none" w:sz="0" w:space="0" w:color="auto"/>
      </w:divBdr>
    </w:div>
    <w:div w:id="434519444">
      <w:bodyDiv w:val="1"/>
      <w:marLeft w:val="0"/>
      <w:marRight w:val="0"/>
      <w:marTop w:val="0"/>
      <w:marBottom w:val="0"/>
      <w:divBdr>
        <w:top w:val="none" w:sz="0" w:space="0" w:color="auto"/>
        <w:left w:val="none" w:sz="0" w:space="0" w:color="auto"/>
        <w:bottom w:val="none" w:sz="0" w:space="0" w:color="auto"/>
        <w:right w:val="none" w:sz="0" w:space="0" w:color="auto"/>
      </w:divBdr>
    </w:div>
    <w:div w:id="440804647">
      <w:bodyDiv w:val="1"/>
      <w:marLeft w:val="0"/>
      <w:marRight w:val="0"/>
      <w:marTop w:val="0"/>
      <w:marBottom w:val="0"/>
      <w:divBdr>
        <w:top w:val="none" w:sz="0" w:space="0" w:color="auto"/>
        <w:left w:val="none" w:sz="0" w:space="0" w:color="auto"/>
        <w:bottom w:val="none" w:sz="0" w:space="0" w:color="auto"/>
        <w:right w:val="none" w:sz="0" w:space="0" w:color="auto"/>
      </w:divBdr>
    </w:div>
    <w:div w:id="441799770">
      <w:bodyDiv w:val="1"/>
      <w:marLeft w:val="0"/>
      <w:marRight w:val="0"/>
      <w:marTop w:val="0"/>
      <w:marBottom w:val="0"/>
      <w:divBdr>
        <w:top w:val="none" w:sz="0" w:space="0" w:color="auto"/>
        <w:left w:val="none" w:sz="0" w:space="0" w:color="auto"/>
        <w:bottom w:val="none" w:sz="0" w:space="0" w:color="auto"/>
        <w:right w:val="none" w:sz="0" w:space="0" w:color="auto"/>
      </w:divBdr>
    </w:div>
    <w:div w:id="446967456">
      <w:bodyDiv w:val="1"/>
      <w:marLeft w:val="0"/>
      <w:marRight w:val="0"/>
      <w:marTop w:val="0"/>
      <w:marBottom w:val="0"/>
      <w:divBdr>
        <w:top w:val="none" w:sz="0" w:space="0" w:color="auto"/>
        <w:left w:val="none" w:sz="0" w:space="0" w:color="auto"/>
        <w:bottom w:val="none" w:sz="0" w:space="0" w:color="auto"/>
        <w:right w:val="none" w:sz="0" w:space="0" w:color="auto"/>
      </w:divBdr>
    </w:div>
    <w:div w:id="469714880">
      <w:bodyDiv w:val="1"/>
      <w:marLeft w:val="0"/>
      <w:marRight w:val="0"/>
      <w:marTop w:val="0"/>
      <w:marBottom w:val="0"/>
      <w:divBdr>
        <w:top w:val="none" w:sz="0" w:space="0" w:color="auto"/>
        <w:left w:val="none" w:sz="0" w:space="0" w:color="auto"/>
        <w:bottom w:val="none" w:sz="0" w:space="0" w:color="auto"/>
        <w:right w:val="none" w:sz="0" w:space="0" w:color="auto"/>
      </w:divBdr>
    </w:div>
    <w:div w:id="479275565">
      <w:bodyDiv w:val="1"/>
      <w:marLeft w:val="0"/>
      <w:marRight w:val="0"/>
      <w:marTop w:val="0"/>
      <w:marBottom w:val="0"/>
      <w:divBdr>
        <w:top w:val="none" w:sz="0" w:space="0" w:color="auto"/>
        <w:left w:val="none" w:sz="0" w:space="0" w:color="auto"/>
        <w:bottom w:val="none" w:sz="0" w:space="0" w:color="auto"/>
        <w:right w:val="none" w:sz="0" w:space="0" w:color="auto"/>
      </w:divBdr>
    </w:div>
    <w:div w:id="484470473">
      <w:bodyDiv w:val="1"/>
      <w:marLeft w:val="0"/>
      <w:marRight w:val="0"/>
      <w:marTop w:val="0"/>
      <w:marBottom w:val="0"/>
      <w:divBdr>
        <w:top w:val="none" w:sz="0" w:space="0" w:color="auto"/>
        <w:left w:val="none" w:sz="0" w:space="0" w:color="auto"/>
        <w:bottom w:val="none" w:sz="0" w:space="0" w:color="auto"/>
        <w:right w:val="none" w:sz="0" w:space="0" w:color="auto"/>
      </w:divBdr>
    </w:div>
    <w:div w:id="486017112">
      <w:bodyDiv w:val="1"/>
      <w:marLeft w:val="0"/>
      <w:marRight w:val="0"/>
      <w:marTop w:val="0"/>
      <w:marBottom w:val="0"/>
      <w:divBdr>
        <w:top w:val="none" w:sz="0" w:space="0" w:color="auto"/>
        <w:left w:val="none" w:sz="0" w:space="0" w:color="auto"/>
        <w:bottom w:val="none" w:sz="0" w:space="0" w:color="auto"/>
        <w:right w:val="none" w:sz="0" w:space="0" w:color="auto"/>
      </w:divBdr>
    </w:div>
    <w:div w:id="502669291">
      <w:bodyDiv w:val="1"/>
      <w:marLeft w:val="0"/>
      <w:marRight w:val="0"/>
      <w:marTop w:val="0"/>
      <w:marBottom w:val="0"/>
      <w:divBdr>
        <w:top w:val="none" w:sz="0" w:space="0" w:color="auto"/>
        <w:left w:val="none" w:sz="0" w:space="0" w:color="auto"/>
        <w:bottom w:val="none" w:sz="0" w:space="0" w:color="auto"/>
        <w:right w:val="none" w:sz="0" w:space="0" w:color="auto"/>
      </w:divBdr>
    </w:div>
    <w:div w:id="504983349">
      <w:bodyDiv w:val="1"/>
      <w:marLeft w:val="0"/>
      <w:marRight w:val="0"/>
      <w:marTop w:val="0"/>
      <w:marBottom w:val="0"/>
      <w:divBdr>
        <w:top w:val="none" w:sz="0" w:space="0" w:color="auto"/>
        <w:left w:val="none" w:sz="0" w:space="0" w:color="auto"/>
        <w:bottom w:val="none" w:sz="0" w:space="0" w:color="auto"/>
        <w:right w:val="none" w:sz="0" w:space="0" w:color="auto"/>
      </w:divBdr>
    </w:div>
    <w:div w:id="513612408">
      <w:bodyDiv w:val="1"/>
      <w:marLeft w:val="0"/>
      <w:marRight w:val="0"/>
      <w:marTop w:val="0"/>
      <w:marBottom w:val="0"/>
      <w:divBdr>
        <w:top w:val="none" w:sz="0" w:space="0" w:color="auto"/>
        <w:left w:val="none" w:sz="0" w:space="0" w:color="auto"/>
        <w:bottom w:val="none" w:sz="0" w:space="0" w:color="auto"/>
        <w:right w:val="none" w:sz="0" w:space="0" w:color="auto"/>
      </w:divBdr>
    </w:div>
    <w:div w:id="522983089">
      <w:bodyDiv w:val="1"/>
      <w:marLeft w:val="0"/>
      <w:marRight w:val="0"/>
      <w:marTop w:val="0"/>
      <w:marBottom w:val="0"/>
      <w:divBdr>
        <w:top w:val="none" w:sz="0" w:space="0" w:color="auto"/>
        <w:left w:val="none" w:sz="0" w:space="0" w:color="auto"/>
        <w:bottom w:val="none" w:sz="0" w:space="0" w:color="auto"/>
        <w:right w:val="none" w:sz="0" w:space="0" w:color="auto"/>
      </w:divBdr>
    </w:div>
    <w:div w:id="540361023">
      <w:bodyDiv w:val="1"/>
      <w:marLeft w:val="0"/>
      <w:marRight w:val="0"/>
      <w:marTop w:val="0"/>
      <w:marBottom w:val="0"/>
      <w:divBdr>
        <w:top w:val="none" w:sz="0" w:space="0" w:color="auto"/>
        <w:left w:val="none" w:sz="0" w:space="0" w:color="auto"/>
        <w:bottom w:val="none" w:sz="0" w:space="0" w:color="auto"/>
        <w:right w:val="none" w:sz="0" w:space="0" w:color="auto"/>
      </w:divBdr>
    </w:div>
    <w:div w:id="540363905">
      <w:bodyDiv w:val="1"/>
      <w:marLeft w:val="0"/>
      <w:marRight w:val="0"/>
      <w:marTop w:val="0"/>
      <w:marBottom w:val="0"/>
      <w:divBdr>
        <w:top w:val="none" w:sz="0" w:space="0" w:color="auto"/>
        <w:left w:val="none" w:sz="0" w:space="0" w:color="auto"/>
        <w:bottom w:val="none" w:sz="0" w:space="0" w:color="auto"/>
        <w:right w:val="none" w:sz="0" w:space="0" w:color="auto"/>
      </w:divBdr>
    </w:div>
    <w:div w:id="552349092">
      <w:bodyDiv w:val="1"/>
      <w:marLeft w:val="0"/>
      <w:marRight w:val="0"/>
      <w:marTop w:val="0"/>
      <w:marBottom w:val="0"/>
      <w:divBdr>
        <w:top w:val="none" w:sz="0" w:space="0" w:color="auto"/>
        <w:left w:val="none" w:sz="0" w:space="0" w:color="auto"/>
        <w:bottom w:val="none" w:sz="0" w:space="0" w:color="auto"/>
        <w:right w:val="none" w:sz="0" w:space="0" w:color="auto"/>
      </w:divBdr>
    </w:div>
    <w:div w:id="611209507">
      <w:bodyDiv w:val="1"/>
      <w:marLeft w:val="0"/>
      <w:marRight w:val="0"/>
      <w:marTop w:val="0"/>
      <w:marBottom w:val="0"/>
      <w:divBdr>
        <w:top w:val="none" w:sz="0" w:space="0" w:color="auto"/>
        <w:left w:val="none" w:sz="0" w:space="0" w:color="auto"/>
        <w:bottom w:val="none" w:sz="0" w:space="0" w:color="auto"/>
        <w:right w:val="none" w:sz="0" w:space="0" w:color="auto"/>
      </w:divBdr>
    </w:div>
    <w:div w:id="622612831">
      <w:bodyDiv w:val="1"/>
      <w:marLeft w:val="0"/>
      <w:marRight w:val="0"/>
      <w:marTop w:val="0"/>
      <w:marBottom w:val="0"/>
      <w:divBdr>
        <w:top w:val="none" w:sz="0" w:space="0" w:color="auto"/>
        <w:left w:val="none" w:sz="0" w:space="0" w:color="auto"/>
        <w:bottom w:val="none" w:sz="0" w:space="0" w:color="auto"/>
        <w:right w:val="none" w:sz="0" w:space="0" w:color="auto"/>
      </w:divBdr>
    </w:div>
    <w:div w:id="623198141">
      <w:bodyDiv w:val="1"/>
      <w:marLeft w:val="0"/>
      <w:marRight w:val="0"/>
      <w:marTop w:val="0"/>
      <w:marBottom w:val="0"/>
      <w:divBdr>
        <w:top w:val="none" w:sz="0" w:space="0" w:color="auto"/>
        <w:left w:val="none" w:sz="0" w:space="0" w:color="auto"/>
        <w:bottom w:val="none" w:sz="0" w:space="0" w:color="auto"/>
        <w:right w:val="none" w:sz="0" w:space="0" w:color="auto"/>
      </w:divBdr>
    </w:div>
    <w:div w:id="632714810">
      <w:bodyDiv w:val="1"/>
      <w:marLeft w:val="0"/>
      <w:marRight w:val="0"/>
      <w:marTop w:val="0"/>
      <w:marBottom w:val="0"/>
      <w:divBdr>
        <w:top w:val="none" w:sz="0" w:space="0" w:color="auto"/>
        <w:left w:val="none" w:sz="0" w:space="0" w:color="auto"/>
        <w:bottom w:val="none" w:sz="0" w:space="0" w:color="auto"/>
        <w:right w:val="none" w:sz="0" w:space="0" w:color="auto"/>
      </w:divBdr>
    </w:div>
    <w:div w:id="634138973">
      <w:bodyDiv w:val="1"/>
      <w:marLeft w:val="0"/>
      <w:marRight w:val="0"/>
      <w:marTop w:val="0"/>
      <w:marBottom w:val="0"/>
      <w:divBdr>
        <w:top w:val="none" w:sz="0" w:space="0" w:color="auto"/>
        <w:left w:val="none" w:sz="0" w:space="0" w:color="auto"/>
        <w:bottom w:val="none" w:sz="0" w:space="0" w:color="auto"/>
        <w:right w:val="none" w:sz="0" w:space="0" w:color="auto"/>
      </w:divBdr>
    </w:div>
    <w:div w:id="637416937">
      <w:bodyDiv w:val="1"/>
      <w:marLeft w:val="0"/>
      <w:marRight w:val="0"/>
      <w:marTop w:val="0"/>
      <w:marBottom w:val="0"/>
      <w:divBdr>
        <w:top w:val="none" w:sz="0" w:space="0" w:color="auto"/>
        <w:left w:val="none" w:sz="0" w:space="0" w:color="auto"/>
        <w:bottom w:val="none" w:sz="0" w:space="0" w:color="auto"/>
        <w:right w:val="none" w:sz="0" w:space="0" w:color="auto"/>
      </w:divBdr>
    </w:div>
    <w:div w:id="639462461">
      <w:bodyDiv w:val="1"/>
      <w:marLeft w:val="0"/>
      <w:marRight w:val="0"/>
      <w:marTop w:val="0"/>
      <w:marBottom w:val="0"/>
      <w:divBdr>
        <w:top w:val="none" w:sz="0" w:space="0" w:color="auto"/>
        <w:left w:val="none" w:sz="0" w:space="0" w:color="auto"/>
        <w:bottom w:val="none" w:sz="0" w:space="0" w:color="auto"/>
        <w:right w:val="none" w:sz="0" w:space="0" w:color="auto"/>
      </w:divBdr>
    </w:div>
    <w:div w:id="660735477">
      <w:bodyDiv w:val="1"/>
      <w:marLeft w:val="0"/>
      <w:marRight w:val="0"/>
      <w:marTop w:val="0"/>
      <w:marBottom w:val="0"/>
      <w:divBdr>
        <w:top w:val="none" w:sz="0" w:space="0" w:color="auto"/>
        <w:left w:val="none" w:sz="0" w:space="0" w:color="auto"/>
        <w:bottom w:val="none" w:sz="0" w:space="0" w:color="auto"/>
        <w:right w:val="none" w:sz="0" w:space="0" w:color="auto"/>
      </w:divBdr>
    </w:div>
    <w:div w:id="709377148">
      <w:bodyDiv w:val="1"/>
      <w:marLeft w:val="0"/>
      <w:marRight w:val="0"/>
      <w:marTop w:val="0"/>
      <w:marBottom w:val="0"/>
      <w:divBdr>
        <w:top w:val="none" w:sz="0" w:space="0" w:color="auto"/>
        <w:left w:val="none" w:sz="0" w:space="0" w:color="auto"/>
        <w:bottom w:val="none" w:sz="0" w:space="0" w:color="auto"/>
        <w:right w:val="none" w:sz="0" w:space="0" w:color="auto"/>
      </w:divBdr>
    </w:div>
    <w:div w:id="739448550">
      <w:bodyDiv w:val="1"/>
      <w:marLeft w:val="0"/>
      <w:marRight w:val="0"/>
      <w:marTop w:val="0"/>
      <w:marBottom w:val="0"/>
      <w:divBdr>
        <w:top w:val="none" w:sz="0" w:space="0" w:color="auto"/>
        <w:left w:val="none" w:sz="0" w:space="0" w:color="auto"/>
        <w:bottom w:val="none" w:sz="0" w:space="0" w:color="auto"/>
        <w:right w:val="none" w:sz="0" w:space="0" w:color="auto"/>
      </w:divBdr>
    </w:div>
    <w:div w:id="748159307">
      <w:bodyDiv w:val="1"/>
      <w:marLeft w:val="0"/>
      <w:marRight w:val="0"/>
      <w:marTop w:val="0"/>
      <w:marBottom w:val="0"/>
      <w:divBdr>
        <w:top w:val="none" w:sz="0" w:space="0" w:color="auto"/>
        <w:left w:val="none" w:sz="0" w:space="0" w:color="auto"/>
        <w:bottom w:val="none" w:sz="0" w:space="0" w:color="auto"/>
        <w:right w:val="none" w:sz="0" w:space="0" w:color="auto"/>
      </w:divBdr>
    </w:div>
    <w:div w:id="764427310">
      <w:bodyDiv w:val="1"/>
      <w:marLeft w:val="0"/>
      <w:marRight w:val="0"/>
      <w:marTop w:val="0"/>
      <w:marBottom w:val="0"/>
      <w:divBdr>
        <w:top w:val="none" w:sz="0" w:space="0" w:color="auto"/>
        <w:left w:val="none" w:sz="0" w:space="0" w:color="auto"/>
        <w:bottom w:val="none" w:sz="0" w:space="0" w:color="auto"/>
        <w:right w:val="none" w:sz="0" w:space="0" w:color="auto"/>
      </w:divBdr>
    </w:div>
    <w:div w:id="766458711">
      <w:bodyDiv w:val="1"/>
      <w:marLeft w:val="0"/>
      <w:marRight w:val="0"/>
      <w:marTop w:val="0"/>
      <w:marBottom w:val="0"/>
      <w:divBdr>
        <w:top w:val="none" w:sz="0" w:space="0" w:color="auto"/>
        <w:left w:val="none" w:sz="0" w:space="0" w:color="auto"/>
        <w:bottom w:val="none" w:sz="0" w:space="0" w:color="auto"/>
        <w:right w:val="none" w:sz="0" w:space="0" w:color="auto"/>
      </w:divBdr>
    </w:div>
    <w:div w:id="784271296">
      <w:bodyDiv w:val="1"/>
      <w:marLeft w:val="0"/>
      <w:marRight w:val="0"/>
      <w:marTop w:val="0"/>
      <w:marBottom w:val="0"/>
      <w:divBdr>
        <w:top w:val="none" w:sz="0" w:space="0" w:color="auto"/>
        <w:left w:val="none" w:sz="0" w:space="0" w:color="auto"/>
        <w:bottom w:val="none" w:sz="0" w:space="0" w:color="auto"/>
        <w:right w:val="none" w:sz="0" w:space="0" w:color="auto"/>
      </w:divBdr>
    </w:div>
    <w:div w:id="789057320">
      <w:bodyDiv w:val="1"/>
      <w:marLeft w:val="0"/>
      <w:marRight w:val="0"/>
      <w:marTop w:val="0"/>
      <w:marBottom w:val="0"/>
      <w:divBdr>
        <w:top w:val="none" w:sz="0" w:space="0" w:color="auto"/>
        <w:left w:val="none" w:sz="0" w:space="0" w:color="auto"/>
        <w:bottom w:val="none" w:sz="0" w:space="0" w:color="auto"/>
        <w:right w:val="none" w:sz="0" w:space="0" w:color="auto"/>
      </w:divBdr>
    </w:div>
    <w:div w:id="793980175">
      <w:bodyDiv w:val="1"/>
      <w:marLeft w:val="0"/>
      <w:marRight w:val="0"/>
      <w:marTop w:val="0"/>
      <w:marBottom w:val="0"/>
      <w:divBdr>
        <w:top w:val="none" w:sz="0" w:space="0" w:color="auto"/>
        <w:left w:val="none" w:sz="0" w:space="0" w:color="auto"/>
        <w:bottom w:val="none" w:sz="0" w:space="0" w:color="auto"/>
        <w:right w:val="none" w:sz="0" w:space="0" w:color="auto"/>
      </w:divBdr>
    </w:div>
    <w:div w:id="812064310">
      <w:bodyDiv w:val="1"/>
      <w:marLeft w:val="0"/>
      <w:marRight w:val="0"/>
      <w:marTop w:val="0"/>
      <w:marBottom w:val="0"/>
      <w:divBdr>
        <w:top w:val="none" w:sz="0" w:space="0" w:color="auto"/>
        <w:left w:val="none" w:sz="0" w:space="0" w:color="auto"/>
        <w:bottom w:val="none" w:sz="0" w:space="0" w:color="auto"/>
        <w:right w:val="none" w:sz="0" w:space="0" w:color="auto"/>
      </w:divBdr>
    </w:div>
    <w:div w:id="817768254">
      <w:bodyDiv w:val="1"/>
      <w:marLeft w:val="0"/>
      <w:marRight w:val="0"/>
      <w:marTop w:val="0"/>
      <w:marBottom w:val="0"/>
      <w:divBdr>
        <w:top w:val="none" w:sz="0" w:space="0" w:color="auto"/>
        <w:left w:val="none" w:sz="0" w:space="0" w:color="auto"/>
        <w:bottom w:val="none" w:sz="0" w:space="0" w:color="auto"/>
        <w:right w:val="none" w:sz="0" w:space="0" w:color="auto"/>
      </w:divBdr>
    </w:div>
    <w:div w:id="825977891">
      <w:bodyDiv w:val="1"/>
      <w:marLeft w:val="0"/>
      <w:marRight w:val="0"/>
      <w:marTop w:val="0"/>
      <w:marBottom w:val="0"/>
      <w:divBdr>
        <w:top w:val="none" w:sz="0" w:space="0" w:color="auto"/>
        <w:left w:val="none" w:sz="0" w:space="0" w:color="auto"/>
        <w:bottom w:val="none" w:sz="0" w:space="0" w:color="auto"/>
        <w:right w:val="none" w:sz="0" w:space="0" w:color="auto"/>
      </w:divBdr>
    </w:div>
    <w:div w:id="835001632">
      <w:bodyDiv w:val="1"/>
      <w:marLeft w:val="0"/>
      <w:marRight w:val="0"/>
      <w:marTop w:val="0"/>
      <w:marBottom w:val="0"/>
      <w:divBdr>
        <w:top w:val="none" w:sz="0" w:space="0" w:color="auto"/>
        <w:left w:val="none" w:sz="0" w:space="0" w:color="auto"/>
        <w:bottom w:val="none" w:sz="0" w:space="0" w:color="auto"/>
        <w:right w:val="none" w:sz="0" w:space="0" w:color="auto"/>
      </w:divBdr>
    </w:div>
    <w:div w:id="856695237">
      <w:bodyDiv w:val="1"/>
      <w:marLeft w:val="0"/>
      <w:marRight w:val="0"/>
      <w:marTop w:val="0"/>
      <w:marBottom w:val="0"/>
      <w:divBdr>
        <w:top w:val="none" w:sz="0" w:space="0" w:color="auto"/>
        <w:left w:val="none" w:sz="0" w:space="0" w:color="auto"/>
        <w:bottom w:val="none" w:sz="0" w:space="0" w:color="auto"/>
        <w:right w:val="none" w:sz="0" w:space="0" w:color="auto"/>
      </w:divBdr>
    </w:div>
    <w:div w:id="867989218">
      <w:bodyDiv w:val="1"/>
      <w:marLeft w:val="0"/>
      <w:marRight w:val="0"/>
      <w:marTop w:val="0"/>
      <w:marBottom w:val="0"/>
      <w:divBdr>
        <w:top w:val="none" w:sz="0" w:space="0" w:color="auto"/>
        <w:left w:val="none" w:sz="0" w:space="0" w:color="auto"/>
        <w:bottom w:val="none" w:sz="0" w:space="0" w:color="auto"/>
        <w:right w:val="none" w:sz="0" w:space="0" w:color="auto"/>
      </w:divBdr>
    </w:div>
    <w:div w:id="871310713">
      <w:bodyDiv w:val="1"/>
      <w:marLeft w:val="0"/>
      <w:marRight w:val="0"/>
      <w:marTop w:val="0"/>
      <w:marBottom w:val="0"/>
      <w:divBdr>
        <w:top w:val="none" w:sz="0" w:space="0" w:color="auto"/>
        <w:left w:val="none" w:sz="0" w:space="0" w:color="auto"/>
        <w:bottom w:val="none" w:sz="0" w:space="0" w:color="auto"/>
        <w:right w:val="none" w:sz="0" w:space="0" w:color="auto"/>
      </w:divBdr>
    </w:div>
    <w:div w:id="883102218">
      <w:bodyDiv w:val="1"/>
      <w:marLeft w:val="0"/>
      <w:marRight w:val="0"/>
      <w:marTop w:val="0"/>
      <w:marBottom w:val="0"/>
      <w:divBdr>
        <w:top w:val="none" w:sz="0" w:space="0" w:color="auto"/>
        <w:left w:val="none" w:sz="0" w:space="0" w:color="auto"/>
        <w:bottom w:val="none" w:sz="0" w:space="0" w:color="auto"/>
        <w:right w:val="none" w:sz="0" w:space="0" w:color="auto"/>
      </w:divBdr>
    </w:div>
    <w:div w:id="892813830">
      <w:bodyDiv w:val="1"/>
      <w:marLeft w:val="0"/>
      <w:marRight w:val="0"/>
      <w:marTop w:val="0"/>
      <w:marBottom w:val="0"/>
      <w:divBdr>
        <w:top w:val="none" w:sz="0" w:space="0" w:color="auto"/>
        <w:left w:val="none" w:sz="0" w:space="0" w:color="auto"/>
        <w:bottom w:val="none" w:sz="0" w:space="0" w:color="auto"/>
        <w:right w:val="none" w:sz="0" w:space="0" w:color="auto"/>
      </w:divBdr>
    </w:div>
    <w:div w:id="898319735">
      <w:bodyDiv w:val="1"/>
      <w:marLeft w:val="0"/>
      <w:marRight w:val="0"/>
      <w:marTop w:val="0"/>
      <w:marBottom w:val="0"/>
      <w:divBdr>
        <w:top w:val="none" w:sz="0" w:space="0" w:color="auto"/>
        <w:left w:val="none" w:sz="0" w:space="0" w:color="auto"/>
        <w:bottom w:val="none" w:sz="0" w:space="0" w:color="auto"/>
        <w:right w:val="none" w:sz="0" w:space="0" w:color="auto"/>
      </w:divBdr>
    </w:div>
    <w:div w:id="915700458">
      <w:bodyDiv w:val="1"/>
      <w:marLeft w:val="0"/>
      <w:marRight w:val="0"/>
      <w:marTop w:val="0"/>
      <w:marBottom w:val="0"/>
      <w:divBdr>
        <w:top w:val="none" w:sz="0" w:space="0" w:color="auto"/>
        <w:left w:val="none" w:sz="0" w:space="0" w:color="auto"/>
        <w:bottom w:val="none" w:sz="0" w:space="0" w:color="auto"/>
        <w:right w:val="none" w:sz="0" w:space="0" w:color="auto"/>
      </w:divBdr>
    </w:div>
    <w:div w:id="925764600">
      <w:bodyDiv w:val="1"/>
      <w:marLeft w:val="0"/>
      <w:marRight w:val="0"/>
      <w:marTop w:val="0"/>
      <w:marBottom w:val="0"/>
      <w:divBdr>
        <w:top w:val="none" w:sz="0" w:space="0" w:color="auto"/>
        <w:left w:val="none" w:sz="0" w:space="0" w:color="auto"/>
        <w:bottom w:val="none" w:sz="0" w:space="0" w:color="auto"/>
        <w:right w:val="none" w:sz="0" w:space="0" w:color="auto"/>
      </w:divBdr>
    </w:div>
    <w:div w:id="950862110">
      <w:bodyDiv w:val="1"/>
      <w:marLeft w:val="0"/>
      <w:marRight w:val="0"/>
      <w:marTop w:val="0"/>
      <w:marBottom w:val="0"/>
      <w:divBdr>
        <w:top w:val="none" w:sz="0" w:space="0" w:color="auto"/>
        <w:left w:val="none" w:sz="0" w:space="0" w:color="auto"/>
        <w:bottom w:val="none" w:sz="0" w:space="0" w:color="auto"/>
        <w:right w:val="none" w:sz="0" w:space="0" w:color="auto"/>
      </w:divBdr>
    </w:div>
    <w:div w:id="958220240">
      <w:bodyDiv w:val="1"/>
      <w:marLeft w:val="0"/>
      <w:marRight w:val="0"/>
      <w:marTop w:val="0"/>
      <w:marBottom w:val="0"/>
      <w:divBdr>
        <w:top w:val="none" w:sz="0" w:space="0" w:color="auto"/>
        <w:left w:val="none" w:sz="0" w:space="0" w:color="auto"/>
        <w:bottom w:val="none" w:sz="0" w:space="0" w:color="auto"/>
        <w:right w:val="none" w:sz="0" w:space="0" w:color="auto"/>
      </w:divBdr>
    </w:div>
    <w:div w:id="972832773">
      <w:bodyDiv w:val="1"/>
      <w:marLeft w:val="0"/>
      <w:marRight w:val="0"/>
      <w:marTop w:val="0"/>
      <w:marBottom w:val="0"/>
      <w:divBdr>
        <w:top w:val="none" w:sz="0" w:space="0" w:color="auto"/>
        <w:left w:val="none" w:sz="0" w:space="0" w:color="auto"/>
        <w:bottom w:val="none" w:sz="0" w:space="0" w:color="auto"/>
        <w:right w:val="none" w:sz="0" w:space="0" w:color="auto"/>
      </w:divBdr>
    </w:div>
    <w:div w:id="975187519">
      <w:bodyDiv w:val="1"/>
      <w:marLeft w:val="0"/>
      <w:marRight w:val="0"/>
      <w:marTop w:val="0"/>
      <w:marBottom w:val="0"/>
      <w:divBdr>
        <w:top w:val="none" w:sz="0" w:space="0" w:color="auto"/>
        <w:left w:val="none" w:sz="0" w:space="0" w:color="auto"/>
        <w:bottom w:val="none" w:sz="0" w:space="0" w:color="auto"/>
        <w:right w:val="none" w:sz="0" w:space="0" w:color="auto"/>
      </w:divBdr>
    </w:div>
    <w:div w:id="976108840">
      <w:bodyDiv w:val="1"/>
      <w:marLeft w:val="0"/>
      <w:marRight w:val="0"/>
      <w:marTop w:val="0"/>
      <w:marBottom w:val="0"/>
      <w:divBdr>
        <w:top w:val="none" w:sz="0" w:space="0" w:color="auto"/>
        <w:left w:val="none" w:sz="0" w:space="0" w:color="auto"/>
        <w:bottom w:val="none" w:sz="0" w:space="0" w:color="auto"/>
        <w:right w:val="none" w:sz="0" w:space="0" w:color="auto"/>
      </w:divBdr>
    </w:div>
    <w:div w:id="977032613">
      <w:bodyDiv w:val="1"/>
      <w:marLeft w:val="0"/>
      <w:marRight w:val="0"/>
      <w:marTop w:val="0"/>
      <w:marBottom w:val="0"/>
      <w:divBdr>
        <w:top w:val="none" w:sz="0" w:space="0" w:color="auto"/>
        <w:left w:val="none" w:sz="0" w:space="0" w:color="auto"/>
        <w:bottom w:val="none" w:sz="0" w:space="0" w:color="auto"/>
        <w:right w:val="none" w:sz="0" w:space="0" w:color="auto"/>
      </w:divBdr>
    </w:div>
    <w:div w:id="983124110">
      <w:bodyDiv w:val="1"/>
      <w:marLeft w:val="0"/>
      <w:marRight w:val="0"/>
      <w:marTop w:val="0"/>
      <w:marBottom w:val="0"/>
      <w:divBdr>
        <w:top w:val="none" w:sz="0" w:space="0" w:color="auto"/>
        <w:left w:val="none" w:sz="0" w:space="0" w:color="auto"/>
        <w:bottom w:val="none" w:sz="0" w:space="0" w:color="auto"/>
        <w:right w:val="none" w:sz="0" w:space="0" w:color="auto"/>
      </w:divBdr>
    </w:div>
    <w:div w:id="995493601">
      <w:bodyDiv w:val="1"/>
      <w:marLeft w:val="0"/>
      <w:marRight w:val="0"/>
      <w:marTop w:val="0"/>
      <w:marBottom w:val="0"/>
      <w:divBdr>
        <w:top w:val="none" w:sz="0" w:space="0" w:color="auto"/>
        <w:left w:val="none" w:sz="0" w:space="0" w:color="auto"/>
        <w:bottom w:val="none" w:sz="0" w:space="0" w:color="auto"/>
        <w:right w:val="none" w:sz="0" w:space="0" w:color="auto"/>
      </w:divBdr>
    </w:div>
    <w:div w:id="1024399774">
      <w:bodyDiv w:val="1"/>
      <w:marLeft w:val="0"/>
      <w:marRight w:val="0"/>
      <w:marTop w:val="0"/>
      <w:marBottom w:val="0"/>
      <w:divBdr>
        <w:top w:val="none" w:sz="0" w:space="0" w:color="auto"/>
        <w:left w:val="none" w:sz="0" w:space="0" w:color="auto"/>
        <w:bottom w:val="none" w:sz="0" w:space="0" w:color="auto"/>
        <w:right w:val="none" w:sz="0" w:space="0" w:color="auto"/>
      </w:divBdr>
    </w:div>
    <w:div w:id="1033772874">
      <w:bodyDiv w:val="1"/>
      <w:marLeft w:val="0"/>
      <w:marRight w:val="0"/>
      <w:marTop w:val="0"/>
      <w:marBottom w:val="0"/>
      <w:divBdr>
        <w:top w:val="none" w:sz="0" w:space="0" w:color="auto"/>
        <w:left w:val="none" w:sz="0" w:space="0" w:color="auto"/>
        <w:bottom w:val="none" w:sz="0" w:space="0" w:color="auto"/>
        <w:right w:val="none" w:sz="0" w:space="0" w:color="auto"/>
      </w:divBdr>
    </w:div>
    <w:div w:id="1055158088">
      <w:bodyDiv w:val="1"/>
      <w:marLeft w:val="0"/>
      <w:marRight w:val="0"/>
      <w:marTop w:val="0"/>
      <w:marBottom w:val="0"/>
      <w:divBdr>
        <w:top w:val="none" w:sz="0" w:space="0" w:color="auto"/>
        <w:left w:val="none" w:sz="0" w:space="0" w:color="auto"/>
        <w:bottom w:val="none" w:sz="0" w:space="0" w:color="auto"/>
        <w:right w:val="none" w:sz="0" w:space="0" w:color="auto"/>
      </w:divBdr>
    </w:div>
    <w:div w:id="1076830022">
      <w:bodyDiv w:val="1"/>
      <w:marLeft w:val="0"/>
      <w:marRight w:val="0"/>
      <w:marTop w:val="0"/>
      <w:marBottom w:val="0"/>
      <w:divBdr>
        <w:top w:val="none" w:sz="0" w:space="0" w:color="auto"/>
        <w:left w:val="none" w:sz="0" w:space="0" w:color="auto"/>
        <w:bottom w:val="none" w:sz="0" w:space="0" w:color="auto"/>
        <w:right w:val="none" w:sz="0" w:space="0" w:color="auto"/>
      </w:divBdr>
    </w:div>
    <w:div w:id="1095201430">
      <w:bodyDiv w:val="1"/>
      <w:marLeft w:val="0"/>
      <w:marRight w:val="0"/>
      <w:marTop w:val="0"/>
      <w:marBottom w:val="0"/>
      <w:divBdr>
        <w:top w:val="none" w:sz="0" w:space="0" w:color="auto"/>
        <w:left w:val="none" w:sz="0" w:space="0" w:color="auto"/>
        <w:bottom w:val="none" w:sz="0" w:space="0" w:color="auto"/>
        <w:right w:val="none" w:sz="0" w:space="0" w:color="auto"/>
      </w:divBdr>
    </w:div>
    <w:div w:id="1117675486">
      <w:bodyDiv w:val="1"/>
      <w:marLeft w:val="0"/>
      <w:marRight w:val="0"/>
      <w:marTop w:val="0"/>
      <w:marBottom w:val="0"/>
      <w:divBdr>
        <w:top w:val="none" w:sz="0" w:space="0" w:color="auto"/>
        <w:left w:val="none" w:sz="0" w:space="0" w:color="auto"/>
        <w:bottom w:val="none" w:sz="0" w:space="0" w:color="auto"/>
        <w:right w:val="none" w:sz="0" w:space="0" w:color="auto"/>
      </w:divBdr>
    </w:div>
    <w:div w:id="1118916360">
      <w:bodyDiv w:val="1"/>
      <w:marLeft w:val="0"/>
      <w:marRight w:val="0"/>
      <w:marTop w:val="0"/>
      <w:marBottom w:val="0"/>
      <w:divBdr>
        <w:top w:val="none" w:sz="0" w:space="0" w:color="auto"/>
        <w:left w:val="none" w:sz="0" w:space="0" w:color="auto"/>
        <w:bottom w:val="none" w:sz="0" w:space="0" w:color="auto"/>
        <w:right w:val="none" w:sz="0" w:space="0" w:color="auto"/>
      </w:divBdr>
    </w:div>
    <w:div w:id="1133988818">
      <w:bodyDiv w:val="1"/>
      <w:marLeft w:val="0"/>
      <w:marRight w:val="0"/>
      <w:marTop w:val="0"/>
      <w:marBottom w:val="0"/>
      <w:divBdr>
        <w:top w:val="none" w:sz="0" w:space="0" w:color="auto"/>
        <w:left w:val="none" w:sz="0" w:space="0" w:color="auto"/>
        <w:bottom w:val="none" w:sz="0" w:space="0" w:color="auto"/>
        <w:right w:val="none" w:sz="0" w:space="0" w:color="auto"/>
      </w:divBdr>
    </w:div>
    <w:div w:id="1140608437">
      <w:bodyDiv w:val="1"/>
      <w:marLeft w:val="0"/>
      <w:marRight w:val="0"/>
      <w:marTop w:val="0"/>
      <w:marBottom w:val="0"/>
      <w:divBdr>
        <w:top w:val="none" w:sz="0" w:space="0" w:color="auto"/>
        <w:left w:val="none" w:sz="0" w:space="0" w:color="auto"/>
        <w:bottom w:val="none" w:sz="0" w:space="0" w:color="auto"/>
        <w:right w:val="none" w:sz="0" w:space="0" w:color="auto"/>
      </w:divBdr>
    </w:div>
    <w:div w:id="1142189329">
      <w:bodyDiv w:val="1"/>
      <w:marLeft w:val="0"/>
      <w:marRight w:val="0"/>
      <w:marTop w:val="0"/>
      <w:marBottom w:val="0"/>
      <w:divBdr>
        <w:top w:val="none" w:sz="0" w:space="0" w:color="auto"/>
        <w:left w:val="none" w:sz="0" w:space="0" w:color="auto"/>
        <w:bottom w:val="none" w:sz="0" w:space="0" w:color="auto"/>
        <w:right w:val="none" w:sz="0" w:space="0" w:color="auto"/>
      </w:divBdr>
    </w:div>
    <w:div w:id="1154642614">
      <w:bodyDiv w:val="1"/>
      <w:marLeft w:val="0"/>
      <w:marRight w:val="0"/>
      <w:marTop w:val="0"/>
      <w:marBottom w:val="0"/>
      <w:divBdr>
        <w:top w:val="none" w:sz="0" w:space="0" w:color="auto"/>
        <w:left w:val="none" w:sz="0" w:space="0" w:color="auto"/>
        <w:bottom w:val="none" w:sz="0" w:space="0" w:color="auto"/>
        <w:right w:val="none" w:sz="0" w:space="0" w:color="auto"/>
      </w:divBdr>
    </w:div>
    <w:div w:id="1180006085">
      <w:bodyDiv w:val="1"/>
      <w:marLeft w:val="0"/>
      <w:marRight w:val="0"/>
      <w:marTop w:val="0"/>
      <w:marBottom w:val="0"/>
      <w:divBdr>
        <w:top w:val="none" w:sz="0" w:space="0" w:color="auto"/>
        <w:left w:val="none" w:sz="0" w:space="0" w:color="auto"/>
        <w:bottom w:val="none" w:sz="0" w:space="0" w:color="auto"/>
        <w:right w:val="none" w:sz="0" w:space="0" w:color="auto"/>
      </w:divBdr>
    </w:div>
    <w:div w:id="1190030804">
      <w:bodyDiv w:val="1"/>
      <w:marLeft w:val="0"/>
      <w:marRight w:val="0"/>
      <w:marTop w:val="0"/>
      <w:marBottom w:val="0"/>
      <w:divBdr>
        <w:top w:val="none" w:sz="0" w:space="0" w:color="auto"/>
        <w:left w:val="none" w:sz="0" w:space="0" w:color="auto"/>
        <w:bottom w:val="none" w:sz="0" w:space="0" w:color="auto"/>
        <w:right w:val="none" w:sz="0" w:space="0" w:color="auto"/>
      </w:divBdr>
    </w:div>
    <w:div w:id="1225410593">
      <w:bodyDiv w:val="1"/>
      <w:marLeft w:val="0"/>
      <w:marRight w:val="0"/>
      <w:marTop w:val="0"/>
      <w:marBottom w:val="0"/>
      <w:divBdr>
        <w:top w:val="none" w:sz="0" w:space="0" w:color="auto"/>
        <w:left w:val="none" w:sz="0" w:space="0" w:color="auto"/>
        <w:bottom w:val="none" w:sz="0" w:space="0" w:color="auto"/>
        <w:right w:val="none" w:sz="0" w:space="0" w:color="auto"/>
      </w:divBdr>
    </w:div>
    <w:div w:id="1241326830">
      <w:bodyDiv w:val="1"/>
      <w:marLeft w:val="0"/>
      <w:marRight w:val="0"/>
      <w:marTop w:val="0"/>
      <w:marBottom w:val="0"/>
      <w:divBdr>
        <w:top w:val="none" w:sz="0" w:space="0" w:color="auto"/>
        <w:left w:val="none" w:sz="0" w:space="0" w:color="auto"/>
        <w:bottom w:val="none" w:sz="0" w:space="0" w:color="auto"/>
        <w:right w:val="none" w:sz="0" w:space="0" w:color="auto"/>
      </w:divBdr>
    </w:div>
    <w:div w:id="1242182055">
      <w:bodyDiv w:val="1"/>
      <w:marLeft w:val="0"/>
      <w:marRight w:val="0"/>
      <w:marTop w:val="0"/>
      <w:marBottom w:val="0"/>
      <w:divBdr>
        <w:top w:val="none" w:sz="0" w:space="0" w:color="auto"/>
        <w:left w:val="none" w:sz="0" w:space="0" w:color="auto"/>
        <w:bottom w:val="none" w:sz="0" w:space="0" w:color="auto"/>
        <w:right w:val="none" w:sz="0" w:space="0" w:color="auto"/>
      </w:divBdr>
    </w:div>
    <w:div w:id="1264730143">
      <w:bodyDiv w:val="1"/>
      <w:marLeft w:val="0"/>
      <w:marRight w:val="0"/>
      <w:marTop w:val="0"/>
      <w:marBottom w:val="0"/>
      <w:divBdr>
        <w:top w:val="none" w:sz="0" w:space="0" w:color="auto"/>
        <w:left w:val="none" w:sz="0" w:space="0" w:color="auto"/>
        <w:bottom w:val="none" w:sz="0" w:space="0" w:color="auto"/>
        <w:right w:val="none" w:sz="0" w:space="0" w:color="auto"/>
      </w:divBdr>
    </w:div>
    <w:div w:id="1277716506">
      <w:bodyDiv w:val="1"/>
      <w:marLeft w:val="0"/>
      <w:marRight w:val="0"/>
      <w:marTop w:val="0"/>
      <w:marBottom w:val="0"/>
      <w:divBdr>
        <w:top w:val="none" w:sz="0" w:space="0" w:color="auto"/>
        <w:left w:val="none" w:sz="0" w:space="0" w:color="auto"/>
        <w:bottom w:val="none" w:sz="0" w:space="0" w:color="auto"/>
        <w:right w:val="none" w:sz="0" w:space="0" w:color="auto"/>
      </w:divBdr>
    </w:div>
    <w:div w:id="1300838816">
      <w:bodyDiv w:val="1"/>
      <w:marLeft w:val="0"/>
      <w:marRight w:val="0"/>
      <w:marTop w:val="0"/>
      <w:marBottom w:val="0"/>
      <w:divBdr>
        <w:top w:val="none" w:sz="0" w:space="0" w:color="auto"/>
        <w:left w:val="none" w:sz="0" w:space="0" w:color="auto"/>
        <w:bottom w:val="none" w:sz="0" w:space="0" w:color="auto"/>
        <w:right w:val="none" w:sz="0" w:space="0" w:color="auto"/>
      </w:divBdr>
    </w:div>
    <w:div w:id="1307469286">
      <w:bodyDiv w:val="1"/>
      <w:marLeft w:val="0"/>
      <w:marRight w:val="0"/>
      <w:marTop w:val="0"/>
      <w:marBottom w:val="0"/>
      <w:divBdr>
        <w:top w:val="none" w:sz="0" w:space="0" w:color="auto"/>
        <w:left w:val="none" w:sz="0" w:space="0" w:color="auto"/>
        <w:bottom w:val="none" w:sz="0" w:space="0" w:color="auto"/>
        <w:right w:val="none" w:sz="0" w:space="0" w:color="auto"/>
      </w:divBdr>
    </w:div>
    <w:div w:id="1321545083">
      <w:bodyDiv w:val="1"/>
      <w:marLeft w:val="0"/>
      <w:marRight w:val="0"/>
      <w:marTop w:val="0"/>
      <w:marBottom w:val="0"/>
      <w:divBdr>
        <w:top w:val="none" w:sz="0" w:space="0" w:color="auto"/>
        <w:left w:val="none" w:sz="0" w:space="0" w:color="auto"/>
        <w:bottom w:val="none" w:sz="0" w:space="0" w:color="auto"/>
        <w:right w:val="none" w:sz="0" w:space="0" w:color="auto"/>
      </w:divBdr>
    </w:div>
    <w:div w:id="1323659619">
      <w:bodyDiv w:val="1"/>
      <w:marLeft w:val="0"/>
      <w:marRight w:val="0"/>
      <w:marTop w:val="0"/>
      <w:marBottom w:val="0"/>
      <w:divBdr>
        <w:top w:val="none" w:sz="0" w:space="0" w:color="auto"/>
        <w:left w:val="none" w:sz="0" w:space="0" w:color="auto"/>
        <w:bottom w:val="none" w:sz="0" w:space="0" w:color="auto"/>
        <w:right w:val="none" w:sz="0" w:space="0" w:color="auto"/>
      </w:divBdr>
    </w:div>
    <w:div w:id="1327242558">
      <w:bodyDiv w:val="1"/>
      <w:marLeft w:val="0"/>
      <w:marRight w:val="0"/>
      <w:marTop w:val="0"/>
      <w:marBottom w:val="0"/>
      <w:divBdr>
        <w:top w:val="none" w:sz="0" w:space="0" w:color="auto"/>
        <w:left w:val="none" w:sz="0" w:space="0" w:color="auto"/>
        <w:bottom w:val="none" w:sz="0" w:space="0" w:color="auto"/>
        <w:right w:val="none" w:sz="0" w:space="0" w:color="auto"/>
      </w:divBdr>
    </w:div>
    <w:div w:id="1336180474">
      <w:bodyDiv w:val="1"/>
      <w:marLeft w:val="0"/>
      <w:marRight w:val="0"/>
      <w:marTop w:val="0"/>
      <w:marBottom w:val="0"/>
      <w:divBdr>
        <w:top w:val="none" w:sz="0" w:space="0" w:color="auto"/>
        <w:left w:val="none" w:sz="0" w:space="0" w:color="auto"/>
        <w:bottom w:val="none" w:sz="0" w:space="0" w:color="auto"/>
        <w:right w:val="none" w:sz="0" w:space="0" w:color="auto"/>
      </w:divBdr>
    </w:div>
    <w:div w:id="1340036013">
      <w:bodyDiv w:val="1"/>
      <w:marLeft w:val="0"/>
      <w:marRight w:val="0"/>
      <w:marTop w:val="0"/>
      <w:marBottom w:val="0"/>
      <w:divBdr>
        <w:top w:val="none" w:sz="0" w:space="0" w:color="auto"/>
        <w:left w:val="none" w:sz="0" w:space="0" w:color="auto"/>
        <w:bottom w:val="none" w:sz="0" w:space="0" w:color="auto"/>
        <w:right w:val="none" w:sz="0" w:space="0" w:color="auto"/>
      </w:divBdr>
    </w:div>
    <w:div w:id="1374884139">
      <w:bodyDiv w:val="1"/>
      <w:marLeft w:val="0"/>
      <w:marRight w:val="0"/>
      <w:marTop w:val="0"/>
      <w:marBottom w:val="0"/>
      <w:divBdr>
        <w:top w:val="none" w:sz="0" w:space="0" w:color="auto"/>
        <w:left w:val="none" w:sz="0" w:space="0" w:color="auto"/>
        <w:bottom w:val="none" w:sz="0" w:space="0" w:color="auto"/>
        <w:right w:val="none" w:sz="0" w:space="0" w:color="auto"/>
      </w:divBdr>
    </w:div>
    <w:div w:id="1429695280">
      <w:bodyDiv w:val="1"/>
      <w:marLeft w:val="0"/>
      <w:marRight w:val="0"/>
      <w:marTop w:val="0"/>
      <w:marBottom w:val="0"/>
      <w:divBdr>
        <w:top w:val="none" w:sz="0" w:space="0" w:color="auto"/>
        <w:left w:val="none" w:sz="0" w:space="0" w:color="auto"/>
        <w:bottom w:val="none" w:sz="0" w:space="0" w:color="auto"/>
        <w:right w:val="none" w:sz="0" w:space="0" w:color="auto"/>
      </w:divBdr>
    </w:div>
    <w:div w:id="1462386386">
      <w:bodyDiv w:val="1"/>
      <w:marLeft w:val="0"/>
      <w:marRight w:val="0"/>
      <w:marTop w:val="0"/>
      <w:marBottom w:val="0"/>
      <w:divBdr>
        <w:top w:val="none" w:sz="0" w:space="0" w:color="auto"/>
        <w:left w:val="none" w:sz="0" w:space="0" w:color="auto"/>
        <w:bottom w:val="none" w:sz="0" w:space="0" w:color="auto"/>
        <w:right w:val="none" w:sz="0" w:space="0" w:color="auto"/>
      </w:divBdr>
    </w:div>
    <w:div w:id="1463157203">
      <w:bodyDiv w:val="1"/>
      <w:marLeft w:val="0"/>
      <w:marRight w:val="0"/>
      <w:marTop w:val="0"/>
      <w:marBottom w:val="0"/>
      <w:divBdr>
        <w:top w:val="none" w:sz="0" w:space="0" w:color="auto"/>
        <w:left w:val="none" w:sz="0" w:space="0" w:color="auto"/>
        <w:bottom w:val="none" w:sz="0" w:space="0" w:color="auto"/>
        <w:right w:val="none" w:sz="0" w:space="0" w:color="auto"/>
      </w:divBdr>
    </w:div>
    <w:div w:id="1470200489">
      <w:bodyDiv w:val="1"/>
      <w:marLeft w:val="0"/>
      <w:marRight w:val="0"/>
      <w:marTop w:val="0"/>
      <w:marBottom w:val="0"/>
      <w:divBdr>
        <w:top w:val="none" w:sz="0" w:space="0" w:color="auto"/>
        <w:left w:val="none" w:sz="0" w:space="0" w:color="auto"/>
        <w:bottom w:val="none" w:sz="0" w:space="0" w:color="auto"/>
        <w:right w:val="none" w:sz="0" w:space="0" w:color="auto"/>
      </w:divBdr>
    </w:div>
    <w:div w:id="1492059025">
      <w:bodyDiv w:val="1"/>
      <w:marLeft w:val="0"/>
      <w:marRight w:val="0"/>
      <w:marTop w:val="0"/>
      <w:marBottom w:val="0"/>
      <w:divBdr>
        <w:top w:val="none" w:sz="0" w:space="0" w:color="auto"/>
        <w:left w:val="none" w:sz="0" w:space="0" w:color="auto"/>
        <w:bottom w:val="none" w:sz="0" w:space="0" w:color="auto"/>
        <w:right w:val="none" w:sz="0" w:space="0" w:color="auto"/>
      </w:divBdr>
    </w:div>
    <w:div w:id="1492329921">
      <w:bodyDiv w:val="1"/>
      <w:marLeft w:val="0"/>
      <w:marRight w:val="0"/>
      <w:marTop w:val="0"/>
      <w:marBottom w:val="0"/>
      <w:divBdr>
        <w:top w:val="none" w:sz="0" w:space="0" w:color="auto"/>
        <w:left w:val="none" w:sz="0" w:space="0" w:color="auto"/>
        <w:bottom w:val="none" w:sz="0" w:space="0" w:color="auto"/>
        <w:right w:val="none" w:sz="0" w:space="0" w:color="auto"/>
      </w:divBdr>
    </w:div>
    <w:div w:id="1495419008">
      <w:bodyDiv w:val="1"/>
      <w:marLeft w:val="0"/>
      <w:marRight w:val="0"/>
      <w:marTop w:val="0"/>
      <w:marBottom w:val="0"/>
      <w:divBdr>
        <w:top w:val="none" w:sz="0" w:space="0" w:color="auto"/>
        <w:left w:val="none" w:sz="0" w:space="0" w:color="auto"/>
        <w:bottom w:val="none" w:sz="0" w:space="0" w:color="auto"/>
        <w:right w:val="none" w:sz="0" w:space="0" w:color="auto"/>
      </w:divBdr>
    </w:div>
    <w:div w:id="1529755617">
      <w:bodyDiv w:val="1"/>
      <w:marLeft w:val="0"/>
      <w:marRight w:val="0"/>
      <w:marTop w:val="0"/>
      <w:marBottom w:val="0"/>
      <w:divBdr>
        <w:top w:val="none" w:sz="0" w:space="0" w:color="auto"/>
        <w:left w:val="none" w:sz="0" w:space="0" w:color="auto"/>
        <w:bottom w:val="none" w:sz="0" w:space="0" w:color="auto"/>
        <w:right w:val="none" w:sz="0" w:space="0" w:color="auto"/>
      </w:divBdr>
    </w:div>
    <w:div w:id="1539665122">
      <w:bodyDiv w:val="1"/>
      <w:marLeft w:val="0"/>
      <w:marRight w:val="0"/>
      <w:marTop w:val="0"/>
      <w:marBottom w:val="0"/>
      <w:divBdr>
        <w:top w:val="none" w:sz="0" w:space="0" w:color="auto"/>
        <w:left w:val="none" w:sz="0" w:space="0" w:color="auto"/>
        <w:bottom w:val="none" w:sz="0" w:space="0" w:color="auto"/>
        <w:right w:val="none" w:sz="0" w:space="0" w:color="auto"/>
      </w:divBdr>
    </w:div>
    <w:div w:id="1545560661">
      <w:bodyDiv w:val="1"/>
      <w:marLeft w:val="0"/>
      <w:marRight w:val="0"/>
      <w:marTop w:val="0"/>
      <w:marBottom w:val="0"/>
      <w:divBdr>
        <w:top w:val="none" w:sz="0" w:space="0" w:color="auto"/>
        <w:left w:val="none" w:sz="0" w:space="0" w:color="auto"/>
        <w:bottom w:val="none" w:sz="0" w:space="0" w:color="auto"/>
        <w:right w:val="none" w:sz="0" w:space="0" w:color="auto"/>
      </w:divBdr>
    </w:div>
    <w:div w:id="1545869062">
      <w:bodyDiv w:val="1"/>
      <w:marLeft w:val="0"/>
      <w:marRight w:val="0"/>
      <w:marTop w:val="0"/>
      <w:marBottom w:val="0"/>
      <w:divBdr>
        <w:top w:val="none" w:sz="0" w:space="0" w:color="auto"/>
        <w:left w:val="none" w:sz="0" w:space="0" w:color="auto"/>
        <w:bottom w:val="none" w:sz="0" w:space="0" w:color="auto"/>
        <w:right w:val="none" w:sz="0" w:space="0" w:color="auto"/>
      </w:divBdr>
    </w:div>
    <w:div w:id="1549149448">
      <w:bodyDiv w:val="1"/>
      <w:marLeft w:val="0"/>
      <w:marRight w:val="0"/>
      <w:marTop w:val="0"/>
      <w:marBottom w:val="0"/>
      <w:divBdr>
        <w:top w:val="none" w:sz="0" w:space="0" w:color="auto"/>
        <w:left w:val="none" w:sz="0" w:space="0" w:color="auto"/>
        <w:bottom w:val="none" w:sz="0" w:space="0" w:color="auto"/>
        <w:right w:val="none" w:sz="0" w:space="0" w:color="auto"/>
      </w:divBdr>
    </w:div>
    <w:div w:id="1557158520">
      <w:bodyDiv w:val="1"/>
      <w:marLeft w:val="0"/>
      <w:marRight w:val="0"/>
      <w:marTop w:val="0"/>
      <w:marBottom w:val="0"/>
      <w:divBdr>
        <w:top w:val="none" w:sz="0" w:space="0" w:color="auto"/>
        <w:left w:val="none" w:sz="0" w:space="0" w:color="auto"/>
        <w:bottom w:val="none" w:sz="0" w:space="0" w:color="auto"/>
        <w:right w:val="none" w:sz="0" w:space="0" w:color="auto"/>
      </w:divBdr>
    </w:div>
    <w:div w:id="1557205285">
      <w:bodyDiv w:val="1"/>
      <w:marLeft w:val="0"/>
      <w:marRight w:val="0"/>
      <w:marTop w:val="0"/>
      <w:marBottom w:val="0"/>
      <w:divBdr>
        <w:top w:val="none" w:sz="0" w:space="0" w:color="auto"/>
        <w:left w:val="none" w:sz="0" w:space="0" w:color="auto"/>
        <w:bottom w:val="none" w:sz="0" w:space="0" w:color="auto"/>
        <w:right w:val="none" w:sz="0" w:space="0" w:color="auto"/>
      </w:divBdr>
    </w:div>
    <w:div w:id="1559706451">
      <w:bodyDiv w:val="1"/>
      <w:marLeft w:val="0"/>
      <w:marRight w:val="0"/>
      <w:marTop w:val="0"/>
      <w:marBottom w:val="0"/>
      <w:divBdr>
        <w:top w:val="none" w:sz="0" w:space="0" w:color="auto"/>
        <w:left w:val="none" w:sz="0" w:space="0" w:color="auto"/>
        <w:bottom w:val="none" w:sz="0" w:space="0" w:color="auto"/>
        <w:right w:val="none" w:sz="0" w:space="0" w:color="auto"/>
      </w:divBdr>
    </w:div>
    <w:div w:id="1590390244">
      <w:bodyDiv w:val="1"/>
      <w:marLeft w:val="0"/>
      <w:marRight w:val="0"/>
      <w:marTop w:val="0"/>
      <w:marBottom w:val="0"/>
      <w:divBdr>
        <w:top w:val="none" w:sz="0" w:space="0" w:color="auto"/>
        <w:left w:val="none" w:sz="0" w:space="0" w:color="auto"/>
        <w:bottom w:val="none" w:sz="0" w:space="0" w:color="auto"/>
        <w:right w:val="none" w:sz="0" w:space="0" w:color="auto"/>
      </w:divBdr>
    </w:div>
    <w:div w:id="1591044319">
      <w:bodyDiv w:val="1"/>
      <w:marLeft w:val="0"/>
      <w:marRight w:val="0"/>
      <w:marTop w:val="0"/>
      <w:marBottom w:val="0"/>
      <w:divBdr>
        <w:top w:val="none" w:sz="0" w:space="0" w:color="auto"/>
        <w:left w:val="none" w:sz="0" w:space="0" w:color="auto"/>
        <w:bottom w:val="none" w:sz="0" w:space="0" w:color="auto"/>
        <w:right w:val="none" w:sz="0" w:space="0" w:color="auto"/>
      </w:divBdr>
    </w:div>
    <w:div w:id="1617367901">
      <w:bodyDiv w:val="1"/>
      <w:marLeft w:val="0"/>
      <w:marRight w:val="0"/>
      <w:marTop w:val="0"/>
      <w:marBottom w:val="0"/>
      <w:divBdr>
        <w:top w:val="none" w:sz="0" w:space="0" w:color="auto"/>
        <w:left w:val="none" w:sz="0" w:space="0" w:color="auto"/>
        <w:bottom w:val="none" w:sz="0" w:space="0" w:color="auto"/>
        <w:right w:val="none" w:sz="0" w:space="0" w:color="auto"/>
      </w:divBdr>
    </w:div>
    <w:div w:id="1634141487">
      <w:bodyDiv w:val="1"/>
      <w:marLeft w:val="0"/>
      <w:marRight w:val="0"/>
      <w:marTop w:val="0"/>
      <w:marBottom w:val="0"/>
      <w:divBdr>
        <w:top w:val="none" w:sz="0" w:space="0" w:color="auto"/>
        <w:left w:val="none" w:sz="0" w:space="0" w:color="auto"/>
        <w:bottom w:val="none" w:sz="0" w:space="0" w:color="auto"/>
        <w:right w:val="none" w:sz="0" w:space="0" w:color="auto"/>
      </w:divBdr>
    </w:div>
    <w:div w:id="1636182873">
      <w:bodyDiv w:val="1"/>
      <w:marLeft w:val="0"/>
      <w:marRight w:val="0"/>
      <w:marTop w:val="0"/>
      <w:marBottom w:val="0"/>
      <w:divBdr>
        <w:top w:val="none" w:sz="0" w:space="0" w:color="auto"/>
        <w:left w:val="none" w:sz="0" w:space="0" w:color="auto"/>
        <w:bottom w:val="none" w:sz="0" w:space="0" w:color="auto"/>
        <w:right w:val="none" w:sz="0" w:space="0" w:color="auto"/>
      </w:divBdr>
    </w:div>
    <w:div w:id="1641038363">
      <w:bodyDiv w:val="1"/>
      <w:marLeft w:val="0"/>
      <w:marRight w:val="0"/>
      <w:marTop w:val="0"/>
      <w:marBottom w:val="0"/>
      <w:divBdr>
        <w:top w:val="none" w:sz="0" w:space="0" w:color="auto"/>
        <w:left w:val="none" w:sz="0" w:space="0" w:color="auto"/>
        <w:bottom w:val="none" w:sz="0" w:space="0" w:color="auto"/>
        <w:right w:val="none" w:sz="0" w:space="0" w:color="auto"/>
      </w:divBdr>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
    <w:div w:id="1657688686">
      <w:bodyDiv w:val="1"/>
      <w:marLeft w:val="0"/>
      <w:marRight w:val="0"/>
      <w:marTop w:val="0"/>
      <w:marBottom w:val="0"/>
      <w:divBdr>
        <w:top w:val="none" w:sz="0" w:space="0" w:color="auto"/>
        <w:left w:val="none" w:sz="0" w:space="0" w:color="auto"/>
        <w:bottom w:val="none" w:sz="0" w:space="0" w:color="auto"/>
        <w:right w:val="none" w:sz="0" w:space="0" w:color="auto"/>
      </w:divBdr>
    </w:div>
    <w:div w:id="1657831210">
      <w:bodyDiv w:val="1"/>
      <w:marLeft w:val="0"/>
      <w:marRight w:val="0"/>
      <w:marTop w:val="0"/>
      <w:marBottom w:val="0"/>
      <w:divBdr>
        <w:top w:val="none" w:sz="0" w:space="0" w:color="auto"/>
        <w:left w:val="none" w:sz="0" w:space="0" w:color="auto"/>
        <w:bottom w:val="none" w:sz="0" w:space="0" w:color="auto"/>
        <w:right w:val="none" w:sz="0" w:space="0" w:color="auto"/>
      </w:divBdr>
    </w:div>
    <w:div w:id="1680964007">
      <w:bodyDiv w:val="1"/>
      <w:marLeft w:val="0"/>
      <w:marRight w:val="0"/>
      <w:marTop w:val="0"/>
      <w:marBottom w:val="0"/>
      <w:divBdr>
        <w:top w:val="none" w:sz="0" w:space="0" w:color="auto"/>
        <w:left w:val="none" w:sz="0" w:space="0" w:color="auto"/>
        <w:bottom w:val="none" w:sz="0" w:space="0" w:color="auto"/>
        <w:right w:val="none" w:sz="0" w:space="0" w:color="auto"/>
      </w:divBdr>
    </w:div>
    <w:div w:id="1712807155">
      <w:bodyDiv w:val="1"/>
      <w:marLeft w:val="0"/>
      <w:marRight w:val="0"/>
      <w:marTop w:val="0"/>
      <w:marBottom w:val="0"/>
      <w:divBdr>
        <w:top w:val="none" w:sz="0" w:space="0" w:color="auto"/>
        <w:left w:val="none" w:sz="0" w:space="0" w:color="auto"/>
        <w:bottom w:val="none" w:sz="0" w:space="0" w:color="auto"/>
        <w:right w:val="none" w:sz="0" w:space="0" w:color="auto"/>
      </w:divBdr>
    </w:div>
    <w:div w:id="1716083637">
      <w:bodyDiv w:val="1"/>
      <w:marLeft w:val="0"/>
      <w:marRight w:val="0"/>
      <w:marTop w:val="0"/>
      <w:marBottom w:val="0"/>
      <w:divBdr>
        <w:top w:val="none" w:sz="0" w:space="0" w:color="auto"/>
        <w:left w:val="none" w:sz="0" w:space="0" w:color="auto"/>
        <w:bottom w:val="none" w:sz="0" w:space="0" w:color="auto"/>
        <w:right w:val="none" w:sz="0" w:space="0" w:color="auto"/>
      </w:divBdr>
    </w:div>
    <w:div w:id="1716418846">
      <w:bodyDiv w:val="1"/>
      <w:marLeft w:val="0"/>
      <w:marRight w:val="0"/>
      <w:marTop w:val="0"/>
      <w:marBottom w:val="0"/>
      <w:divBdr>
        <w:top w:val="none" w:sz="0" w:space="0" w:color="auto"/>
        <w:left w:val="none" w:sz="0" w:space="0" w:color="auto"/>
        <w:bottom w:val="none" w:sz="0" w:space="0" w:color="auto"/>
        <w:right w:val="none" w:sz="0" w:space="0" w:color="auto"/>
      </w:divBdr>
    </w:div>
    <w:div w:id="1721514877">
      <w:bodyDiv w:val="1"/>
      <w:marLeft w:val="0"/>
      <w:marRight w:val="0"/>
      <w:marTop w:val="0"/>
      <w:marBottom w:val="0"/>
      <w:divBdr>
        <w:top w:val="none" w:sz="0" w:space="0" w:color="auto"/>
        <w:left w:val="none" w:sz="0" w:space="0" w:color="auto"/>
        <w:bottom w:val="none" w:sz="0" w:space="0" w:color="auto"/>
        <w:right w:val="none" w:sz="0" w:space="0" w:color="auto"/>
      </w:divBdr>
    </w:div>
    <w:div w:id="1727021985">
      <w:bodyDiv w:val="1"/>
      <w:marLeft w:val="0"/>
      <w:marRight w:val="0"/>
      <w:marTop w:val="0"/>
      <w:marBottom w:val="0"/>
      <w:divBdr>
        <w:top w:val="none" w:sz="0" w:space="0" w:color="auto"/>
        <w:left w:val="none" w:sz="0" w:space="0" w:color="auto"/>
        <w:bottom w:val="none" w:sz="0" w:space="0" w:color="auto"/>
        <w:right w:val="none" w:sz="0" w:space="0" w:color="auto"/>
      </w:divBdr>
    </w:div>
    <w:div w:id="1772622295">
      <w:bodyDiv w:val="1"/>
      <w:marLeft w:val="0"/>
      <w:marRight w:val="0"/>
      <w:marTop w:val="0"/>
      <w:marBottom w:val="0"/>
      <w:divBdr>
        <w:top w:val="none" w:sz="0" w:space="0" w:color="auto"/>
        <w:left w:val="none" w:sz="0" w:space="0" w:color="auto"/>
        <w:bottom w:val="none" w:sz="0" w:space="0" w:color="auto"/>
        <w:right w:val="none" w:sz="0" w:space="0" w:color="auto"/>
      </w:divBdr>
    </w:div>
    <w:div w:id="1798723261">
      <w:bodyDiv w:val="1"/>
      <w:marLeft w:val="0"/>
      <w:marRight w:val="0"/>
      <w:marTop w:val="0"/>
      <w:marBottom w:val="0"/>
      <w:divBdr>
        <w:top w:val="none" w:sz="0" w:space="0" w:color="auto"/>
        <w:left w:val="none" w:sz="0" w:space="0" w:color="auto"/>
        <w:bottom w:val="none" w:sz="0" w:space="0" w:color="auto"/>
        <w:right w:val="none" w:sz="0" w:space="0" w:color="auto"/>
      </w:divBdr>
    </w:div>
    <w:div w:id="1829057075">
      <w:bodyDiv w:val="1"/>
      <w:marLeft w:val="0"/>
      <w:marRight w:val="0"/>
      <w:marTop w:val="0"/>
      <w:marBottom w:val="0"/>
      <w:divBdr>
        <w:top w:val="none" w:sz="0" w:space="0" w:color="auto"/>
        <w:left w:val="none" w:sz="0" w:space="0" w:color="auto"/>
        <w:bottom w:val="none" w:sz="0" w:space="0" w:color="auto"/>
        <w:right w:val="none" w:sz="0" w:space="0" w:color="auto"/>
      </w:divBdr>
    </w:div>
    <w:div w:id="1837186856">
      <w:bodyDiv w:val="1"/>
      <w:marLeft w:val="0"/>
      <w:marRight w:val="0"/>
      <w:marTop w:val="0"/>
      <w:marBottom w:val="0"/>
      <w:divBdr>
        <w:top w:val="none" w:sz="0" w:space="0" w:color="auto"/>
        <w:left w:val="none" w:sz="0" w:space="0" w:color="auto"/>
        <w:bottom w:val="none" w:sz="0" w:space="0" w:color="auto"/>
        <w:right w:val="none" w:sz="0" w:space="0" w:color="auto"/>
      </w:divBdr>
    </w:div>
    <w:div w:id="1864903453">
      <w:bodyDiv w:val="1"/>
      <w:marLeft w:val="0"/>
      <w:marRight w:val="0"/>
      <w:marTop w:val="0"/>
      <w:marBottom w:val="0"/>
      <w:divBdr>
        <w:top w:val="none" w:sz="0" w:space="0" w:color="auto"/>
        <w:left w:val="none" w:sz="0" w:space="0" w:color="auto"/>
        <w:bottom w:val="none" w:sz="0" w:space="0" w:color="auto"/>
        <w:right w:val="none" w:sz="0" w:space="0" w:color="auto"/>
      </w:divBdr>
    </w:div>
    <w:div w:id="1948275325">
      <w:bodyDiv w:val="1"/>
      <w:marLeft w:val="0"/>
      <w:marRight w:val="0"/>
      <w:marTop w:val="0"/>
      <w:marBottom w:val="0"/>
      <w:divBdr>
        <w:top w:val="none" w:sz="0" w:space="0" w:color="auto"/>
        <w:left w:val="none" w:sz="0" w:space="0" w:color="auto"/>
        <w:bottom w:val="none" w:sz="0" w:space="0" w:color="auto"/>
        <w:right w:val="none" w:sz="0" w:space="0" w:color="auto"/>
      </w:divBdr>
    </w:div>
    <w:div w:id="1958872407">
      <w:bodyDiv w:val="1"/>
      <w:marLeft w:val="0"/>
      <w:marRight w:val="0"/>
      <w:marTop w:val="0"/>
      <w:marBottom w:val="0"/>
      <w:divBdr>
        <w:top w:val="none" w:sz="0" w:space="0" w:color="auto"/>
        <w:left w:val="none" w:sz="0" w:space="0" w:color="auto"/>
        <w:bottom w:val="none" w:sz="0" w:space="0" w:color="auto"/>
        <w:right w:val="none" w:sz="0" w:space="0" w:color="auto"/>
      </w:divBdr>
    </w:div>
    <w:div w:id="1961954852">
      <w:bodyDiv w:val="1"/>
      <w:marLeft w:val="0"/>
      <w:marRight w:val="0"/>
      <w:marTop w:val="0"/>
      <w:marBottom w:val="0"/>
      <w:divBdr>
        <w:top w:val="none" w:sz="0" w:space="0" w:color="auto"/>
        <w:left w:val="none" w:sz="0" w:space="0" w:color="auto"/>
        <w:bottom w:val="none" w:sz="0" w:space="0" w:color="auto"/>
        <w:right w:val="none" w:sz="0" w:space="0" w:color="auto"/>
      </w:divBdr>
    </w:div>
    <w:div w:id="1962225391">
      <w:bodyDiv w:val="1"/>
      <w:marLeft w:val="0"/>
      <w:marRight w:val="0"/>
      <w:marTop w:val="0"/>
      <w:marBottom w:val="0"/>
      <w:divBdr>
        <w:top w:val="none" w:sz="0" w:space="0" w:color="auto"/>
        <w:left w:val="none" w:sz="0" w:space="0" w:color="auto"/>
        <w:bottom w:val="none" w:sz="0" w:space="0" w:color="auto"/>
        <w:right w:val="none" w:sz="0" w:space="0" w:color="auto"/>
      </w:divBdr>
    </w:div>
    <w:div w:id="1964268399">
      <w:bodyDiv w:val="1"/>
      <w:marLeft w:val="0"/>
      <w:marRight w:val="0"/>
      <w:marTop w:val="0"/>
      <w:marBottom w:val="0"/>
      <w:divBdr>
        <w:top w:val="none" w:sz="0" w:space="0" w:color="auto"/>
        <w:left w:val="none" w:sz="0" w:space="0" w:color="auto"/>
        <w:bottom w:val="none" w:sz="0" w:space="0" w:color="auto"/>
        <w:right w:val="none" w:sz="0" w:space="0" w:color="auto"/>
      </w:divBdr>
    </w:div>
    <w:div w:id="1977565582">
      <w:bodyDiv w:val="1"/>
      <w:marLeft w:val="0"/>
      <w:marRight w:val="0"/>
      <w:marTop w:val="0"/>
      <w:marBottom w:val="0"/>
      <w:divBdr>
        <w:top w:val="none" w:sz="0" w:space="0" w:color="auto"/>
        <w:left w:val="none" w:sz="0" w:space="0" w:color="auto"/>
        <w:bottom w:val="none" w:sz="0" w:space="0" w:color="auto"/>
        <w:right w:val="none" w:sz="0" w:space="0" w:color="auto"/>
      </w:divBdr>
    </w:div>
    <w:div w:id="1984432932">
      <w:bodyDiv w:val="1"/>
      <w:marLeft w:val="0"/>
      <w:marRight w:val="0"/>
      <w:marTop w:val="0"/>
      <w:marBottom w:val="0"/>
      <w:divBdr>
        <w:top w:val="none" w:sz="0" w:space="0" w:color="auto"/>
        <w:left w:val="none" w:sz="0" w:space="0" w:color="auto"/>
        <w:bottom w:val="none" w:sz="0" w:space="0" w:color="auto"/>
        <w:right w:val="none" w:sz="0" w:space="0" w:color="auto"/>
      </w:divBdr>
    </w:div>
    <w:div w:id="1992710676">
      <w:bodyDiv w:val="1"/>
      <w:marLeft w:val="0"/>
      <w:marRight w:val="0"/>
      <w:marTop w:val="0"/>
      <w:marBottom w:val="0"/>
      <w:divBdr>
        <w:top w:val="none" w:sz="0" w:space="0" w:color="auto"/>
        <w:left w:val="none" w:sz="0" w:space="0" w:color="auto"/>
        <w:bottom w:val="none" w:sz="0" w:space="0" w:color="auto"/>
        <w:right w:val="none" w:sz="0" w:space="0" w:color="auto"/>
      </w:divBdr>
    </w:div>
    <w:div w:id="2000645347">
      <w:bodyDiv w:val="1"/>
      <w:marLeft w:val="0"/>
      <w:marRight w:val="0"/>
      <w:marTop w:val="0"/>
      <w:marBottom w:val="0"/>
      <w:divBdr>
        <w:top w:val="none" w:sz="0" w:space="0" w:color="auto"/>
        <w:left w:val="none" w:sz="0" w:space="0" w:color="auto"/>
        <w:bottom w:val="none" w:sz="0" w:space="0" w:color="auto"/>
        <w:right w:val="none" w:sz="0" w:space="0" w:color="auto"/>
      </w:divBdr>
    </w:div>
    <w:div w:id="2002852741">
      <w:bodyDiv w:val="1"/>
      <w:marLeft w:val="0"/>
      <w:marRight w:val="0"/>
      <w:marTop w:val="0"/>
      <w:marBottom w:val="0"/>
      <w:divBdr>
        <w:top w:val="none" w:sz="0" w:space="0" w:color="auto"/>
        <w:left w:val="none" w:sz="0" w:space="0" w:color="auto"/>
        <w:bottom w:val="none" w:sz="0" w:space="0" w:color="auto"/>
        <w:right w:val="none" w:sz="0" w:space="0" w:color="auto"/>
      </w:divBdr>
    </w:div>
    <w:div w:id="2005816501">
      <w:bodyDiv w:val="1"/>
      <w:marLeft w:val="0"/>
      <w:marRight w:val="0"/>
      <w:marTop w:val="0"/>
      <w:marBottom w:val="0"/>
      <w:divBdr>
        <w:top w:val="none" w:sz="0" w:space="0" w:color="auto"/>
        <w:left w:val="none" w:sz="0" w:space="0" w:color="auto"/>
        <w:bottom w:val="none" w:sz="0" w:space="0" w:color="auto"/>
        <w:right w:val="none" w:sz="0" w:space="0" w:color="auto"/>
      </w:divBdr>
    </w:div>
    <w:div w:id="2010477163">
      <w:bodyDiv w:val="1"/>
      <w:marLeft w:val="0"/>
      <w:marRight w:val="0"/>
      <w:marTop w:val="0"/>
      <w:marBottom w:val="0"/>
      <w:divBdr>
        <w:top w:val="none" w:sz="0" w:space="0" w:color="auto"/>
        <w:left w:val="none" w:sz="0" w:space="0" w:color="auto"/>
        <w:bottom w:val="none" w:sz="0" w:space="0" w:color="auto"/>
        <w:right w:val="none" w:sz="0" w:space="0" w:color="auto"/>
      </w:divBdr>
    </w:div>
    <w:div w:id="2013677781">
      <w:bodyDiv w:val="1"/>
      <w:marLeft w:val="0"/>
      <w:marRight w:val="0"/>
      <w:marTop w:val="0"/>
      <w:marBottom w:val="0"/>
      <w:divBdr>
        <w:top w:val="none" w:sz="0" w:space="0" w:color="auto"/>
        <w:left w:val="none" w:sz="0" w:space="0" w:color="auto"/>
        <w:bottom w:val="none" w:sz="0" w:space="0" w:color="auto"/>
        <w:right w:val="none" w:sz="0" w:space="0" w:color="auto"/>
      </w:divBdr>
    </w:div>
    <w:div w:id="2015525503">
      <w:bodyDiv w:val="1"/>
      <w:marLeft w:val="0"/>
      <w:marRight w:val="0"/>
      <w:marTop w:val="0"/>
      <w:marBottom w:val="0"/>
      <w:divBdr>
        <w:top w:val="none" w:sz="0" w:space="0" w:color="auto"/>
        <w:left w:val="none" w:sz="0" w:space="0" w:color="auto"/>
        <w:bottom w:val="none" w:sz="0" w:space="0" w:color="auto"/>
        <w:right w:val="none" w:sz="0" w:space="0" w:color="auto"/>
      </w:divBdr>
    </w:div>
    <w:div w:id="2017027574">
      <w:bodyDiv w:val="1"/>
      <w:marLeft w:val="0"/>
      <w:marRight w:val="0"/>
      <w:marTop w:val="0"/>
      <w:marBottom w:val="0"/>
      <w:divBdr>
        <w:top w:val="none" w:sz="0" w:space="0" w:color="auto"/>
        <w:left w:val="none" w:sz="0" w:space="0" w:color="auto"/>
        <w:bottom w:val="none" w:sz="0" w:space="0" w:color="auto"/>
        <w:right w:val="none" w:sz="0" w:space="0" w:color="auto"/>
      </w:divBdr>
    </w:div>
    <w:div w:id="2020040403">
      <w:bodyDiv w:val="1"/>
      <w:marLeft w:val="0"/>
      <w:marRight w:val="0"/>
      <w:marTop w:val="0"/>
      <w:marBottom w:val="0"/>
      <w:divBdr>
        <w:top w:val="none" w:sz="0" w:space="0" w:color="auto"/>
        <w:left w:val="none" w:sz="0" w:space="0" w:color="auto"/>
        <w:bottom w:val="none" w:sz="0" w:space="0" w:color="auto"/>
        <w:right w:val="none" w:sz="0" w:space="0" w:color="auto"/>
      </w:divBdr>
    </w:div>
    <w:div w:id="2021740778">
      <w:bodyDiv w:val="1"/>
      <w:marLeft w:val="0"/>
      <w:marRight w:val="0"/>
      <w:marTop w:val="0"/>
      <w:marBottom w:val="0"/>
      <w:divBdr>
        <w:top w:val="none" w:sz="0" w:space="0" w:color="auto"/>
        <w:left w:val="none" w:sz="0" w:space="0" w:color="auto"/>
        <w:bottom w:val="none" w:sz="0" w:space="0" w:color="auto"/>
        <w:right w:val="none" w:sz="0" w:space="0" w:color="auto"/>
      </w:divBdr>
    </w:div>
    <w:div w:id="2024353087">
      <w:bodyDiv w:val="1"/>
      <w:marLeft w:val="0"/>
      <w:marRight w:val="0"/>
      <w:marTop w:val="0"/>
      <w:marBottom w:val="0"/>
      <w:divBdr>
        <w:top w:val="none" w:sz="0" w:space="0" w:color="auto"/>
        <w:left w:val="none" w:sz="0" w:space="0" w:color="auto"/>
        <w:bottom w:val="none" w:sz="0" w:space="0" w:color="auto"/>
        <w:right w:val="none" w:sz="0" w:space="0" w:color="auto"/>
      </w:divBdr>
    </w:div>
    <w:div w:id="2028365363">
      <w:bodyDiv w:val="1"/>
      <w:marLeft w:val="0"/>
      <w:marRight w:val="0"/>
      <w:marTop w:val="0"/>
      <w:marBottom w:val="0"/>
      <w:divBdr>
        <w:top w:val="none" w:sz="0" w:space="0" w:color="auto"/>
        <w:left w:val="none" w:sz="0" w:space="0" w:color="auto"/>
        <w:bottom w:val="none" w:sz="0" w:space="0" w:color="auto"/>
        <w:right w:val="none" w:sz="0" w:space="0" w:color="auto"/>
      </w:divBdr>
    </w:div>
    <w:div w:id="2072728119">
      <w:bodyDiv w:val="1"/>
      <w:marLeft w:val="0"/>
      <w:marRight w:val="0"/>
      <w:marTop w:val="0"/>
      <w:marBottom w:val="0"/>
      <w:divBdr>
        <w:top w:val="none" w:sz="0" w:space="0" w:color="auto"/>
        <w:left w:val="none" w:sz="0" w:space="0" w:color="auto"/>
        <w:bottom w:val="none" w:sz="0" w:space="0" w:color="auto"/>
        <w:right w:val="none" w:sz="0" w:space="0" w:color="auto"/>
      </w:divBdr>
    </w:div>
    <w:div w:id="2072843565">
      <w:bodyDiv w:val="1"/>
      <w:marLeft w:val="0"/>
      <w:marRight w:val="0"/>
      <w:marTop w:val="0"/>
      <w:marBottom w:val="0"/>
      <w:divBdr>
        <w:top w:val="none" w:sz="0" w:space="0" w:color="auto"/>
        <w:left w:val="none" w:sz="0" w:space="0" w:color="auto"/>
        <w:bottom w:val="none" w:sz="0" w:space="0" w:color="auto"/>
        <w:right w:val="none" w:sz="0" w:space="0" w:color="auto"/>
      </w:divBdr>
    </w:div>
    <w:div w:id="2094664152">
      <w:bodyDiv w:val="1"/>
      <w:marLeft w:val="0"/>
      <w:marRight w:val="0"/>
      <w:marTop w:val="0"/>
      <w:marBottom w:val="0"/>
      <w:divBdr>
        <w:top w:val="none" w:sz="0" w:space="0" w:color="auto"/>
        <w:left w:val="none" w:sz="0" w:space="0" w:color="auto"/>
        <w:bottom w:val="none" w:sz="0" w:space="0" w:color="auto"/>
        <w:right w:val="none" w:sz="0" w:space="0" w:color="auto"/>
      </w:divBdr>
    </w:div>
    <w:div w:id="2106069459">
      <w:bodyDiv w:val="1"/>
      <w:marLeft w:val="0"/>
      <w:marRight w:val="0"/>
      <w:marTop w:val="0"/>
      <w:marBottom w:val="0"/>
      <w:divBdr>
        <w:top w:val="none" w:sz="0" w:space="0" w:color="auto"/>
        <w:left w:val="none" w:sz="0" w:space="0" w:color="auto"/>
        <w:bottom w:val="none" w:sz="0" w:space="0" w:color="auto"/>
        <w:right w:val="none" w:sz="0" w:space="0" w:color="auto"/>
      </w:divBdr>
    </w:div>
    <w:div w:id="2111582139">
      <w:bodyDiv w:val="1"/>
      <w:marLeft w:val="0"/>
      <w:marRight w:val="0"/>
      <w:marTop w:val="0"/>
      <w:marBottom w:val="0"/>
      <w:divBdr>
        <w:top w:val="none" w:sz="0" w:space="0" w:color="auto"/>
        <w:left w:val="none" w:sz="0" w:space="0" w:color="auto"/>
        <w:bottom w:val="none" w:sz="0" w:space="0" w:color="auto"/>
        <w:right w:val="none" w:sz="0" w:space="0" w:color="auto"/>
      </w:divBdr>
    </w:div>
    <w:div w:id="2127389822">
      <w:bodyDiv w:val="1"/>
      <w:marLeft w:val="0"/>
      <w:marRight w:val="0"/>
      <w:marTop w:val="0"/>
      <w:marBottom w:val="0"/>
      <w:divBdr>
        <w:top w:val="none" w:sz="0" w:space="0" w:color="auto"/>
        <w:left w:val="none" w:sz="0" w:space="0" w:color="auto"/>
        <w:bottom w:val="none" w:sz="0" w:space="0" w:color="auto"/>
        <w:right w:val="none" w:sz="0" w:space="0" w:color="auto"/>
      </w:divBdr>
    </w:div>
    <w:div w:id="2134134991">
      <w:bodyDiv w:val="1"/>
      <w:marLeft w:val="0"/>
      <w:marRight w:val="0"/>
      <w:marTop w:val="0"/>
      <w:marBottom w:val="0"/>
      <w:divBdr>
        <w:top w:val="none" w:sz="0" w:space="0" w:color="auto"/>
        <w:left w:val="none" w:sz="0" w:space="0" w:color="auto"/>
        <w:bottom w:val="none" w:sz="0" w:space="0" w:color="auto"/>
        <w:right w:val="none" w:sz="0" w:space="0" w:color="auto"/>
      </w:divBdr>
    </w:div>
    <w:div w:id="21458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electric.com/tx/business/program-manuals-and-guidelines" TargetMode="External"/><Relationship Id="rId18" Type="http://schemas.openxmlformats.org/officeDocument/2006/relationships/footer" Target="footer5.xm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epelectric.com"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emf"/><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image" Target="media/image6.emf"/><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electric.com" TargetMode="External"/><Relationship Id="rId22" Type="http://schemas.openxmlformats.org/officeDocument/2006/relationships/image" Target="media/image2.emf"/><Relationship Id="rId27" Type="http://schemas.openxmlformats.org/officeDocument/2006/relationships/footer" Target="footer9.xml"/><Relationship Id="rId30" Type="http://schemas.openxmlformats.org/officeDocument/2006/relationships/header" Target="header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9AF3-DCAB-46C7-9F1F-2F3856F1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7444</Words>
  <Characters>42435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[Utility]</vt:lpstr>
    </vt:vector>
  </TitlesOfParts>
  <Company>Frontier Associates LLC</Company>
  <LinksUpToDate>false</LinksUpToDate>
  <CharactersWithSpaces>49780</CharactersWithSpaces>
  <SharedDoc>false</SharedDoc>
  <HLinks>
    <vt:vector size="6" baseType="variant">
      <vt:variant>
        <vt:i4>5963841</vt:i4>
      </vt:variant>
      <vt:variant>
        <vt:i4>102</vt:i4>
      </vt:variant>
      <vt:variant>
        <vt:i4>0</vt:i4>
      </vt:variant>
      <vt:variant>
        <vt:i4>5</vt:i4>
      </vt:variant>
      <vt:variant>
        <vt:lpwstr>http://www.epelectricefficiency.com/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dc:title>
  <dc:creator>Kyle Hemmi</dc:creator>
  <cp:lastModifiedBy>Perez, Maritza</cp:lastModifiedBy>
  <cp:revision>3</cp:revision>
  <cp:lastPrinted>2018-03-26T19:14:00Z</cp:lastPrinted>
  <dcterms:created xsi:type="dcterms:W3CDTF">2018-03-26T20:26:00Z</dcterms:created>
  <dcterms:modified xsi:type="dcterms:W3CDTF">2018-03-26T20:28:00Z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ABAAVOAfoSrQoyxvvEdVCI/2tVZksW71ukUp0VLOqH+yNle8zq7r6cmuSLZ6ViZF7A7E</vt:lpwstr>
  </property>
  <property fmtid="{D5CDD505-2E9C-101B-9397-08002B2CF9AE}" pid="3" name="MAIL_MSG_ID2">
    <vt:lpwstr>vbUK/mIVlrQiduzhmQZS7nz9m/Jl26ma5e+cykN2LIGHfyzGJDOc3p1Qmgr
vPGT3R9XkujKIc5PJkwxvkZrXMY=</vt:lpwstr>
  </property>
  <property fmtid="{D5CDD505-2E9C-101B-9397-08002B2CF9AE}" pid="4" name="RESPONSE_SENDER_NAME">
    <vt:lpwstr>gAAAdya76B99d4hLGUR1rQ+8TxTv0GGEPdix</vt:lpwstr>
  </property>
  <property fmtid="{D5CDD505-2E9C-101B-9397-08002B2CF9AE}" pid="5" name="EMAIL_OWNER_ADDRESS">
    <vt:lpwstr>4AAA4Lxe55UJ0C/VQ1vlt/EL6mHIFkF/VzEhm49j9PqiGW4hyhA7mYu1iw==</vt:lpwstr>
  </property>
</Properties>
</file>