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1ADA0" w14:textId="50F41840" w:rsidR="008A5446" w:rsidRPr="008A5446" w:rsidRDefault="008A5446" w:rsidP="005B0F21">
      <w:pPr>
        <w:spacing w:line="240" w:lineRule="auto"/>
        <w:jc w:val="center"/>
        <w:rPr>
          <w:b/>
          <w:color w:val="FF0000"/>
          <w:sz w:val="32"/>
          <w:szCs w:val="32"/>
        </w:rPr>
      </w:pPr>
      <w:bookmarkStart w:id="0" w:name="_Hlk74212988"/>
      <w:bookmarkEnd w:id="0"/>
      <w:r w:rsidRPr="008A5446">
        <w:rPr>
          <w:b/>
          <w:color w:val="FF0000"/>
          <w:sz w:val="32"/>
          <w:szCs w:val="32"/>
        </w:rPr>
        <w:t>DRAFT</w:t>
      </w:r>
    </w:p>
    <w:p w14:paraId="23D39E66" w14:textId="2CD42163" w:rsidR="005B0F21" w:rsidRPr="00804A36" w:rsidRDefault="005B0F21" w:rsidP="005B0F21">
      <w:pPr>
        <w:spacing w:line="240" w:lineRule="auto"/>
        <w:jc w:val="center"/>
        <w:rPr>
          <w:b/>
          <w:sz w:val="32"/>
          <w:szCs w:val="32"/>
        </w:rPr>
      </w:pPr>
      <w:r w:rsidRPr="00804A36">
        <w:rPr>
          <w:b/>
          <w:sz w:val="32"/>
          <w:szCs w:val="32"/>
        </w:rPr>
        <w:t>El Paso Electric Company</w:t>
      </w:r>
    </w:p>
    <w:p w14:paraId="08707C3C" w14:textId="77777777" w:rsidR="005B0F21" w:rsidRPr="00804A36" w:rsidRDefault="005B0F21" w:rsidP="005B0F21">
      <w:pPr>
        <w:spacing w:line="240" w:lineRule="auto"/>
        <w:jc w:val="center"/>
        <w:rPr>
          <w:b/>
          <w:sz w:val="32"/>
          <w:szCs w:val="32"/>
        </w:rPr>
      </w:pPr>
    </w:p>
    <w:p w14:paraId="5E5AC0B8" w14:textId="77777777" w:rsidR="005B0F21" w:rsidRPr="00804A36" w:rsidRDefault="005B0F21" w:rsidP="005B0F21">
      <w:pPr>
        <w:spacing w:line="240" w:lineRule="auto"/>
        <w:jc w:val="center"/>
        <w:rPr>
          <w:b/>
          <w:sz w:val="32"/>
          <w:szCs w:val="32"/>
        </w:rPr>
      </w:pPr>
      <w:r w:rsidRPr="00804A36">
        <w:rPr>
          <w:b/>
          <w:sz w:val="32"/>
          <w:szCs w:val="32"/>
        </w:rPr>
        <w:t>Integrated Resource Plan</w:t>
      </w:r>
    </w:p>
    <w:p w14:paraId="5AA03227" w14:textId="5ED048E2" w:rsidR="005B0F21" w:rsidRPr="00804A36" w:rsidRDefault="005B0F21" w:rsidP="005B0F21">
      <w:pPr>
        <w:spacing w:line="240" w:lineRule="auto"/>
        <w:jc w:val="center"/>
        <w:rPr>
          <w:b/>
          <w:sz w:val="32"/>
          <w:szCs w:val="32"/>
        </w:rPr>
      </w:pPr>
      <w:r w:rsidRPr="00804A36">
        <w:rPr>
          <w:b/>
          <w:sz w:val="32"/>
          <w:szCs w:val="32"/>
        </w:rPr>
        <w:t>For the Period 20</w:t>
      </w:r>
      <w:r w:rsidR="0086048C">
        <w:rPr>
          <w:b/>
          <w:sz w:val="32"/>
          <w:szCs w:val="32"/>
        </w:rPr>
        <w:t>2</w:t>
      </w:r>
      <w:r w:rsidRPr="00804A36">
        <w:rPr>
          <w:b/>
          <w:sz w:val="32"/>
          <w:szCs w:val="32"/>
        </w:rPr>
        <w:t>1-20</w:t>
      </w:r>
      <w:r w:rsidR="0086048C">
        <w:rPr>
          <w:b/>
          <w:sz w:val="32"/>
          <w:szCs w:val="32"/>
        </w:rPr>
        <w:t>40</w:t>
      </w:r>
    </w:p>
    <w:p w14:paraId="4EB0DDCE" w14:textId="77777777" w:rsidR="005B0F21" w:rsidRDefault="005B0F21" w:rsidP="005B0F21">
      <w:pPr>
        <w:spacing w:line="240" w:lineRule="auto"/>
        <w:jc w:val="center"/>
        <w:rPr>
          <w:b/>
          <w:sz w:val="32"/>
          <w:szCs w:val="32"/>
        </w:rPr>
      </w:pPr>
    </w:p>
    <w:p w14:paraId="723A074B" w14:textId="77777777" w:rsidR="00DD69B5" w:rsidRDefault="00DD69B5" w:rsidP="005B0F21">
      <w:pPr>
        <w:spacing w:line="240" w:lineRule="auto"/>
        <w:jc w:val="center"/>
        <w:rPr>
          <w:b/>
          <w:sz w:val="32"/>
          <w:szCs w:val="32"/>
        </w:rPr>
      </w:pPr>
      <w:r w:rsidRPr="00804A36">
        <w:rPr>
          <w:b/>
          <w:noProof/>
          <w:sz w:val="32"/>
          <w:szCs w:val="32"/>
        </w:rPr>
        <w:drawing>
          <wp:anchor distT="0" distB="0" distL="114300" distR="114300" simplePos="0" relativeHeight="251641344" behindDoc="1" locked="0" layoutInCell="1" allowOverlap="1" wp14:anchorId="23B26CAF" wp14:editId="0F003D5C">
            <wp:simplePos x="0" y="0"/>
            <wp:positionH relativeFrom="column">
              <wp:posOffset>2154334</wp:posOffset>
            </wp:positionH>
            <wp:positionV relativeFrom="page">
              <wp:posOffset>2318330</wp:posOffset>
            </wp:positionV>
            <wp:extent cx="1819275" cy="129794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elogo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275" cy="1297940"/>
                    </a:xfrm>
                    <a:prstGeom prst="rect">
                      <a:avLst/>
                    </a:prstGeom>
                  </pic:spPr>
                </pic:pic>
              </a:graphicData>
            </a:graphic>
            <wp14:sizeRelH relativeFrom="margin">
              <wp14:pctWidth>0</wp14:pctWidth>
            </wp14:sizeRelH>
            <wp14:sizeRelV relativeFrom="margin">
              <wp14:pctHeight>0</wp14:pctHeight>
            </wp14:sizeRelV>
          </wp:anchor>
        </w:drawing>
      </w:r>
    </w:p>
    <w:p w14:paraId="3736B1D2" w14:textId="77777777" w:rsidR="00DD69B5" w:rsidRPr="00804A36" w:rsidRDefault="00DD69B5" w:rsidP="005B0F21">
      <w:pPr>
        <w:spacing w:line="240" w:lineRule="auto"/>
        <w:jc w:val="center"/>
        <w:rPr>
          <w:b/>
          <w:sz w:val="32"/>
          <w:szCs w:val="32"/>
        </w:rPr>
      </w:pPr>
    </w:p>
    <w:p w14:paraId="48509C95" w14:textId="00B6D5FC" w:rsidR="00CD4BA3" w:rsidRPr="00156D5E" w:rsidRDefault="004053C6" w:rsidP="002D4ECD">
      <w:pPr>
        <w:spacing w:line="240" w:lineRule="auto"/>
        <w:jc w:val="center"/>
        <w:rPr>
          <w:b/>
          <w:sz w:val="32"/>
          <w:szCs w:val="32"/>
        </w:rPr>
      </w:pPr>
      <w:r>
        <w:rPr>
          <w:b/>
          <w:sz w:val="32"/>
          <w:szCs w:val="32"/>
        </w:rPr>
        <w:t>August</w:t>
      </w:r>
      <w:r w:rsidRPr="0086048C">
        <w:rPr>
          <w:b/>
          <w:sz w:val="32"/>
          <w:szCs w:val="32"/>
        </w:rPr>
        <w:t xml:space="preserve"> </w:t>
      </w:r>
      <w:r w:rsidR="00903C35" w:rsidRPr="0086048C">
        <w:rPr>
          <w:b/>
          <w:sz w:val="32"/>
          <w:szCs w:val="32"/>
        </w:rPr>
        <w:t>1</w:t>
      </w:r>
      <w:r w:rsidR="008A5446">
        <w:rPr>
          <w:b/>
          <w:sz w:val="32"/>
          <w:szCs w:val="32"/>
        </w:rPr>
        <w:t>6</w:t>
      </w:r>
      <w:r w:rsidR="001610B3" w:rsidRPr="0086048C">
        <w:rPr>
          <w:b/>
          <w:sz w:val="32"/>
          <w:szCs w:val="32"/>
        </w:rPr>
        <w:t>, 20</w:t>
      </w:r>
      <w:r w:rsidR="0086048C" w:rsidRPr="0086048C">
        <w:rPr>
          <w:b/>
          <w:sz w:val="32"/>
          <w:szCs w:val="32"/>
        </w:rPr>
        <w:t>21</w:t>
      </w:r>
    </w:p>
    <w:p w14:paraId="5793CB0E" w14:textId="77777777" w:rsidR="005B0F21" w:rsidRDefault="005B0F21" w:rsidP="00CD4BA3">
      <w:pPr>
        <w:spacing w:after="200"/>
        <w:jc w:val="left"/>
        <w:rPr>
          <w:b/>
        </w:rPr>
      </w:pPr>
    </w:p>
    <w:p w14:paraId="5BE1CA80" w14:textId="77777777" w:rsidR="005B0F21" w:rsidRDefault="00DD69B5" w:rsidP="00CD4BA3">
      <w:pPr>
        <w:spacing w:after="200"/>
        <w:jc w:val="left"/>
        <w:rPr>
          <w:b/>
        </w:rPr>
        <w:sectPr w:rsidR="005B0F21" w:rsidSect="004062A1">
          <w:footerReference w:type="default" r:id="rId9"/>
          <w:pgSz w:w="12240" w:h="15840" w:code="1"/>
          <w:pgMar w:top="1440" w:right="1440" w:bottom="1440" w:left="1440" w:header="720" w:footer="720" w:gutter="0"/>
          <w:pgNumType w:fmt="lowerRoman"/>
          <w:cols w:space="720"/>
          <w:titlePg/>
          <w:docGrid w:linePitch="360"/>
        </w:sectPr>
      </w:pPr>
      <w:r w:rsidRPr="00DD69B5">
        <w:rPr>
          <w:b/>
          <w:noProof/>
        </w:rPr>
        <w:drawing>
          <wp:inline distT="0" distB="0" distL="0" distR="0" wp14:anchorId="173EA65A" wp14:editId="59807973">
            <wp:extent cx="5943600" cy="3301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01535"/>
                    </a:xfrm>
                    <a:prstGeom prst="rect">
                      <a:avLst/>
                    </a:prstGeom>
                    <a:noFill/>
                    <a:ln>
                      <a:noFill/>
                    </a:ln>
                  </pic:spPr>
                </pic:pic>
              </a:graphicData>
            </a:graphic>
          </wp:inline>
        </w:drawing>
      </w:r>
    </w:p>
    <w:p w14:paraId="38ED2E3D" w14:textId="1BB95A2B" w:rsidR="00992E5D" w:rsidRPr="002D4ECD" w:rsidRDefault="007A6D8E" w:rsidP="007A6D8E">
      <w:pPr>
        <w:tabs>
          <w:tab w:val="left" w:pos="5850"/>
        </w:tabs>
        <w:jc w:val="center"/>
        <w:rPr>
          <w:rFonts w:eastAsia="Times New Roman"/>
          <w:b/>
        </w:rPr>
      </w:pPr>
      <w:r w:rsidRPr="007A6D8E">
        <w:rPr>
          <w:b/>
          <w:bCs/>
        </w:rPr>
        <w:lastRenderedPageBreak/>
        <w:t>T</w:t>
      </w:r>
      <w:r w:rsidR="003C0EF8" w:rsidRPr="002D4ECD">
        <w:rPr>
          <w:rFonts w:eastAsia="Times New Roman"/>
          <w:b/>
        </w:rPr>
        <w:t>ABLE OF CONTENTS</w:t>
      </w:r>
    </w:p>
    <w:p w14:paraId="7E13AE9A" w14:textId="77777777" w:rsidR="003C0EF8" w:rsidRPr="002D4ECD" w:rsidRDefault="003C0EF8" w:rsidP="00992E5D">
      <w:pPr>
        <w:spacing w:line="240" w:lineRule="auto"/>
        <w:jc w:val="center"/>
        <w:rPr>
          <w:rFonts w:eastAsia="Times New Roman"/>
          <w:b/>
        </w:rPr>
      </w:pPr>
    </w:p>
    <w:p w14:paraId="3EAEC2C5" w14:textId="01E2CA0A" w:rsidR="00780D21" w:rsidRPr="00CB2CB5" w:rsidRDefault="00914A69">
      <w:pPr>
        <w:pStyle w:val="TOC1"/>
        <w:rPr>
          <w:rFonts w:asciiTheme="minorHAnsi" w:eastAsiaTheme="minorEastAsia" w:hAnsiTheme="minorHAnsi" w:cstheme="minorBidi"/>
          <w:noProof/>
          <w:color w:val="auto"/>
          <w:sz w:val="22"/>
          <w:szCs w:val="22"/>
        </w:rPr>
      </w:pPr>
      <w:r w:rsidRPr="00CB2CB5">
        <w:rPr>
          <w:rFonts w:eastAsia="Times New Roman"/>
        </w:rPr>
        <w:fldChar w:fldCharType="begin"/>
      </w:r>
      <w:r w:rsidRPr="00CB2CB5">
        <w:rPr>
          <w:rFonts w:eastAsia="Times New Roman"/>
        </w:rPr>
        <w:instrText xml:space="preserve"> TOC \o "1-3" \h \z \u </w:instrText>
      </w:r>
      <w:r w:rsidRPr="00CB2CB5">
        <w:rPr>
          <w:rFonts w:eastAsia="Times New Roman"/>
        </w:rPr>
        <w:fldChar w:fldCharType="separate"/>
      </w:r>
      <w:hyperlink w:anchor="_Toc534190286" w:history="1">
        <w:r w:rsidR="00780D21" w:rsidRPr="00CB2CB5">
          <w:rPr>
            <w:rStyle w:val="Hyperlink"/>
            <w:noProof/>
          </w:rPr>
          <w:t>I.</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EXECUTIVE SUMMARY</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_Toc534190286 \h </w:instrText>
        </w:r>
        <w:r w:rsidR="00780D21" w:rsidRPr="00CB2CB5">
          <w:rPr>
            <w:noProof/>
            <w:webHidden/>
          </w:rPr>
        </w:r>
        <w:r w:rsidR="00780D21" w:rsidRPr="00CB2CB5">
          <w:rPr>
            <w:noProof/>
            <w:webHidden/>
          </w:rPr>
          <w:fldChar w:fldCharType="separate"/>
        </w:r>
        <w:r w:rsidR="00B703D9" w:rsidRPr="00CB2CB5">
          <w:rPr>
            <w:noProof/>
            <w:webHidden/>
          </w:rPr>
          <w:t>1</w:t>
        </w:r>
        <w:r w:rsidR="00780D21" w:rsidRPr="00CB2CB5">
          <w:rPr>
            <w:noProof/>
            <w:webHidden/>
          </w:rPr>
          <w:fldChar w:fldCharType="end"/>
        </w:r>
      </w:hyperlink>
    </w:p>
    <w:p w14:paraId="5172E2B2" w14:textId="033E56BB" w:rsidR="00780D21" w:rsidRPr="00CB2CB5" w:rsidRDefault="008A5446">
      <w:pPr>
        <w:pStyle w:val="TOC2"/>
        <w:rPr>
          <w:rFonts w:asciiTheme="minorHAnsi" w:eastAsiaTheme="minorEastAsia" w:hAnsiTheme="minorHAnsi" w:cstheme="minorBidi"/>
          <w:noProof/>
          <w:color w:val="auto"/>
          <w:sz w:val="22"/>
          <w:szCs w:val="22"/>
        </w:rPr>
      </w:pPr>
      <w:hyperlink w:anchor="_Toc534190287" w:history="1">
        <w:r w:rsidR="00780D21" w:rsidRPr="00CB2CB5">
          <w:rPr>
            <w:rStyle w:val="Hyperlink"/>
            <w:rFonts w:eastAsia="Times New Roman"/>
            <w:noProof/>
          </w:rPr>
          <w:t>A.</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20</w:t>
        </w:r>
        <w:r w:rsidR="00946239">
          <w:rPr>
            <w:rStyle w:val="Hyperlink"/>
            <w:rFonts w:eastAsia="Times New Roman"/>
            <w:noProof/>
          </w:rPr>
          <w:t>21</w:t>
        </w:r>
        <w:r w:rsidR="00780D21" w:rsidRPr="00CB2CB5">
          <w:rPr>
            <w:rStyle w:val="Hyperlink"/>
            <w:rFonts w:eastAsia="Times New Roman"/>
            <w:noProof/>
          </w:rPr>
          <w:t xml:space="preserve"> IRP Four-Year Action Plan</w:t>
        </w:r>
        <w:r w:rsidR="00780D21" w:rsidRPr="00CB2CB5">
          <w:rPr>
            <w:noProof/>
            <w:webHidden/>
          </w:rPr>
          <w:tab/>
        </w:r>
        <w:r w:rsidR="00946239">
          <w:rPr>
            <w:noProof/>
            <w:webHidden/>
          </w:rPr>
          <w:t>3</w:t>
        </w:r>
      </w:hyperlink>
    </w:p>
    <w:p w14:paraId="3F6FAC6B" w14:textId="3CF0FE0C" w:rsidR="00780D21" w:rsidRPr="00CB2CB5" w:rsidRDefault="008A5446">
      <w:pPr>
        <w:pStyle w:val="TOC1"/>
        <w:rPr>
          <w:rFonts w:asciiTheme="minorHAnsi" w:eastAsiaTheme="minorEastAsia" w:hAnsiTheme="minorHAnsi" w:cstheme="minorBidi"/>
          <w:noProof/>
          <w:color w:val="auto"/>
          <w:sz w:val="22"/>
          <w:szCs w:val="22"/>
        </w:rPr>
      </w:pPr>
      <w:hyperlink w:anchor="_Toc534190288" w:history="1">
        <w:r w:rsidR="00780D21" w:rsidRPr="00CB2CB5">
          <w:rPr>
            <w:rStyle w:val="Hyperlink"/>
            <w:noProof/>
          </w:rPr>
          <w:t>II.</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IRP PLANNING OVERVIEW</w:t>
        </w:r>
        <w:r w:rsidR="00780D21" w:rsidRPr="00CB2CB5">
          <w:rPr>
            <w:noProof/>
            <w:webHidden/>
          </w:rPr>
          <w:tab/>
        </w:r>
        <w:r w:rsidR="00946239">
          <w:rPr>
            <w:noProof/>
            <w:webHidden/>
          </w:rPr>
          <w:t>3</w:t>
        </w:r>
      </w:hyperlink>
    </w:p>
    <w:p w14:paraId="3A3651F9" w14:textId="648E5DC4" w:rsidR="00780D21" w:rsidRPr="00CB2CB5" w:rsidRDefault="008A5446">
      <w:pPr>
        <w:pStyle w:val="TOC2"/>
        <w:rPr>
          <w:rFonts w:asciiTheme="minorHAnsi" w:eastAsiaTheme="minorEastAsia" w:hAnsiTheme="minorHAnsi" w:cstheme="minorBidi"/>
          <w:noProof/>
          <w:color w:val="auto"/>
          <w:sz w:val="22"/>
          <w:szCs w:val="22"/>
        </w:rPr>
      </w:pPr>
      <w:hyperlink w:anchor="_Toc534190289" w:history="1">
        <w:r w:rsidR="00780D21" w:rsidRPr="00CB2CB5">
          <w:rPr>
            <w:rStyle w:val="Hyperlink"/>
            <w:rFonts w:eastAsia="Times New Roman"/>
            <w:noProof/>
          </w:rPr>
          <w:t>A.</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Service Territory/Company Overview</w:t>
        </w:r>
        <w:r w:rsidR="00780D21" w:rsidRPr="00CB2CB5">
          <w:rPr>
            <w:noProof/>
            <w:webHidden/>
          </w:rPr>
          <w:tab/>
        </w:r>
        <w:r w:rsidR="00946239">
          <w:rPr>
            <w:noProof/>
            <w:webHidden/>
          </w:rPr>
          <w:t>5</w:t>
        </w:r>
      </w:hyperlink>
    </w:p>
    <w:p w14:paraId="50F393C6" w14:textId="7BA4B848" w:rsidR="00780D21" w:rsidRPr="00CB2CB5" w:rsidRDefault="008A5446">
      <w:pPr>
        <w:pStyle w:val="TOC2"/>
        <w:rPr>
          <w:rFonts w:asciiTheme="minorHAnsi" w:eastAsiaTheme="minorEastAsia" w:hAnsiTheme="minorHAnsi" w:cstheme="minorBidi"/>
          <w:noProof/>
          <w:color w:val="auto"/>
          <w:sz w:val="22"/>
          <w:szCs w:val="22"/>
        </w:rPr>
      </w:pPr>
      <w:hyperlink w:anchor="_Toc534190290" w:history="1">
        <w:r w:rsidR="00780D21" w:rsidRPr="00CB2CB5">
          <w:rPr>
            <w:rStyle w:val="Hyperlink"/>
            <w:rFonts w:eastAsia="Times New Roman"/>
            <w:noProof/>
          </w:rPr>
          <w:t>B.</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Summary of the 201</w:t>
        </w:r>
        <w:r w:rsidR="00946239">
          <w:rPr>
            <w:rStyle w:val="Hyperlink"/>
            <w:rFonts w:eastAsia="Times New Roman"/>
            <w:noProof/>
          </w:rPr>
          <w:t>8</w:t>
        </w:r>
        <w:r w:rsidR="00780D21" w:rsidRPr="00CB2CB5">
          <w:rPr>
            <w:rStyle w:val="Hyperlink"/>
            <w:rFonts w:eastAsia="Times New Roman"/>
            <w:noProof/>
          </w:rPr>
          <w:t xml:space="preserve"> IRP Action Plan and Status</w:t>
        </w:r>
        <w:r w:rsidR="00780D21" w:rsidRPr="00CB2CB5">
          <w:rPr>
            <w:noProof/>
            <w:webHidden/>
          </w:rPr>
          <w:tab/>
        </w:r>
        <w:r w:rsidR="00946239">
          <w:rPr>
            <w:noProof/>
            <w:webHidden/>
          </w:rPr>
          <w:t>7</w:t>
        </w:r>
      </w:hyperlink>
    </w:p>
    <w:p w14:paraId="2B78F65C" w14:textId="006EBA2F" w:rsidR="00780D21" w:rsidRPr="00CB2CB5" w:rsidRDefault="008A5446">
      <w:pPr>
        <w:pStyle w:val="TOC1"/>
        <w:rPr>
          <w:rFonts w:asciiTheme="minorHAnsi" w:eastAsiaTheme="minorEastAsia" w:hAnsiTheme="minorHAnsi" w:cstheme="minorBidi"/>
          <w:noProof/>
          <w:color w:val="auto"/>
          <w:sz w:val="22"/>
          <w:szCs w:val="22"/>
        </w:rPr>
      </w:pPr>
      <w:hyperlink w:anchor="_Toc534190291" w:history="1">
        <w:r w:rsidR="00780D21" w:rsidRPr="00CB2CB5">
          <w:rPr>
            <w:rStyle w:val="Hyperlink"/>
            <w:noProof/>
          </w:rPr>
          <w:t>III.</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DESCRIPTION OF EXISTING RESOURCES</w:t>
        </w:r>
        <w:r w:rsidR="00780D21" w:rsidRPr="00CB2CB5">
          <w:rPr>
            <w:noProof/>
            <w:webHidden/>
          </w:rPr>
          <w:tab/>
        </w:r>
        <w:r w:rsidR="00946239">
          <w:rPr>
            <w:noProof/>
            <w:webHidden/>
          </w:rPr>
          <w:t>7</w:t>
        </w:r>
      </w:hyperlink>
    </w:p>
    <w:p w14:paraId="5A9002AF" w14:textId="3CAFB84B" w:rsidR="00780D21" w:rsidRPr="00CB2CB5" w:rsidRDefault="008A5446">
      <w:pPr>
        <w:pStyle w:val="TOC2"/>
        <w:rPr>
          <w:rFonts w:asciiTheme="minorHAnsi" w:eastAsiaTheme="minorEastAsia" w:hAnsiTheme="minorHAnsi" w:cstheme="minorBidi"/>
          <w:noProof/>
          <w:color w:val="auto"/>
          <w:sz w:val="22"/>
          <w:szCs w:val="22"/>
        </w:rPr>
      </w:pPr>
      <w:hyperlink w:anchor="_Toc534190292" w:history="1">
        <w:r w:rsidR="00780D21" w:rsidRPr="00CB2CB5">
          <w:rPr>
            <w:rStyle w:val="Hyperlink"/>
            <w:rFonts w:eastAsia="Times New Roman"/>
            <w:noProof/>
          </w:rPr>
          <w:t>A.</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Supply Side Resources</w:t>
        </w:r>
        <w:r w:rsidR="00780D21" w:rsidRPr="00CB2CB5">
          <w:rPr>
            <w:noProof/>
            <w:webHidden/>
          </w:rPr>
          <w:tab/>
        </w:r>
        <w:r w:rsidR="00946239">
          <w:rPr>
            <w:noProof/>
            <w:webHidden/>
          </w:rPr>
          <w:t>7</w:t>
        </w:r>
      </w:hyperlink>
    </w:p>
    <w:p w14:paraId="61C3D68E" w14:textId="2F0807BE" w:rsidR="00780D21" w:rsidRPr="00CB2CB5" w:rsidRDefault="008A5446">
      <w:pPr>
        <w:pStyle w:val="TOC3"/>
        <w:rPr>
          <w:rFonts w:asciiTheme="minorHAnsi" w:eastAsiaTheme="minorEastAsia" w:hAnsiTheme="minorHAnsi" w:cstheme="minorBidi"/>
          <w:noProof/>
          <w:color w:val="auto"/>
          <w:sz w:val="22"/>
          <w:szCs w:val="22"/>
        </w:rPr>
      </w:pPr>
      <w:hyperlink w:anchor="_Toc534190293" w:history="1">
        <w:r w:rsidR="00780D21" w:rsidRPr="00CB2CB5">
          <w:rPr>
            <w:rStyle w:val="Hyperlink"/>
            <w:rFonts w:eastAsia="Times New Roman"/>
            <w:noProof/>
          </w:rPr>
          <w:t>1.</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Generating facilities and expected retirement dates</w:t>
        </w:r>
        <w:r w:rsidR="00780D21" w:rsidRPr="00CB2CB5">
          <w:rPr>
            <w:noProof/>
            <w:webHidden/>
          </w:rPr>
          <w:tab/>
        </w:r>
        <w:r w:rsidR="003B1B79">
          <w:rPr>
            <w:noProof/>
            <w:webHidden/>
          </w:rPr>
          <w:t>8</w:t>
        </w:r>
      </w:hyperlink>
    </w:p>
    <w:p w14:paraId="20F8CFF7" w14:textId="77777777" w:rsidR="00295F36" w:rsidRPr="00CB2CB5" w:rsidRDefault="008A5446" w:rsidP="00295F36">
      <w:pPr>
        <w:pStyle w:val="TOC3"/>
        <w:rPr>
          <w:rFonts w:asciiTheme="minorHAnsi" w:eastAsiaTheme="minorEastAsia" w:hAnsiTheme="minorHAnsi" w:cstheme="minorBidi"/>
          <w:noProof/>
          <w:color w:val="auto"/>
          <w:sz w:val="22"/>
          <w:szCs w:val="22"/>
        </w:rPr>
      </w:pPr>
      <w:hyperlink w:anchor="_Toc534190294" w:history="1">
        <w:r w:rsidR="00295F36" w:rsidRPr="00CB2CB5">
          <w:rPr>
            <w:rStyle w:val="Hyperlink"/>
            <w:rFonts w:eastAsia="Times New Roman"/>
            <w:noProof/>
          </w:rPr>
          <w:t>2.</w:t>
        </w:r>
        <w:r w:rsidR="00295F36" w:rsidRPr="00CB2CB5">
          <w:rPr>
            <w:rFonts w:asciiTheme="minorHAnsi" w:eastAsiaTheme="minorEastAsia" w:hAnsiTheme="minorHAnsi" w:cstheme="minorBidi"/>
            <w:noProof/>
            <w:color w:val="auto"/>
            <w:sz w:val="22"/>
            <w:szCs w:val="22"/>
          </w:rPr>
          <w:tab/>
        </w:r>
        <w:r w:rsidR="00295F36" w:rsidRPr="00CB2CB5">
          <w:rPr>
            <w:rStyle w:val="Hyperlink"/>
            <w:rFonts w:eastAsia="Times New Roman"/>
            <w:noProof/>
          </w:rPr>
          <w:t>Purchased Power Agreements</w:t>
        </w:r>
        <w:r w:rsidR="00295F36" w:rsidRPr="00CB2CB5">
          <w:rPr>
            <w:noProof/>
            <w:webHidden/>
          </w:rPr>
          <w:tab/>
        </w:r>
        <w:r w:rsidR="00295F36">
          <w:rPr>
            <w:noProof/>
            <w:webHidden/>
          </w:rPr>
          <w:t>10</w:t>
        </w:r>
      </w:hyperlink>
    </w:p>
    <w:p w14:paraId="310ADD67" w14:textId="74D30861" w:rsidR="00780D21" w:rsidRPr="00CB2CB5" w:rsidRDefault="008A5446">
      <w:pPr>
        <w:pStyle w:val="TOC3"/>
        <w:rPr>
          <w:rFonts w:asciiTheme="minorHAnsi" w:eastAsiaTheme="minorEastAsia" w:hAnsiTheme="minorHAnsi" w:cstheme="minorBidi"/>
          <w:noProof/>
          <w:color w:val="auto"/>
          <w:sz w:val="22"/>
          <w:szCs w:val="22"/>
        </w:rPr>
      </w:pPr>
      <w:hyperlink w:anchor="_Toc534190294" w:history="1">
        <w:r w:rsidR="00295F36">
          <w:rPr>
            <w:rStyle w:val="Hyperlink"/>
            <w:rFonts w:eastAsia="Times New Roman"/>
            <w:noProof/>
          </w:rPr>
          <w:t>3</w:t>
        </w:r>
        <w:r w:rsidR="00780D21" w:rsidRPr="00CB2CB5">
          <w:rPr>
            <w:rStyle w:val="Hyperlink"/>
            <w:rFonts w:eastAsia="Times New Roman"/>
            <w:noProof/>
          </w:rPr>
          <w:t>.</w:t>
        </w:r>
        <w:r w:rsidR="00780D21" w:rsidRPr="00CB2CB5">
          <w:rPr>
            <w:rFonts w:asciiTheme="minorHAnsi" w:eastAsiaTheme="minorEastAsia" w:hAnsiTheme="minorHAnsi" w:cstheme="minorBidi"/>
            <w:noProof/>
            <w:color w:val="auto"/>
            <w:sz w:val="22"/>
            <w:szCs w:val="22"/>
          </w:rPr>
          <w:tab/>
        </w:r>
        <w:r w:rsidR="00295F36">
          <w:rPr>
            <w:rStyle w:val="Hyperlink"/>
            <w:rFonts w:eastAsia="Times New Roman"/>
            <w:noProof/>
          </w:rPr>
          <w:t>Approved Utility-owned Generation not In-Service</w:t>
        </w:r>
        <w:r w:rsidR="00780D21" w:rsidRPr="00CB2CB5">
          <w:rPr>
            <w:noProof/>
            <w:webHidden/>
          </w:rPr>
          <w:tab/>
        </w:r>
        <w:r w:rsidR="003B1B79">
          <w:rPr>
            <w:noProof/>
            <w:webHidden/>
          </w:rPr>
          <w:t>1</w:t>
        </w:r>
        <w:r w:rsidR="00295F36">
          <w:rPr>
            <w:noProof/>
            <w:webHidden/>
          </w:rPr>
          <w:t>1</w:t>
        </w:r>
      </w:hyperlink>
    </w:p>
    <w:p w14:paraId="08DC8DC4" w14:textId="5EF560E1" w:rsidR="00780D21" w:rsidRPr="00CB2CB5" w:rsidRDefault="008A5446">
      <w:pPr>
        <w:pStyle w:val="TOC2"/>
        <w:rPr>
          <w:rFonts w:asciiTheme="minorHAnsi" w:eastAsiaTheme="minorEastAsia" w:hAnsiTheme="minorHAnsi" w:cstheme="minorBidi"/>
          <w:noProof/>
          <w:color w:val="auto"/>
          <w:sz w:val="22"/>
          <w:szCs w:val="22"/>
        </w:rPr>
      </w:pPr>
      <w:hyperlink w:anchor="_Toc534190295" w:history="1">
        <w:r w:rsidR="00295F36" w:rsidRPr="00CB2CB5">
          <w:rPr>
            <w:rStyle w:val="Hyperlink"/>
            <w:rFonts w:eastAsia="Times New Roman"/>
            <w:noProof/>
          </w:rPr>
          <w:t>B.</w:t>
        </w:r>
        <w:r w:rsidR="00295F36" w:rsidRPr="00CB2CB5">
          <w:rPr>
            <w:rFonts w:asciiTheme="minorHAnsi" w:eastAsiaTheme="minorEastAsia" w:hAnsiTheme="minorHAnsi" w:cstheme="minorBidi"/>
            <w:noProof/>
            <w:color w:val="auto"/>
            <w:sz w:val="22"/>
            <w:szCs w:val="22"/>
          </w:rPr>
          <w:tab/>
        </w:r>
        <w:r w:rsidR="00295F36" w:rsidRPr="00CB2CB5">
          <w:rPr>
            <w:rStyle w:val="Hyperlink"/>
            <w:rFonts w:eastAsia="Times New Roman"/>
            <w:noProof/>
          </w:rPr>
          <w:t>Environmental Impacts of Existing Supply-Side Resources</w:t>
        </w:r>
        <w:r w:rsidR="00295F36" w:rsidRPr="00CB2CB5">
          <w:rPr>
            <w:noProof/>
            <w:webHidden/>
          </w:rPr>
          <w:tab/>
        </w:r>
        <w:r w:rsidR="00295F36" w:rsidRPr="00CB2CB5">
          <w:rPr>
            <w:noProof/>
            <w:webHidden/>
          </w:rPr>
          <w:fldChar w:fldCharType="begin"/>
        </w:r>
        <w:r w:rsidR="00295F36" w:rsidRPr="00CB2CB5">
          <w:rPr>
            <w:noProof/>
            <w:webHidden/>
          </w:rPr>
          <w:instrText xml:space="preserve"> PAGEREF _Toc534190295 \h </w:instrText>
        </w:r>
        <w:r w:rsidR="00295F36" w:rsidRPr="00CB2CB5">
          <w:rPr>
            <w:noProof/>
            <w:webHidden/>
          </w:rPr>
        </w:r>
        <w:r w:rsidR="00295F36" w:rsidRPr="00CB2CB5">
          <w:rPr>
            <w:noProof/>
            <w:webHidden/>
          </w:rPr>
          <w:fldChar w:fldCharType="separate"/>
        </w:r>
        <w:r w:rsidR="00295F36" w:rsidRPr="00CB2CB5">
          <w:rPr>
            <w:noProof/>
            <w:webHidden/>
          </w:rPr>
          <w:t>1</w:t>
        </w:r>
        <w:r w:rsidR="00295F36">
          <w:rPr>
            <w:noProof/>
            <w:webHidden/>
          </w:rPr>
          <w:t>1</w:t>
        </w:r>
        <w:r w:rsidR="00295F36" w:rsidRPr="00CB2CB5">
          <w:rPr>
            <w:noProof/>
            <w:webHidden/>
          </w:rPr>
          <w:fldChar w:fldCharType="end"/>
        </w:r>
      </w:hyperlink>
    </w:p>
    <w:p w14:paraId="10374769" w14:textId="13D9DABC" w:rsidR="00780D21" w:rsidRPr="00CB2CB5" w:rsidRDefault="008A5446">
      <w:pPr>
        <w:pStyle w:val="TOC3"/>
        <w:rPr>
          <w:rFonts w:asciiTheme="minorHAnsi" w:eastAsiaTheme="minorEastAsia" w:hAnsiTheme="minorHAnsi" w:cstheme="minorBidi"/>
          <w:noProof/>
          <w:color w:val="auto"/>
          <w:sz w:val="22"/>
          <w:szCs w:val="22"/>
        </w:rPr>
      </w:pPr>
      <w:hyperlink w:anchor="_Toc534190296" w:history="1">
        <w:r w:rsidR="00780D21" w:rsidRPr="00CB2CB5">
          <w:rPr>
            <w:rStyle w:val="Hyperlink"/>
            <w:noProof/>
          </w:rPr>
          <w:t>1.</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Air Emissions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_Toc534190296 \h </w:instrText>
        </w:r>
        <w:r w:rsidR="00780D21" w:rsidRPr="00CB2CB5">
          <w:rPr>
            <w:noProof/>
            <w:webHidden/>
          </w:rPr>
        </w:r>
        <w:r w:rsidR="00780D21" w:rsidRPr="00CB2CB5">
          <w:rPr>
            <w:noProof/>
            <w:webHidden/>
          </w:rPr>
          <w:fldChar w:fldCharType="separate"/>
        </w:r>
        <w:r w:rsidR="00B703D9" w:rsidRPr="00CB2CB5">
          <w:rPr>
            <w:noProof/>
            <w:webHidden/>
          </w:rPr>
          <w:t>1</w:t>
        </w:r>
        <w:r w:rsidR="003B1B79">
          <w:rPr>
            <w:noProof/>
            <w:webHidden/>
          </w:rPr>
          <w:t>2</w:t>
        </w:r>
        <w:r w:rsidR="00780D21" w:rsidRPr="00CB2CB5">
          <w:rPr>
            <w:noProof/>
            <w:webHidden/>
          </w:rPr>
          <w:fldChar w:fldCharType="end"/>
        </w:r>
      </w:hyperlink>
    </w:p>
    <w:p w14:paraId="33BB4B41" w14:textId="1E4C3163" w:rsidR="00780D21" w:rsidRPr="00CB2CB5" w:rsidRDefault="008A5446">
      <w:pPr>
        <w:pStyle w:val="TOC3"/>
        <w:rPr>
          <w:rFonts w:asciiTheme="minorHAnsi" w:eastAsiaTheme="minorEastAsia" w:hAnsiTheme="minorHAnsi" w:cstheme="minorBidi"/>
          <w:noProof/>
          <w:color w:val="auto"/>
          <w:sz w:val="22"/>
          <w:szCs w:val="22"/>
        </w:rPr>
      </w:pPr>
      <w:hyperlink w:anchor="_Toc534190297" w:history="1">
        <w:r w:rsidR="00780D21" w:rsidRPr="00CB2CB5">
          <w:rPr>
            <w:rStyle w:val="Hyperlink"/>
            <w:noProof/>
          </w:rPr>
          <w:t>2.</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Climate Change</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_Toc534190297 \h </w:instrText>
        </w:r>
        <w:r w:rsidR="00780D21" w:rsidRPr="00CB2CB5">
          <w:rPr>
            <w:noProof/>
            <w:webHidden/>
          </w:rPr>
        </w:r>
        <w:r w:rsidR="00780D21" w:rsidRPr="00CB2CB5">
          <w:rPr>
            <w:noProof/>
            <w:webHidden/>
          </w:rPr>
          <w:fldChar w:fldCharType="separate"/>
        </w:r>
        <w:r w:rsidR="00B703D9" w:rsidRPr="00CB2CB5">
          <w:rPr>
            <w:noProof/>
            <w:webHidden/>
          </w:rPr>
          <w:t>1</w:t>
        </w:r>
        <w:r w:rsidR="003B1B79">
          <w:rPr>
            <w:noProof/>
            <w:webHidden/>
          </w:rPr>
          <w:t>4</w:t>
        </w:r>
        <w:r w:rsidR="00780D21" w:rsidRPr="00CB2CB5">
          <w:rPr>
            <w:noProof/>
            <w:webHidden/>
          </w:rPr>
          <w:fldChar w:fldCharType="end"/>
        </w:r>
      </w:hyperlink>
    </w:p>
    <w:p w14:paraId="3342DAB9" w14:textId="23B05C02" w:rsidR="00780D21" w:rsidRPr="00CB2CB5" w:rsidRDefault="008A5446">
      <w:pPr>
        <w:pStyle w:val="TOC3"/>
        <w:rPr>
          <w:rFonts w:asciiTheme="minorHAnsi" w:eastAsiaTheme="minorEastAsia" w:hAnsiTheme="minorHAnsi" w:cstheme="minorBidi"/>
          <w:noProof/>
          <w:color w:val="auto"/>
          <w:sz w:val="22"/>
          <w:szCs w:val="22"/>
        </w:rPr>
      </w:pPr>
      <w:hyperlink w:anchor="_Toc534190298" w:history="1">
        <w:r w:rsidR="00780D21" w:rsidRPr="00CB2CB5">
          <w:rPr>
            <w:rStyle w:val="Hyperlink"/>
            <w:noProof/>
          </w:rPr>
          <w:t>3.</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Modeling Carbon and Emissions Cost.</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_Toc534190298 \h </w:instrText>
        </w:r>
        <w:r w:rsidR="00780D21" w:rsidRPr="00CB2CB5">
          <w:rPr>
            <w:noProof/>
            <w:webHidden/>
          </w:rPr>
        </w:r>
        <w:r w:rsidR="00780D21" w:rsidRPr="00CB2CB5">
          <w:rPr>
            <w:noProof/>
            <w:webHidden/>
          </w:rPr>
          <w:fldChar w:fldCharType="separate"/>
        </w:r>
        <w:r w:rsidR="00B703D9" w:rsidRPr="00CB2CB5">
          <w:rPr>
            <w:noProof/>
            <w:webHidden/>
          </w:rPr>
          <w:t>1</w:t>
        </w:r>
        <w:r w:rsidR="003B1B79">
          <w:rPr>
            <w:noProof/>
            <w:webHidden/>
          </w:rPr>
          <w:t>5</w:t>
        </w:r>
        <w:r w:rsidR="00780D21" w:rsidRPr="00CB2CB5">
          <w:rPr>
            <w:noProof/>
            <w:webHidden/>
          </w:rPr>
          <w:fldChar w:fldCharType="end"/>
        </w:r>
      </w:hyperlink>
    </w:p>
    <w:p w14:paraId="26CDCA71" w14:textId="3D92868D" w:rsidR="00780D21" w:rsidRPr="00CB2CB5" w:rsidRDefault="008A5446">
      <w:pPr>
        <w:pStyle w:val="TOC3"/>
        <w:rPr>
          <w:rFonts w:asciiTheme="minorHAnsi" w:eastAsiaTheme="minorEastAsia" w:hAnsiTheme="minorHAnsi" w:cstheme="minorBidi"/>
          <w:noProof/>
          <w:color w:val="auto"/>
          <w:sz w:val="22"/>
          <w:szCs w:val="22"/>
        </w:rPr>
      </w:pPr>
      <w:hyperlink w:anchor="_Toc534190299" w:history="1">
        <w:r w:rsidR="00780D21" w:rsidRPr="00CB2CB5">
          <w:rPr>
            <w:rStyle w:val="Hyperlink"/>
            <w:noProof/>
          </w:rPr>
          <w:t>4.</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Water Resources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_Toc534190299 \h </w:instrText>
        </w:r>
        <w:r w:rsidR="00780D21" w:rsidRPr="00CB2CB5">
          <w:rPr>
            <w:noProof/>
            <w:webHidden/>
          </w:rPr>
        </w:r>
        <w:r w:rsidR="00780D21" w:rsidRPr="00CB2CB5">
          <w:rPr>
            <w:noProof/>
            <w:webHidden/>
          </w:rPr>
          <w:fldChar w:fldCharType="separate"/>
        </w:r>
        <w:r w:rsidR="00B703D9" w:rsidRPr="00CB2CB5">
          <w:rPr>
            <w:noProof/>
            <w:webHidden/>
          </w:rPr>
          <w:t>16</w:t>
        </w:r>
        <w:r w:rsidR="00780D21" w:rsidRPr="00CB2CB5">
          <w:rPr>
            <w:noProof/>
            <w:webHidden/>
          </w:rPr>
          <w:fldChar w:fldCharType="end"/>
        </w:r>
      </w:hyperlink>
    </w:p>
    <w:p w14:paraId="3FDC25B8" w14:textId="3E6AA7F0" w:rsidR="00780D21" w:rsidRPr="00CB2CB5" w:rsidRDefault="008A5446">
      <w:pPr>
        <w:pStyle w:val="TOC3"/>
        <w:rPr>
          <w:rFonts w:asciiTheme="minorHAnsi" w:eastAsiaTheme="minorEastAsia" w:hAnsiTheme="minorHAnsi" w:cstheme="minorBidi"/>
          <w:noProof/>
          <w:color w:val="auto"/>
          <w:sz w:val="22"/>
          <w:szCs w:val="22"/>
        </w:rPr>
      </w:pPr>
      <w:hyperlink w:anchor="_Toc534190300" w:history="1">
        <w:r w:rsidR="00780D21" w:rsidRPr="00CB2CB5">
          <w:rPr>
            <w:rStyle w:val="Hyperlink"/>
            <w:noProof/>
          </w:rPr>
          <w:t>5.</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Biological resources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_Toc534190300 \h </w:instrText>
        </w:r>
        <w:r w:rsidR="00780D21" w:rsidRPr="00CB2CB5">
          <w:rPr>
            <w:noProof/>
            <w:webHidden/>
          </w:rPr>
        </w:r>
        <w:r w:rsidR="00780D21" w:rsidRPr="00CB2CB5">
          <w:rPr>
            <w:noProof/>
            <w:webHidden/>
          </w:rPr>
          <w:fldChar w:fldCharType="separate"/>
        </w:r>
        <w:r w:rsidR="00B703D9" w:rsidRPr="00CB2CB5">
          <w:rPr>
            <w:noProof/>
            <w:webHidden/>
          </w:rPr>
          <w:t>1</w:t>
        </w:r>
        <w:r w:rsidR="003B1B79">
          <w:rPr>
            <w:noProof/>
            <w:webHidden/>
          </w:rPr>
          <w:t>6</w:t>
        </w:r>
        <w:r w:rsidR="00780D21" w:rsidRPr="00CB2CB5">
          <w:rPr>
            <w:noProof/>
            <w:webHidden/>
          </w:rPr>
          <w:fldChar w:fldCharType="end"/>
        </w:r>
      </w:hyperlink>
    </w:p>
    <w:p w14:paraId="7B9FE76C" w14:textId="1087C4DC" w:rsidR="00780D21" w:rsidRPr="00CB2CB5" w:rsidRDefault="008A5446">
      <w:pPr>
        <w:pStyle w:val="TOC3"/>
        <w:rPr>
          <w:rFonts w:asciiTheme="minorHAnsi" w:eastAsiaTheme="minorEastAsia" w:hAnsiTheme="minorHAnsi" w:cstheme="minorBidi"/>
          <w:noProof/>
          <w:color w:val="auto"/>
          <w:sz w:val="22"/>
          <w:szCs w:val="22"/>
        </w:rPr>
      </w:pPr>
      <w:hyperlink w:anchor="_Toc534190301" w:history="1">
        <w:r w:rsidR="00780D21" w:rsidRPr="00CB2CB5">
          <w:rPr>
            <w:rStyle w:val="Hyperlink"/>
            <w:noProof/>
          </w:rPr>
          <w:t>6.</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Cultural resources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_Toc534190301 \h </w:instrText>
        </w:r>
        <w:r w:rsidR="00780D21" w:rsidRPr="00CB2CB5">
          <w:rPr>
            <w:noProof/>
            <w:webHidden/>
          </w:rPr>
        </w:r>
        <w:r w:rsidR="00780D21" w:rsidRPr="00CB2CB5">
          <w:rPr>
            <w:noProof/>
            <w:webHidden/>
          </w:rPr>
          <w:fldChar w:fldCharType="separate"/>
        </w:r>
        <w:r w:rsidR="00B703D9" w:rsidRPr="00CB2CB5">
          <w:rPr>
            <w:noProof/>
            <w:webHidden/>
          </w:rPr>
          <w:t>1</w:t>
        </w:r>
        <w:r w:rsidR="003B1B79">
          <w:rPr>
            <w:noProof/>
            <w:webHidden/>
          </w:rPr>
          <w:t>6</w:t>
        </w:r>
        <w:r w:rsidR="00780D21" w:rsidRPr="00CB2CB5">
          <w:rPr>
            <w:noProof/>
            <w:webHidden/>
          </w:rPr>
          <w:fldChar w:fldCharType="end"/>
        </w:r>
      </w:hyperlink>
    </w:p>
    <w:p w14:paraId="407E036F" w14:textId="350E95F8" w:rsidR="00780D21" w:rsidRPr="00CB2CB5" w:rsidRDefault="008A5446">
      <w:pPr>
        <w:pStyle w:val="TOC2"/>
        <w:rPr>
          <w:rFonts w:asciiTheme="minorHAnsi" w:eastAsiaTheme="minorEastAsia" w:hAnsiTheme="minorHAnsi" w:cstheme="minorBidi"/>
          <w:noProof/>
          <w:color w:val="auto"/>
          <w:sz w:val="22"/>
          <w:szCs w:val="22"/>
        </w:rPr>
      </w:pPr>
      <w:hyperlink w:anchor="_Toc534190302" w:history="1">
        <w:r w:rsidR="00780D21" w:rsidRPr="00CB2CB5">
          <w:rPr>
            <w:rStyle w:val="Hyperlink"/>
            <w:rFonts w:eastAsia="Times New Roman"/>
            <w:noProof/>
          </w:rPr>
          <w:t>C.</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Demand Side Resources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_Toc534190302 \h </w:instrText>
        </w:r>
        <w:r w:rsidR="00780D21" w:rsidRPr="00CB2CB5">
          <w:rPr>
            <w:noProof/>
            <w:webHidden/>
          </w:rPr>
        </w:r>
        <w:r w:rsidR="00780D21" w:rsidRPr="00CB2CB5">
          <w:rPr>
            <w:noProof/>
            <w:webHidden/>
          </w:rPr>
          <w:fldChar w:fldCharType="separate"/>
        </w:r>
        <w:r w:rsidR="00B703D9" w:rsidRPr="00CB2CB5">
          <w:rPr>
            <w:noProof/>
            <w:webHidden/>
          </w:rPr>
          <w:t>1</w:t>
        </w:r>
        <w:r w:rsidR="003B1B79">
          <w:rPr>
            <w:noProof/>
            <w:webHidden/>
          </w:rPr>
          <w:t>7</w:t>
        </w:r>
        <w:r w:rsidR="00780D21" w:rsidRPr="00CB2CB5">
          <w:rPr>
            <w:noProof/>
            <w:webHidden/>
          </w:rPr>
          <w:fldChar w:fldCharType="end"/>
        </w:r>
      </w:hyperlink>
    </w:p>
    <w:p w14:paraId="3D569410" w14:textId="36E5582B" w:rsidR="00780D21" w:rsidRPr="00CB2CB5" w:rsidRDefault="008A5446">
      <w:pPr>
        <w:pStyle w:val="TOC2"/>
        <w:rPr>
          <w:rFonts w:asciiTheme="minorHAnsi" w:eastAsiaTheme="minorEastAsia" w:hAnsiTheme="minorHAnsi" w:cstheme="minorBidi"/>
          <w:noProof/>
          <w:color w:val="auto"/>
          <w:sz w:val="22"/>
          <w:szCs w:val="22"/>
        </w:rPr>
      </w:pPr>
      <w:hyperlink w:anchor="_Toc534190303" w:history="1">
        <w:r w:rsidR="00780D21" w:rsidRPr="00CB2CB5">
          <w:rPr>
            <w:rStyle w:val="Hyperlink"/>
            <w:rFonts w:eastAsia="Times New Roman"/>
            <w:noProof/>
          </w:rPr>
          <w:t>D.</w:t>
        </w:r>
        <w:r w:rsidR="00780D21" w:rsidRPr="00CB2CB5">
          <w:rPr>
            <w:rFonts w:asciiTheme="minorHAnsi" w:eastAsiaTheme="minorEastAsia" w:hAnsiTheme="minorHAnsi" w:cstheme="minorBidi"/>
            <w:noProof/>
            <w:color w:val="auto"/>
            <w:sz w:val="22"/>
            <w:szCs w:val="22"/>
          </w:rPr>
          <w:tab/>
        </w:r>
        <w:r w:rsidR="00295F36" w:rsidRPr="00903C35">
          <w:rPr>
            <w:rFonts w:eastAsiaTheme="minorEastAsia"/>
            <w:noProof/>
            <w:color w:val="auto"/>
          </w:rPr>
          <w:t>Energy</w:t>
        </w:r>
        <w:r w:rsidR="00295F36">
          <w:rPr>
            <w:rFonts w:asciiTheme="minorHAnsi" w:eastAsiaTheme="minorEastAsia" w:hAnsiTheme="minorHAnsi" w:cstheme="minorBidi"/>
            <w:noProof/>
            <w:color w:val="auto"/>
            <w:sz w:val="22"/>
            <w:szCs w:val="22"/>
          </w:rPr>
          <w:t xml:space="preserve">  </w:t>
        </w:r>
        <w:r w:rsidR="00780D21" w:rsidRPr="00CB2CB5">
          <w:rPr>
            <w:rStyle w:val="Hyperlink"/>
            <w:rFonts w:eastAsia="Times New Roman"/>
            <w:noProof/>
          </w:rPr>
          <w:t>Storage Resources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_Toc534190303 \h </w:instrText>
        </w:r>
        <w:r w:rsidR="00780D21" w:rsidRPr="00CB2CB5">
          <w:rPr>
            <w:noProof/>
            <w:webHidden/>
          </w:rPr>
        </w:r>
        <w:r w:rsidR="00780D21" w:rsidRPr="00CB2CB5">
          <w:rPr>
            <w:noProof/>
            <w:webHidden/>
          </w:rPr>
          <w:fldChar w:fldCharType="separate"/>
        </w:r>
        <w:r w:rsidR="00B703D9" w:rsidRPr="00CB2CB5">
          <w:rPr>
            <w:noProof/>
            <w:webHidden/>
          </w:rPr>
          <w:t>22</w:t>
        </w:r>
        <w:r w:rsidR="00780D21" w:rsidRPr="00CB2CB5">
          <w:rPr>
            <w:noProof/>
            <w:webHidden/>
          </w:rPr>
          <w:fldChar w:fldCharType="end"/>
        </w:r>
      </w:hyperlink>
    </w:p>
    <w:p w14:paraId="3D7B0261" w14:textId="7740173F" w:rsidR="00780D21" w:rsidRPr="00CB2CB5" w:rsidRDefault="008A5446">
      <w:pPr>
        <w:pStyle w:val="TOC2"/>
        <w:rPr>
          <w:rFonts w:asciiTheme="minorHAnsi" w:eastAsiaTheme="minorEastAsia" w:hAnsiTheme="minorHAnsi" w:cstheme="minorBidi"/>
          <w:noProof/>
          <w:color w:val="auto"/>
          <w:sz w:val="22"/>
          <w:szCs w:val="22"/>
        </w:rPr>
      </w:pPr>
      <w:hyperlink w:anchor="_Toc534190304" w:history="1">
        <w:r w:rsidR="00780D21" w:rsidRPr="00CB2CB5">
          <w:rPr>
            <w:rStyle w:val="Hyperlink"/>
            <w:rFonts w:eastAsia="Times New Roman"/>
            <w:noProof/>
          </w:rPr>
          <w:t>E.</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Reserve Margin and Reliability Requirements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_Toc534190304 \h </w:instrText>
        </w:r>
        <w:r w:rsidR="00780D21" w:rsidRPr="00CB2CB5">
          <w:rPr>
            <w:noProof/>
            <w:webHidden/>
          </w:rPr>
        </w:r>
        <w:r w:rsidR="00780D21" w:rsidRPr="00CB2CB5">
          <w:rPr>
            <w:noProof/>
            <w:webHidden/>
          </w:rPr>
          <w:fldChar w:fldCharType="separate"/>
        </w:r>
        <w:r w:rsidR="00B703D9" w:rsidRPr="00CB2CB5">
          <w:rPr>
            <w:noProof/>
            <w:webHidden/>
          </w:rPr>
          <w:t>22</w:t>
        </w:r>
        <w:r w:rsidR="00780D21" w:rsidRPr="00CB2CB5">
          <w:rPr>
            <w:noProof/>
            <w:webHidden/>
          </w:rPr>
          <w:fldChar w:fldCharType="end"/>
        </w:r>
      </w:hyperlink>
    </w:p>
    <w:p w14:paraId="3317118A" w14:textId="7DA114C1" w:rsidR="00780D21" w:rsidRPr="00CB2CB5" w:rsidRDefault="008A5446">
      <w:pPr>
        <w:pStyle w:val="TOC3"/>
        <w:rPr>
          <w:rFonts w:asciiTheme="minorHAnsi" w:eastAsiaTheme="minorEastAsia" w:hAnsiTheme="minorHAnsi" w:cstheme="minorBidi"/>
          <w:noProof/>
          <w:color w:val="auto"/>
          <w:sz w:val="22"/>
          <w:szCs w:val="22"/>
        </w:rPr>
      </w:pPr>
      <w:hyperlink w:anchor="_Toc534190305" w:history="1">
        <w:r w:rsidR="00780D21" w:rsidRPr="00CB2CB5">
          <w:rPr>
            <w:rStyle w:val="Hyperlink"/>
            <w:rFonts w:eastAsia="Times New Roman"/>
            <w:noProof/>
          </w:rPr>
          <w:t>1.</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Reliability Requirements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_Toc534190305 \h </w:instrText>
        </w:r>
        <w:r w:rsidR="00780D21" w:rsidRPr="00CB2CB5">
          <w:rPr>
            <w:noProof/>
            <w:webHidden/>
          </w:rPr>
        </w:r>
        <w:r w:rsidR="00780D21" w:rsidRPr="00CB2CB5">
          <w:rPr>
            <w:noProof/>
            <w:webHidden/>
          </w:rPr>
          <w:fldChar w:fldCharType="separate"/>
        </w:r>
        <w:r w:rsidR="00B703D9" w:rsidRPr="00CB2CB5">
          <w:rPr>
            <w:noProof/>
            <w:webHidden/>
          </w:rPr>
          <w:t>2</w:t>
        </w:r>
        <w:r w:rsidR="003B1B79">
          <w:rPr>
            <w:noProof/>
            <w:webHidden/>
          </w:rPr>
          <w:t>3</w:t>
        </w:r>
        <w:r w:rsidR="00780D21" w:rsidRPr="00CB2CB5">
          <w:rPr>
            <w:noProof/>
            <w:webHidden/>
          </w:rPr>
          <w:fldChar w:fldCharType="end"/>
        </w:r>
      </w:hyperlink>
    </w:p>
    <w:p w14:paraId="1708ADDB" w14:textId="721C3756" w:rsidR="00780D21" w:rsidRPr="00CB2CB5" w:rsidRDefault="008A5446">
      <w:pPr>
        <w:pStyle w:val="TOC3"/>
        <w:rPr>
          <w:rFonts w:asciiTheme="minorHAnsi" w:eastAsiaTheme="minorEastAsia" w:hAnsiTheme="minorHAnsi" w:cstheme="minorBidi"/>
          <w:noProof/>
          <w:color w:val="auto"/>
          <w:sz w:val="22"/>
          <w:szCs w:val="22"/>
        </w:rPr>
      </w:pPr>
      <w:hyperlink w:anchor="_Toc534190306" w:history="1">
        <w:r w:rsidR="00780D21" w:rsidRPr="00CB2CB5">
          <w:rPr>
            <w:rStyle w:val="Hyperlink"/>
            <w:rFonts w:eastAsia="Times New Roman"/>
            <w:noProof/>
          </w:rPr>
          <w:t>2.</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Reserve Margin Requirements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_Toc534190306 \h </w:instrText>
        </w:r>
        <w:r w:rsidR="00780D21" w:rsidRPr="00CB2CB5">
          <w:rPr>
            <w:noProof/>
            <w:webHidden/>
          </w:rPr>
        </w:r>
        <w:r w:rsidR="00780D21" w:rsidRPr="00CB2CB5">
          <w:rPr>
            <w:noProof/>
            <w:webHidden/>
          </w:rPr>
          <w:fldChar w:fldCharType="separate"/>
        </w:r>
        <w:r w:rsidR="00B703D9" w:rsidRPr="00CB2CB5">
          <w:rPr>
            <w:noProof/>
            <w:webHidden/>
          </w:rPr>
          <w:t>24</w:t>
        </w:r>
        <w:r w:rsidR="00780D21" w:rsidRPr="00CB2CB5">
          <w:rPr>
            <w:noProof/>
            <w:webHidden/>
          </w:rPr>
          <w:fldChar w:fldCharType="end"/>
        </w:r>
      </w:hyperlink>
    </w:p>
    <w:p w14:paraId="4302726A" w14:textId="2E505CE6" w:rsidR="00780D21" w:rsidRPr="00CB2CB5" w:rsidRDefault="008A5446">
      <w:pPr>
        <w:pStyle w:val="TOC2"/>
        <w:rPr>
          <w:rFonts w:asciiTheme="minorHAnsi" w:eastAsiaTheme="minorEastAsia" w:hAnsiTheme="minorHAnsi" w:cstheme="minorBidi"/>
          <w:noProof/>
          <w:color w:val="auto"/>
          <w:sz w:val="22"/>
          <w:szCs w:val="22"/>
        </w:rPr>
      </w:pPr>
      <w:hyperlink w:anchor="_Toc534190307" w:history="1">
        <w:r w:rsidR="00780D21" w:rsidRPr="00CB2CB5">
          <w:rPr>
            <w:rStyle w:val="Hyperlink"/>
            <w:noProof/>
          </w:rPr>
          <w:t>F.</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Existing Transmission Capabilities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_Toc534190307 \h </w:instrText>
        </w:r>
        <w:r w:rsidR="00780D21" w:rsidRPr="00CB2CB5">
          <w:rPr>
            <w:noProof/>
            <w:webHidden/>
          </w:rPr>
        </w:r>
        <w:r w:rsidR="00780D21" w:rsidRPr="00CB2CB5">
          <w:rPr>
            <w:noProof/>
            <w:webHidden/>
          </w:rPr>
          <w:fldChar w:fldCharType="separate"/>
        </w:r>
        <w:r w:rsidR="00B703D9" w:rsidRPr="00CB2CB5">
          <w:rPr>
            <w:noProof/>
            <w:webHidden/>
          </w:rPr>
          <w:t>2</w:t>
        </w:r>
        <w:r w:rsidR="003B1B79">
          <w:rPr>
            <w:noProof/>
            <w:webHidden/>
          </w:rPr>
          <w:t>5</w:t>
        </w:r>
        <w:r w:rsidR="00780D21" w:rsidRPr="00CB2CB5">
          <w:rPr>
            <w:noProof/>
            <w:webHidden/>
          </w:rPr>
          <w:fldChar w:fldCharType="end"/>
        </w:r>
      </w:hyperlink>
    </w:p>
    <w:p w14:paraId="4FEC2DC4" w14:textId="253C9C52" w:rsidR="00780D21" w:rsidRPr="00CB2CB5" w:rsidRDefault="008A5446">
      <w:pPr>
        <w:pStyle w:val="TOC2"/>
        <w:rPr>
          <w:rFonts w:asciiTheme="minorHAnsi" w:eastAsiaTheme="minorEastAsia" w:hAnsiTheme="minorHAnsi" w:cstheme="minorBidi"/>
          <w:noProof/>
          <w:color w:val="auto"/>
          <w:sz w:val="22"/>
          <w:szCs w:val="22"/>
        </w:rPr>
      </w:pPr>
      <w:hyperlink w:anchor="_Toc534190308" w:history="1">
        <w:r w:rsidR="00780D21" w:rsidRPr="00CB2CB5">
          <w:rPr>
            <w:rStyle w:val="Hyperlink"/>
            <w:rFonts w:eastAsia="Times New Roman"/>
            <w:noProof/>
          </w:rPr>
          <w:t>G.</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Back-Up Fuel Capabilities and Options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_Toc534190308 \h </w:instrText>
        </w:r>
        <w:r w:rsidR="00780D21" w:rsidRPr="00CB2CB5">
          <w:rPr>
            <w:noProof/>
            <w:webHidden/>
          </w:rPr>
        </w:r>
        <w:r w:rsidR="00780D21" w:rsidRPr="00CB2CB5">
          <w:rPr>
            <w:noProof/>
            <w:webHidden/>
          </w:rPr>
          <w:fldChar w:fldCharType="separate"/>
        </w:r>
        <w:r w:rsidR="00B703D9" w:rsidRPr="00CB2CB5">
          <w:rPr>
            <w:noProof/>
            <w:webHidden/>
          </w:rPr>
          <w:t>32</w:t>
        </w:r>
        <w:r w:rsidR="00780D21" w:rsidRPr="00CB2CB5">
          <w:rPr>
            <w:noProof/>
            <w:webHidden/>
          </w:rPr>
          <w:fldChar w:fldCharType="end"/>
        </w:r>
      </w:hyperlink>
    </w:p>
    <w:p w14:paraId="32A48934" w14:textId="08AC452E" w:rsidR="00780D21" w:rsidRPr="00CB2CB5" w:rsidRDefault="008A5446">
      <w:pPr>
        <w:pStyle w:val="TOC1"/>
        <w:rPr>
          <w:rFonts w:asciiTheme="minorHAnsi" w:eastAsiaTheme="minorEastAsia" w:hAnsiTheme="minorHAnsi" w:cstheme="minorBidi"/>
          <w:noProof/>
          <w:color w:val="auto"/>
          <w:sz w:val="22"/>
          <w:szCs w:val="22"/>
        </w:rPr>
      </w:pPr>
      <w:hyperlink w:anchor="_Toc534190309" w:history="1">
        <w:r w:rsidR="00780D21" w:rsidRPr="00CB2CB5">
          <w:rPr>
            <w:rStyle w:val="Hyperlink"/>
            <w:noProof/>
          </w:rPr>
          <w:t>IV.</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CURRENT LOAD FORECAST</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_Toc534190309 \h </w:instrText>
        </w:r>
        <w:r w:rsidR="00780D21" w:rsidRPr="00CB2CB5">
          <w:rPr>
            <w:noProof/>
            <w:webHidden/>
          </w:rPr>
        </w:r>
        <w:r w:rsidR="00780D21" w:rsidRPr="00CB2CB5">
          <w:rPr>
            <w:noProof/>
            <w:webHidden/>
          </w:rPr>
          <w:fldChar w:fldCharType="separate"/>
        </w:r>
        <w:r w:rsidR="00B703D9" w:rsidRPr="00CB2CB5">
          <w:rPr>
            <w:noProof/>
            <w:webHidden/>
          </w:rPr>
          <w:t>32</w:t>
        </w:r>
        <w:r w:rsidR="00780D21" w:rsidRPr="00CB2CB5">
          <w:rPr>
            <w:noProof/>
            <w:webHidden/>
          </w:rPr>
          <w:fldChar w:fldCharType="end"/>
        </w:r>
      </w:hyperlink>
    </w:p>
    <w:p w14:paraId="6D3050ED" w14:textId="53E3FD60" w:rsidR="00780D21" w:rsidRPr="00CB2CB5" w:rsidRDefault="008A5446">
      <w:pPr>
        <w:pStyle w:val="TOC2"/>
        <w:rPr>
          <w:rFonts w:asciiTheme="minorHAnsi" w:eastAsiaTheme="minorEastAsia" w:hAnsiTheme="minorHAnsi" w:cstheme="minorBidi"/>
          <w:noProof/>
          <w:color w:val="auto"/>
          <w:sz w:val="22"/>
          <w:szCs w:val="22"/>
        </w:rPr>
      </w:pPr>
      <w:hyperlink w:anchor="_Toc534190310" w:history="1">
        <w:r w:rsidR="00780D21" w:rsidRPr="00CB2CB5">
          <w:rPr>
            <w:rStyle w:val="Hyperlink"/>
            <w:rFonts w:eastAsia="Times New Roman"/>
            <w:noProof/>
          </w:rPr>
          <w:t>A.</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Forecast Summary</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_Toc534190310 \h </w:instrText>
        </w:r>
        <w:r w:rsidR="00780D21" w:rsidRPr="00CB2CB5">
          <w:rPr>
            <w:noProof/>
            <w:webHidden/>
          </w:rPr>
        </w:r>
        <w:r w:rsidR="00780D21" w:rsidRPr="00CB2CB5">
          <w:rPr>
            <w:noProof/>
            <w:webHidden/>
          </w:rPr>
          <w:fldChar w:fldCharType="separate"/>
        </w:r>
        <w:r w:rsidR="00B703D9" w:rsidRPr="00CB2CB5">
          <w:rPr>
            <w:noProof/>
            <w:webHidden/>
          </w:rPr>
          <w:t>32</w:t>
        </w:r>
        <w:r w:rsidR="00780D21" w:rsidRPr="00CB2CB5">
          <w:rPr>
            <w:noProof/>
            <w:webHidden/>
          </w:rPr>
          <w:fldChar w:fldCharType="end"/>
        </w:r>
      </w:hyperlink>
    </w:p>
    <w:p w14:paraId="719D8769" w14:textId="722A0A5D" w:rsidR="00780D21" w:rsidRPr="00CB2CB5" w:rsidRDefault="008A5446">
      <w:pPr>
        <w:pStyle w:val="TOC2"/>
        <w:rPr>
          <w:rFonts w:asciiTheme="minorHAnsi" w:eastAsiaTheme="minorEastAsia" w:hAnsiTheme="minorHAnsi" w:cstheme="minorBidi"/>
          <w:noProof/>
          <w:color w:val="auto"/>
          <w:sz w:val="22"/>
          <w:szCs w:val="22"/>
        </w:rPr>
      </w:pPr>
      <w:hyperlink w:anchor="_Toc534190311" w:history="1">
        <w:r w:rsidR="00780D21" w:rsidRPr="00CB2CB5">
          <w:rPr>
            <w:rStyle w:val="Hyperlink"/>
            <w:rFonts w:eastAsia="Times New Roman"/>
            <w:noProof/>
          </w:rPr>
          <w:t>B.</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Load Forecast Methodology and Inputs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_Toc534190311 \h </w:instrText>
        </w:r>
        <w:r w:rsidR="00780D21" w:rsidRPr="00CB2CB5">
          <w:rPr>
            <w:noProof/>
            <w:webHidden/>
          </w:rPr>
        </w:r>
        <w:r w:rsidR="00780D21" w:rsidRPr="00CB2CB5">
          <w:rPr>
            <w:noProof/>
            <w:webHidden/>
          </w:rPr>
          <w:fldChar w:fldCharType="separate"/>
        </w:r>
        <w:r w:rsidR="00B703D9" w:rsidRPr="00CB2CB5">
          <w:rPr>
            <w:noProof/>
            <w:webHidden/>
          </w:rPr>
          <w:t>32</w:t>
        </w:r>
        <w:r w:rsidR="00780D21" w:rsidRPr="00CB2CB5">
          <w:rPr>
            <w:noProof/>
            <w:webHidden/>
          </w:rPr>
          <w:fldChar w:fldCharType="end"/>
        </w:r>
      </w:hyperlink>
    </w:p>
    <w:p w14:paraId="4360B5F7" w14:textId="15F067A0" w:rsidR="00780D21" w:rsidRPr="00CB2CB5" w:rsidRDefault="008A5446">
      <w:pPr>
        <w:pStyle w:val="TOC3"/>
        <w:rPr>
          <w:rFonts w:asciiTheme="minorHAnsi" w:eastAsiaTheme="minorEastAsia" w:hAnsiTheme="minorHAnsi" w:cstheme="minorBidi"/>
          <w:noProof/>
          <w:color w:val="auto"/>
          <w:sz w:val="22"/>
          <w:szCs w:val="22"/>
        </w:rPr>
      </w:pPr>
      <w:hyperlink w:anchor="_Toc534190312" w:history="1">
        <w:r w:rsidR="00780D21" w:rsidRPr="00CB2CB5">
          <w:rPr>
            <w:rStyle w:val="Hyperlink"/>
            <w:noProof/>
          </w:rPr>
          <w:t>1.</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Energy and Coincident Peak Demand by Major Customer Class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_Toc534190312 \h </w:instrText>
        </w:r>
        <w:r w:rsidR="00780D21" w:rsidRPr="00CB2CB5">
          <w:rPr>
            <w:noProof/>
            <w:webHidden/>
          </w:rPr>
        </w:r>
        <w:r w:rsidR="00780D21" w:rsidRPr="00CB2CB5">
          <w:rPr>
            <w:noProof/>
            <w:webHidden/>
          </w:rPr>
          <w:fldChar w:fldCharType="separate"/>
        </w:r>
        <w:r w:rsidR="00B703D9" w:rsidRPr="00CB2CB5">
          <w:rPr>
            <w:noProof/>
            <w:webHidden/>
          </w:rPr>
          <w:t>35</w:t>
        </w:r>
        <w:r w:rsidR="00780D21" w:rsidRPr="00CB2CB5">
          <w:rPr>
            <w:noProof/>
            <w:webHidden/>
          </w:rPr>
          <w:fldChar w:fldCharType="end"/>
        </w:r>
      </w:hyperlink>
    </w:p>
    <w:p w14:paraId="70319114" w14:textId="79B9A90D" w:rsidR="00780D21" w:rsidRPr="00CB2CB5" w:rsidRDefault="008A5446">
      <w:pPr>
        <w:pStyle w:val="TOC2"/>
        <w:rPr>
          <w:rFonts w:asciiTheme="minorHAnsi" w:eastAsiaTheme="minorEastAsia" w:hAnsiTheme="minorHAnsi" w:cstheme="minorBidi"/>
          <w:noProof/>
          <w:color w:val="auto"/>
          <w:sz w:val="22"/>
          <w:szCs w:val="22"/>
        </w:rPr>
      </w:pPr>
      <w:hyperlink w:anchor="_Toc534190313" w:history="1">
        <w:r w:rsidR="00780D21" w:rsidRPr="00CB2CB5">
          <w:rPr>
            <w:rStyle w:val="Hyperlink"/>
            <w:rFonts w:eastAsia="Times New Roman"/>
            <w:noProof/>
          </w:rPr>
          <w:t>C.</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Weather Adjustment Detail</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_Toc534190313 \h </w:instrText>
        </w:r>
        <w:r w:rsidR="00780D21" w:rsidRPr="00CB2CB5">
          <w:rPr>
            <w:noProof/>
            <w:webHidden/>
          </w:rPr>
        </w:r>
        <w:r w:rsidR="00780D21" w:rsidRPr="00CB2CB5">
          <w:rPr>
            <w:noProof/>
            <w:webHidden/>
          </w:rPr>
          <w:fldChar w:fldCharType="separate"/>
        </w:r>
        <w:r w:rsidR="00B703D9" w:rsidRPr="00CB2CB5">
          <w:rPr>
            <w:noProof/>
            <w:webHidden/>
          </w:rPr>
          <w:t>35</w:t>
        </w:r>
        <w:r w:rsidR="00780D21" w:rsidRPr="00CB2CB5">
          <w:rPr>
            <w:noProof/>
            <w:webHidden/>
          </w:rPr>
          <w:fldChar w:fldCharType="end"/>
        </w:r>
      </w:hyperlink>
    </w:p>
    <w:p w14:paraId="3897AFFE" w14:textId="628DD6D9" w:rsidR="00780D21" w:rsidRPr="00CB2CB5" w:rsidRDefault="008A5446">
      <w:pPr>
        <w:pStyle w:val="TOC2"/>
        <w:rPr>
          <w:rFonts w:asciiTheme="minorHAnsi" w:eastAsiaTheme="minorEastAsia" w:hAnsiTheme="minorHAnsi" w:cstheme="minorBidi"/>
          <w:noProof/>
          <w:color w:val="auto"/>
          <w:sz w:val="22"/>
          <w:szCs w:val="22"/>
        </w:rPr>
      </w:pPr>
      <w:hyperlink w:anchor="_Toc534190314" w:history="1">
        <w:r w:rsidR="00780D21" w:rsidRPr="00CB2CB5">
          <w:rPr>
            <w:rStyle w:val="Hyperlink"/>
            <w:rFonts w:eastAsia="Times New Roman"/>
            <w:noProof/>
          </w:rPr>
          <w:t>D.</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Demand-Side Savings Detail</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_Toc534190314 \h </w:instrText>
        </w:r>
        <w:r w:rsidR="00780D21" w:rsidRPr="00CB2CB5">
          <w:rPr>
            <w:noProof/>
            <w:webHidden/>
          </w:rPr>
        </w:r>
        <w:r w:rsidR="00780D21" w:rsidRPr="00CB2CB5">
          <w:rPr>
            <w:noProof/>
            <w:webHidden/>
          </w:rPr>
          <w:fldChar w:fldCharType="separate"/>
        </w:r>
        <w:r w:rsidR="00B703D9" w:rsidRPr="00CB2CB5">
          <w:rPr>
            <w:noProof/>
            <w:webHidden/>
          </w:rPr>
          <w:t>36</w:t>
        </w:r>
        <w:r w:rsidR="00780D21" w:rsidRPr="00CB2CB5">
          <w:rPr>
            <w:noProof/>
            <w:webHidden/>
          </w:rPr>
          <w:fldChar w:fldCharType="end"/>
        </w:r>
      </w:hyperlink>
    </w:p>
    <w:p w14:paraId="2E476357" w14:textId="792761B2" w:rsidR="00780D21" w:rsidRPr="00CB2CB5" w:rsidRDefault="008A5446">
      <w:pPr>
        <w:pStyle w:val="TOC2"/>
        <w:rPr>
          <w:rFonts w:asciiTheme="minorHAnsi" w:eastAsiaTheme="minorEastAsia" w:hAnsiTheme="minorHAnsi" w:cstheme="minorBidi"/>
          <w:noProof/>
          <w:color w:val="auto"/>
          <w:sz w:val="22"/>
          <w:szCs w:val="22"/>
        </w:rPr>
      </w:pPr>
      <w:hyperlink w:anchor="_Toc534190315" w:history="1">
        <w:r w:rsidR="00780D21" w:rsidRPr="00CB2CB5">
          <w:rPr>
            <w:rStyle w:val="Hyperlink"/>
            <w:rFonts w:eastAsia="Times New Roman"/>
            <w:noProof/>
          </w:rPr>
          <w:t>E.</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Distributed Generation</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_Toc534190315 \h </w:instrText>
        </w:r>
        <w:r w:rsidR="00780D21" w:rsidRPr="00CB2CB5">
          <w:rPr>
            <w:noProof/>
            <w:webHidden/>
          </w:rPr>
        </w:r>
        <w:r w:rsidR="00780D21" w:rsidRPr="00CB2CB5">
          <w:rPr>
            <w:noProof/>
            <w:webHidden/>
          </w:rPr>
          <w:fldChar w:fldCharType="separate"/>
        </w:r>
        <w:r w:rsidR="00B703D9" w:rsidRPr="00CB2CB5">
          <w:rPr>
            <w:noProof/>
            <w:webHidden/>
          </w:rPr>
          <w:t>36</w:t>
        </w:r>
        <w:r w:rsidR="00780D21" w:rsidRPr="00CB2CB5">
          <w:rPr>
            <w:noProof/>
            <w:webHidden/>
          </w:rPr>
          <w:fldChar w:fldCharType="end"/>
        </w:r>
      </w:hyperlink>
    </w:p>
    <w:p w14:paraId="03BABFB3" w14:textId="6D5CFEC1" w:rsidR="00780D21" w:rsidRPr="00CB2CB5" w:rsidRDefault="008A5446">
      <w:pPr>
        <w:pStyle w:val="TOC2"/>
        <w:rPr>
          <w:rFonts w:asciiTheme="minorHAnsi" w:eastAsiaTheme="minorEastAsia" w:hAnsiTheme="minorHAnsi" w:cstheme="minorBidi"/>
          <w:noProof/>
          <w:color w:val="auto"/>
          <w:sz w:val="22"/>
          <w:szCs w:val="22"/>
        </w:rPr>
      </w:pPr>
      <w:hyperlink w:anchor="_Toc534190316" w:history="1">
        <w:r w:rsidR="00780D21" w:rsidRPr="00CB2CB5">
          <w:rPr>
            <w:rStyle w:val="Hyperlink"/>
            <w:rFonts w:eastAsia="Times New Roman"/>
            <w:noProof/>
          </w:rPr>
          <w:t>F.</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Load Forecast Scenarios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_Toc534190316 \h </w:instrText>
        </w:r>
        <w:r w:rsidR="00780D21" w:rsidRPr="00CB2CB5">
          <w:rPr>
            <w:noProof/>
            <w:webHidden/>
          </w:rPr>
        </w:r>
        <w:r w:rsidR="00780D21" w:rsidRPr="00CB2CB5">
          <w:rPr>
            <w:noProof/>
            <w:webHidden/>
          </w:rPr>
          <w:fldChar w:fldCharType="separate"/>
        </w:r>
        <w:r w:rsidR="00B703D9" w:rsidRPr="00CB2CB5">
          <w:rPr>
            <w:noProof/>
            <w:webHidden/>
          </w:rPr>
          <w:t>37</w:t>
        </w:r>
        <w:r w:rsidR="00780D21" w:rsidRPr="00CB2CB5">
          <w:rPr>
            <w:noProof/>
            <w:webHidden/>
          </w:rPr>
          <w:fldChar w:fldCharType="end"/>
        </w:r>
      </w:hyperlink>
    </w:p>
    <w:p w14:paraId="2E58E742" w14:textId="39B16180" w:rsidR="00780D21" w:rsidRPr="00CB2CB5" w:rsidRDefault="008A5446">
      <w:pPr>
        <w:pStyle w:val="TOC2"/>
        <w:rPr>
          <w:rFonts w:asciiTheme="minorHAnsi" w:eastAsiaTheme="minorEastAsia" w:hAnsiTheme="minorHAnsi" w:cstheme="minorBidi"/>
          <w:noProof/>
          <w:color w:val="auto"/>
          <w:sz w:val="22"/>
          <w:szCs w:val="22"/>
        </w:rPr>
      </w:pPr>
      <w:hyperlink w:anchor="_Toc534190317" w:history="1">
        <w:r w:rsidR="00780D21" w:rsidRPr="00CB2CB5">
          <w:rPr>
            <w:rStyle w:val="Hyperlink"/>
            <w:rFonts w:eastAsia="Times New Roman"/>
            <w:noProof/>
          </w:rPr>
          <w:t>G.</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Historical Forecast Accuracy and Comparison</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_Toc534190317 \h </w:instrText>
        </w:r>
        <w:r w:rsidR="00780D21" w:rsidRPr="00CB2CB5">
          <w:rPr>
            <w:noProof/>
            <w:webHidden/>
          </w:rPr>
        </w:r>
        <w:r w:rsidR="00780D21" w:rsidRPr="00CB2CB5">
          <w:rPr>
            <w:noProof/>
            <w:webHidden/>
          </w:rPr>
          <w:fldChar w:fldCharType="separate"/>
        </w:r>
        <w:r w:rsidR="00B703D9" w:rsidRPr="00CB2CB5">
          <w:rPr>
            <w:noProof/>
            <w:webHidden/>
          </w:rPr>
          <w:t>39</w:t>
        </w:r>
        <w:r w:rsidR="00780D21" w:rsidRPr="00CB2CB5">
          <w:rPr>
            <w:noProof/>
            <w:webHidden/>
          </w:rPr>
          <w:fldChar w:fldCharType="end"/>
        </w:r>
      </w:hyperlink>
    </w:p>
    <w:p w14:paraId="23AC8F6B" w14:textId="5767456C" w:rsidR="00780D21" w:rsidRPr="00CB2CB5" w:rsidRDefault="008A5446">
      <w:pPr>
        <w:pStyle w:val="TOC1"/>
        <w:rPr>
          <w:rFonts w:asciiTheme="minorHAnsi" w:eastAsiaTheme="minorEastAsia" w:hAnsiTheme="minorHAnsi" w:cstheme="minorBidi"/>
          <w:noProof/>
          <w:color w:val="auto"/>
          <w:sz w:val="22"/>
          <w:szCs w:val="22"/>
        </w:rPr>
      </w:pPr>
      <w:hyperlink w:anchor="_Toc534190318" w:history="1">
        <w:r w:rsidR="00780D21" w:rsidRPr="00CB2CB5">
          <w:rPr>
            <w:rStyle w:val="Hyperlink"/>
            <w:noProof/>
          </w:rPr>
          <w:t>V.</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LOAD AND RESOURCES TABLE</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_Toc534190318 \h </w:instrText>
        </w:r>
        <w:r w:rsidR="00780D21" w:rsidRPr="00CB2CB5">
          <w:rPr>
            <w:noProof/>
            <w:webHidden/>
          </w:rPr>
        </w:r>
        <w:r w:rsidR="00780D21" w:rsidRPr="00CB2CB5">
          <w:rPr>
            <w:noProof/>
            <w:webHidden/>
          </w:rPr>
          <w:fldChar w:fldCharType="separate"/>
        </w:r>
        <w:r w:rsidR="00B703D9" w:rsidRPr="00CB2CB5">
          <w:rPr>
            <w:noProof/>
            <w:webHidden/>
          </w:rPr>
          <w:t>41</w:t>
        </w:r>
        <w:r w:rsidR="00780D21" w:rsidRPr="00CB2CB5">
          <w:rPr>
            <w:noProof/>
            <w:webHidden/>
          </w:rPr>
          <w:fldChar w:fldCharType="end"/>
        </w:r>
      </w:hyperlink>
    </w:p>
    <w:p w14:paraId="2E06B771" w14:textId="139B2066" w:rsidR="00780D21" w:rsidRPr="00CB2CB5" w:rsidRDefault="008A5446">
      <w:pPr>
        <w:pStyle w:val="TOC1"/>
        <w:rPr>
          <w:rFonts w:asciiTheme="minorHAnsi" w:eastAsiaTheme="minorEastAsia" w:hAnsiTheme="minorHAnsi" w:cstheme="minorBidi"/>
          <w:noProof/>
          <w:color w:val="auto"/>
          <w:sz w:val="22"/>
          <w:szCs w:val="22"/>
        </w:rPr>
      </w:pPr>
      <w:hyperlink w:anchor="_Toc534190319" w:history="1">
        <w:r w:rsidR="00780D21" w:rsidRPr="00CB2CB5">
          <w:rPr>
            <w:rStyle w:val="Hyperlink"/>
            <w:noProof/>
          </w:rPr>
          <w:t>VI.</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IDENTIFICATION OF RESOURCE OPTIONS (EXISTING CHARACTERISTICS AND INTERACTIONS)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_Toc534190319 \h </w:instrText>
        </w:r>
        <w:r w:rsidR="00780D21" w:rsidRPr="00CB2CB5">
          <w:rPr>
            <w:noProof/>
            <w:webHidden/>
          </w:rPr>
        </w:r>
        <w:r w:rsidR="00780D21" w:rsidRPr="00CB2CB5">
          <w:rPr>
            <w:noProof/>
            <w:webHidden/>
          </w:rPr>
          <w:fldChar w:fldCharType="separate"/>
        </w:r>
        <w:r w:rsidR="00B703D9" w:rsidRPr="00CB2CB5">
          <w:rPr>
            <w:noProof/>
            <w:webHidden/>
          </w:rPr>
          <w:t>4</w:t>
        </w:r>
        <w:r w:rsidR="003B1B79">
          <w:rPr>
            <w:noProof/>
            <w:webHidden/>
          </w:rPr>
          <w:t>5</w:t>
        </w:r>
        <w:r w:rsidR="00780D21" w:rsidRPr="00CB2CB5">
          <w:rPr>
            <w:noProof/>
            <w:webHidden/>
          </w:rPr>
          <w:fldChar w:fldCharType="end"/>
        </w:r>
      </w:hyperlink>
    </w:p>
    <w:p w14:paraId="52B82D09" w14:textId="6593E496" w:rsidR="00780D21" w:rsidRPr="00CB2CB5" w:rsidRDefault="008A5446">
      <w:pPr>
        <w:pStyle w:val="TOC2"/>
        <w:rPr>
          <w:rFonts w:asciiTheme="minorHAnsi" w:eastAsiaTheme="minorEastAsia" w:hAnsiTheme="minorHAnsi" w:cstheme="minorBidi"/>
          <w:noProof/>
          <w:color w:val="auto"/>
          <w:sz w:val="22"/>
          <w:szCs w:val="22"/>
        </w:rPr>
      </w:pPr>
      <w:hyperlink w:anchor="_Toc534190320" w:history="1">
        <w:r w:rsidR="00780D21" w:rsidRPr="00CB2CB5">
          <w:rPr>
            <w:rStyle w:val="Hyperlink"/>
            <w:rFonts w:eastAsia="Times New Roman"/>
            <w:noProof/>
          </w:rPr>
          <w:t>A.</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Supply Side Resources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_Toc534190320 \h </w:instrText>
        </w:r>
        <w:r w:rsidR="00780D21" w:rsidRPr="00CB2CB5">
          <w:rPr>
            <w:noProof/>
            <w:webHidden/>
          </w:rPr>
        </w:r>
        <w:r w:rsidR="00780D21" w:rsidRPr="00CB2CB5">
          <w:rPr>
            <w:noProof/>
            <w:webHidden/>
          </w:rPr>
          <w:fldChar w:fldCharType="separate"/>
        </w:r>
        <w:r w:rsidR="00B703D9" w:rsidRPr="00CB2CB5">
          <w:rPr>
            <w:noProof/>
            <w:webHidden/>
          </w:rPr>
          <w:t>44</w:t>
        </w:r>
        <w:r w:rsidR="00780D21" w:rsidRPr="00CB2CB5">
          <w:rPr>
            <w:noProof/>
            <w:webHidden/>
          </w:rPr>
          <w:fldChar w:fldCharType="end"/>
        </w:r>
      </w:hyperlink>
    </w:p>
    <w:p w14:paraId="7EA49AF1" w14:textId="5C193D4C" w:rsidR="00780D21" w:rsidRPr="00CB2CB5" w:rsidRDefault="008A5446">
      <w:pPr>
        <w:pStyle w:val="TOC3"/>
        <w:rPr>
          <w:rFonts w:asciiTheme="minorHAnsi" w:eastAsiaTheme="minorEastAsia" w:hAnsiTheme="minorHAnsi" w:cstheme="minorBidi"/>
          <w:noProof/>
          <w:color w:val="auto"/>
          <w:sz w:val="22"/>
          <w:szCs w:val="22"/>
        </w:rPr>
      </w:pPr>
      <w:hyperlink w:anchor="_Toc534190321" w:history="1">
        <w:r w:rsidR="00780D21" w:rsidRPr="00CB2CB5">
          <w:rPr>
            <w:rStyle w:val="Hyperlink"/>
            <w:rFonts w:eastAsia="Times New Roman"/>
            <w:noProof/>
          </w:rPr>
          <w:t>1.</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Solar Photovoltaic Resource Options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_Toc534190321 \h </w:instrText>
        </w:r>
        <w:r w:rsidR="00780D21" w:rsidRPr="00CB2CB5">
          <w:rPr>
            <w:noProof/>
            <w:webHidden/>
          </w:rPr>
        </w:r>
        <w:r w:rsidR="00780D21" w:rsidRPr="00CB2CB5">
          <w:rPr>
            <w:noProof/>
            <w:webHidden/>
          </w:rPr>
          <w:fldChar w:fldCharType="separate"/>
        </w:r>
        <w:r w:rsidR="00B703D9" w:rsidRPr="00CB2CB5">
          <w:rPr>
            <w:noProof/>
            <w:webHidden/>
          </w:rPr>
          <w:t>4</w:t>
        </w:r>
        <w:r w:rsidR="003B1B79">
          <w:rPr>
            <w:noProof/>
            <w:webHidden/>
          </w:rPr>
          <w:t>5</w:t>
        </w:r>
        <w:r w:rsidR="00780D21" w:rsidRPr="00CB2CB5">
          <w:rPr>
            <w:noProof/>
            <w:webHidden/>
          </w:rPr>
          <w:fldChar w:fldCharType="end"/>
        </w:r>
      </w:hyperlink>
    </w:p>
    <w:p w14:paraId="1FD12136" w14:textId="3ED66180" w:rsidR="00780D21" w:rsidRPr="00CB2CB5" w:rsidRDefault="008A5446">
      <w:pPr>
        <w:pStyle w:val="TOC3"/>
        <w:rPr>
          <w:rFonts w:asciiTheme="minorHAnsi" w:eastAsiaTheme="minorEastAsia" w:hAnsiTheme="minorHAnsi" w:cstheme="minorBidi"/>
          <w:noProof/>
          <w:color w:val="auto"/>
          <w:sz w:val="22"/>
          <w:szCs w:val="22"/>
        </w:rPr>
      </w:pPr>
      <w:hyperlink w:anchor="_Toc534190323" w:history="1">
        <w:r w:rsidR="00295F36">
          <w:rPr>
            <w:rStyle w:val="Hyperlink"/>
            <w:rFonts w:eastAsia="Times New Roman"/>
            <w:noProof/>
          </w:rPr>
          <w:t>2</w:t>
        </w:r>
        <w:r w:rsidR="00780D21" w:rsidRPr="00CB2CB5">
          <w:rPr>
            <w:rStyle w:val="Hyperlink"/>
            <w:rFonts w:eastAsia="Times New Roman"/>
            <w:noProof/>
          </w:rPr>
          <w:t>.</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Wind Resource Options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_Toc534190323 \h </w:instrText>
        </w:r>
        <w:r w:rsidR="00780D21" w:rsidRPr="00CB2CB5">
          <w:rPr>
            <w:noProof/>
            <w:webHidden/>
          </w:rPr>
        </w:r>
        <w:r w:rsidR="00780D21" w:rsidRPr="00CB2CB5">
          <w:rPr>
            <w:noProof/>
            <w:webHidden/>
          </w:rPr>
          <w:fldChar w:fldCharType="separate"/>
        </w:r>
        <w:r w:rsidR="00B703D9" w:rsidRPr="00CB2CB5">
          <w:rPr>
            <w:noProof/>
            <w:webHidden/>
          </w:rPr>
          <w:t>4</w:t>
        </w:r>
        <w:r w:rsidR="003B1B79">
          <w:rPr>
            <w:noProof/>
            <w:webHidden/>
          </w:rPr>
          <w:t>5</w:t>
        </w:r>
        <w:r w:rsidR="00780D21" w:rsidRPr="00CB2CB5">
          <w:rPr>
            <w:noProof/>
            <w:webHidden/>
          </w:rPr>
          <w:fldChar w:fldCharType="end"/>
        </w:r>
      </w:hyperlink>
    </w:p>
    <w:p w14:paraId="34F3E04C" w14:textId="416751C7" w:rsidR="00780D21" w:rsidRPr="00CB2CB5" w:rsidRDefault="008A5446">
      <w:pPr>
        <w:pStyle w:val="TOC3"/>
        <w:rPr>
          <w:rFonts w:asciiTheme="minorHAnsi" w:eastAsiaTheme="minorEastAsia" w:hAnsiTheme="minorHAnsi" w:cstheme="minorBidi"/>
          <w:noProof/>
          <w:color w:val="auto"/>
          <w:sz w:val="22"/>
          <w:szCs w:val="22"/>
        </w:rPr>
      </w:pPr>
      <w:hyperlink w:anchor="_Toc534190324" w:history="1">
        <w:r w:rsidR="00295F36">
          <w:rPr>
            <w:rStyle w:val="Hyperlink"/>
            <w:rFonts w:eastAsia="Times New Roman"/>
            <w:noProof/>
          </w:rPr>
          <w:t>3</w:t>
        </w:r>
        <w:r w:rsidR="00295F36" w:rsidRPr="00CB2CB5">
          <w:rPr>
            <w:rStyle w:val="Hyperlink"/>
            <w:rFonts w:eastAsia="Times New Roman"/>
            <w:noProof/>
          </w:rPr>
          <w:t>.</w:t>
        </w:r>
        <w:r w:rsidR="00295F36" w:rsidRPr="00CB2CB5">
          <w:rPr>
            <w:rFonts w:asciiTheme="minorHAnsi" w:eastAsiaTheme="minorEastAsia" w:hAnsiTheme="minorHAnsi" w:cstheme="minorBidi"/>
            <w:noProof/>
            <w:color w:val="auto"/>
            <w:sz w:val="22"/>
            <w:szCs w:val="22"/>
          </w:rPr>
          <w:tab/>
        </w:r>
        <w:r w:rsidR="00295F36" w:rsidRPr="00CB2CB5">
          <w:rPr>
            <w:rStyle w:val="Hyperlink"/>
            <w:rFonts w:eastAsia="Times New Roman"/>
            <w:noProof/>
          </w:rPr>
          <w:t>Biomass Resource Option</w:t>
        </w:r>
        <w:r w:rsidR="00295F36" w:rsidRPr="00CB2CB5">
          <w:rPr>
            <w:noProof/>
            <w:webHidden/>
          </w:rPr>
          <w:tab/>
        </w:r>
        <w:r w:rsidR="00295F36" w:rsidRPr="00CB2CB5">
          <w:rPr>
            <w:noProof/>
            <w:webHidden/>
          </w:rPr>
          <w:fldChar w:fldCharType="begin"/>
        </w:r>
        <w:r w:rsidR="00295F36" w:rsidRPr="00CB2CB5">
          <w:rPr>
            <w:noProof/>
            <w:webHidden/>
          </w:rPr>
          <w:instrText xml:space="preserve"> PAGEREF _Toc534190324 \h </w:instrText>
        </w:r>
        <w:r w:rsidR="00295F36" w:rsidRPr="00CB2CB5">
          <w:rPr>
            <w:noProof/>
            <w:webHidden/>
          </w:rPr>
        </w:r>
        <w:r w:rsidR="00295F36" w:rsidRPr="00CB2CB5">
          <w:rPr>
            <w:noProof/>
            <w:webHidden/>
          </w:rPr>
          <w:fldChar w:fldCharType="separate"/>
        </w:r>
        <w:r w:rsidR="00295F36" w:rsidRPr="00CB2CB5">
          <w:rPr>
            <w:noProof/>
            <w:webHidden/>
          </w:rPr>
          <w:t>4</w:t>
        </w:r>
        <w:r w:rsidR="00295F36">
          <w:rPr>
            <w:noProof/>
            <w:webHidden/>
          </w:rPr>
          <w:t>5</w:t>
        </w:r>
        <w:r w:rsidR="00295F36" w:rsidRPr="00CB2CB5">
          <w:rPr>
            <w:noProof/>
            <w:webHidden/>
          </w:rPr>
          <w:fldChar w:fldCharType="end"/>
        </w:r>
      </w:hyperlink>
    </w:p>
    <w:p w14:paraId="0AF0889F" w14:textId="33B916CF" w:rsidR="00780D21" w:rsidRPr="00CB2CB5" w:rsidRDefault="008A5446">
      <w:pPr>
        <w:pStyle w:val="TOC3"/>
        <w:rPr>
          <w:rFonts w:asciiTheme="minorHAnsi" w:eastAsiaTheme="minorEastAsia" w:hAnsiTheme="minorHAnsi" w:cstheme="minorBidi"/>
          <w:noProof/>
          <w:color w:val="auto"/>
          <w:sz w:val="22"/>
          <w:szCs w:val="22"/>
        </w:rPr>
      </w:pPr>
      <w:hyperlink w:anchor="_Toc534190325" w:history="1">
        <w:r w:rsidR="00295F36">
          <w:rPr>
            <w:rStyle w:val="Hyperlink"/>
            <w:rFonts w:eastAsia="Times New Roman"/>
            <w:noProof/>
          </w:rPr>
          <w:t>4</w:t>
        </w:r>
        <w:r w:rsidR="00780D21" w:rsidRPr="00CB2CB5">
          <w:rPr>
            <w:rStyle w:val="Hyperlink"/>
            <w:rFonts w:eastAsia="Times New Roman"/>
            <w:noProof/>
          </w:rPr>
          <w:t>.</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Geothermal Resource Option</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_Toc534190325 \h </w:instrText>
        </w:r>
        <w:r w:rsidR="00780D21" w:rsidRPr="00CB2CB5">
          <w:rPr>
            <w:noProof/>
            <w:webHidden/>
          </w:rPr>
        </w:r>
        <w:r w:rsidR="00780D21" w:rsidRPr="00CB2CB5">
          <w:rPr>
            <w:noProof/>
            <w:webHidden/>
          </w:rPr>
          <w:fldChar w:fldCharType="separate"/>
        </w:r>
        <w:r w:rsidR="00B703D9" w:rsidRPr="00CB2CB5">
          <w:rPr>
            <w:noProof/>
            <w:webHidden/>
          </w:rPr>
          <w:t>46</w:t>
        </w:r>
        <w:r w:rsidR="00780D21" w:rsidRPr="00CB2CB5">
          <w:rPr>
            <w:noProof/>
            <w:webHidden/>
          </w:rPr>
          <w:fldChar w:fldCharType="end"/>
        </w:r>
      </w:hyperlink>
    </w:p>
    <w:p w14:paraId="48B5FA67" w14:textId="298E8FF6" w:rsidR="00780D21" w:rsidRPr="00CB2CB5" w:rsidRDefault="008A5446">
      <w:pPr>
        <w:pStyle w:val="TOC3"/>
        <w:rPr>
          <w:rFonts w:asciiTheme="minorHAnsi" w:eastAsiaTheme="minorEastAsia" w:hAnsiTheme="minorHAnsi" w:cstheme="minorBidi"/>
          <w:noProof/>
          <w:color w:val="auto"/>
          <w:sz w:val="22"/>
          <w:szCs w:val="22"/>
        </w:rPr>
      </w:pPr>
      <w:hyperlink w:anchor="_Toc534190326" w:history="1">
        <w:r w:rsidR="00016436">
          <w:rPr>
            <w:rStyle w:val="Hyperlink"/>
            <w:rFonts w:eastAsia="Times New Roman"/>
            <w:noProof/>
          </w:rPr>
          <w:t>5</w:t>
        </w:r>
        <w:r w:rsidR="00780D21" w:rsidRPr="00CB2CB5">
          <w:rPr>
            <w:rStyle w:val="Hyperlink"/>
            <w:rFonts w:eastAsia="Times New Roman"/>
            <w:noProof/>
          </w:rPr>
          <w:t>.</w:t>
        </w:r>
        <w:r w:rsidR="00780D21" w:rsidRPr="00CB2CB5">
          <w:rPr>
            <w:rFonts w:asciiTheme="minorHAnsi" w:eastAsiaTheme="minorEastAsia" w:hAnsiTheme="minorHAnsi" w:cstheme="minorBidi"/>
            <w:noProof/>
            <w:color w:val="auto"/>
            <w:sz w:val="22"/>
            <w:szCs w:val="22"/>
          </w:rPr>
          <w:tab/>
        </w:r>
        <w:r w:rsidR="00295F36">
          <w:rPr>
            <w:rStyle w:val="Hyperlink"/>
            <w:rFonts w:eastAsia="Times New Roman"/>
            <w:noProof/>
          </w:rPr>
          <w:t>Gas-Fired Thermal Power Plant Option</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_Toc534190326 \h </w:instrText>
        </w:r>
        <w:r w:rsidR="00780D21" w:rsidRPr="00CB2CB5">
          <w:rPr>
            <w:noProof/>
            <w:webHidden/>
          </w:rPr>
        </w:r>
        <w:r w:rsidR="00780D21" w:rsidRPr="00CB2CB5">
          <w:rPr>
            <w:noProof/>
            <w:webHidden/>
          </w:rPr>
          <w:fldChar w:fldCharType="separate"/>
        </w:r>
        <w:r w:rsidR="00B703D9" w:rsidRPr="00CB2CB5">
          <w:rPr>
            <w:noProof/>
            <w:webHidden/>
          </w:rPr>
          <w:t>46</w:t>
        </w:r>
        <w:r w:rsidR="00780D21" w:rsidRPr="00CB2CB5">
          <w:rPr>
            <w:noProof/>
            <w:webHidden/>
          </w:rPr>
          <w:fldChar w:fldCharType="end"/>
        </w:r>
      </w:hyperlink>
    </w:p>
    <w:p w14:paraId="08541591" w14:textId="5C78D7DA" w:rsidR="00780D21" w:rsidRPr="00CB2CB5" w:rsidRDefault="008A5446">
      <w:pPr>
        <w:pStyle w:val="TOC3"/>
        <w:rPr>
          <w:rFonts w:asciiTheme="minorHAnsi" w:eastAsiaTheme="minorEastAsia" w:hAnsiTheme="minorHAnsi" w:cstheme="minorBidi"/>
          <w:noProof/>
          <w:color w:val="auto"/>
          <w:sz w:val="22"/>
          <w:szCs w:val="22"/>
        </w:rPr>
      </w:pPr>
      <w:hyperlink w:anchor="_Toc534190327" w:history="1">
        <w:r w:rsidR="00016436">
          <w:rPr>
            <w:rStyle w:val="Hyperlink"/>
            <w:rFonts w:eastAsia="Times New Roman"/>
            <w:noProof/>
          </w:rPr>
          <w:t>6</w:t>
        </w:r>
        <w:r w:rsidR="00780D21" w:rsidRPr="00CB2CB5">
          <w:rPr>
            <w:rStyle w:val="Hyperlink"/>
            <w:rFonts w:eastAsia="Times New Roman"/>
            <w:noProof/>
          </w:rPr>
          <w:t>.</w:t>
        </w:r>
        <w:r w:rsidR="00780D21" w:rsidRPr="00CB2CB5">
          <w:rPr>
            <w:rFonts w:asciiTheme="minorHAnsi" w:eastAsiaTheme="minorEastAsia" w:hAnsiTheme="minorHAnsi" w:cstheme="minorBidi"/>
            <w:noProof/>
            <w:color w:val="auto"/>
            <w:sz w:val="22"/>
            <w:szCs w:val="22"/>
          </w:rPr>
          <w:tab/>
        </w:r>
        <w:r w:rsidR="00295F36">
          <w:rPr>
            <w:rStyle w:val="Hyperlink"/>
            <w:rFonts w:eastAsia="Times New Roman"/>
            <w:noProof/>
          </w:rPr>
          <w:t>Hydrogen Fuel in Gas Turbines</w:t>
        </w:r>
        <w:r w:rsidR="00780D21" w:rsidRPr="00CB2CB5">
          <w:rPr>
            <w:rStyle w:val="Hyperlink"/>
            <w:rFonts w:eastAsia="Times New Roman"/>
            <w:noProof/>
          </w:rPr>
          <w:t xml:space="preserve"> </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_Toc534190327 \h </w:instrText>
        </w:r>
        <w:r w:rsidR="00780D21" w:rsidRPr="00CB2CB5">
          <w:rPr>
            <w:noProof/>
            <w:webHidden/>
          </w:rPr>
        </w:r>
        <w:r w:rsidR="00780D21" w:rsidRPr="00CB2CB5">
          <w:rPr>
            <w:noProof/>
            <w:webHidden/>
          </w:rPr>
          <w:fldChar w:fldCharType="separate"/>
        </w:r>
        <w:r w:rsidR="00B703D9" w:rsidRPr="00CB2CB5">
          <w:rPr>
            <w:noProof/>
            <w:webHidden/>
          </w:rPr>
          <w:t>4</w:t>
        </w:r>
        <w:r w:rsidR="00016436">
          <w:rPr>
            <w:noProof/>
            <w:webHidden/>
          </w:rPr>
          <w:t>6</w:t>
        </w:r>
        <w:r w:rsidR="00780D21" w:rsidRPr="00CB2CB5">
          <w:rPr>
            <w:noProof/>
            <w:webHidden/>
          </w:rPr>
          <w:fldChar w:fldCharType="end"/>
        </w:r>
      </w:hyperlink>
    </w:p>
    <w:p w14:paraId="5B543E01" w14:textId="493530E9" w:rsidR="00780D21" w:rsidRPr="00CB2CB5" w:rsidRDefault="008A5446">
      <w:pPr>
        <w:pStyle w:val="TOC2"/>
        <w:rPr>
          <w:rFonts w:asciiTheme="minorHAnsi" w:eastAsiaTheme="minorEastAsia" w:hAnsiTheme="minorHAnsi" w:cstheme="minorBidi"/>
          <w:noProof/>
          <w:color w:val="auto"/>
          <w:sz w:val="22"/>
          <w:szCs w:val="22"/>
        </w:rPr>
      </w:pPr>
      <w:hyperlink w:anchor="_Toc534190329" w:history="1">
        <w:r w:rsidR="00780D21" w:rsidRPr="00CB2CB5">
          <w:rPr>
            <w:rStyle w:val="Hyperlink"/>
            <w:rFonts w:eastAsia="Times New Roman"/>
            <w:noProof/>
          </w:rPr>
          <w:t>B.</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Energy Storage</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_Toc534190329 \h </w:instrText>
        </w:r>
        <w:r w:rsidR="00780D21" w:rsidRPr="00CB2CB5">
          <w:rPr>
            <w:noProof/>
            <w:webHidden/>
          </w:rPr>
        </w:r>
        <w:r w:rsidR="00780D21" w:rsidRPr="00CB2CB5">
          <w:rPr>
            <w:noProof/>
            <w:webHidden/>
          </w:rPr>
          <w:fldChar w:fldCharType="separate"/>
        </w:r>
        <w:r w:rsidR="00B703D9" w:rsidRPr="00CB2CB5">
          <w:rPr>
            <w:noProof/>
            <w:webHidden/>
          </w:rPr>
          <w:t>47</w:t>
        </w:r>
        <w:r w:rsidR="00780D21" w:rsidRPr="00CB2CB5">
          <w:rPr>
            <w:noProof/>
            <w:webHidden/>
          </w:rPr>
          <w:fldChar w:fldCharType="end"/>
        </w:r>
      </w:hyperlink>
    </w:p>
    <w:p w14:paraId="49DB847B" w14:textId="214B9027" w:rsidR="00780D21" w:rsidRPr="00CB2CB5" w:rsidRDefault="008A5446">
      <w:pPr>
        <w:pStyle w:val="TOC2"/>
        <w:rPr>
          <w:rFonts w:asciiTheme="minorHAnsi" w:eastAsiaTheme="minorEastAsia" w:hAnsiTheme="minorHAnsi" w:cstheme="minorBidi"/>
          <w:noProof/>
          <w:color w:val="auto"/>
          <w:sz w:val="22"/>
          <w:szCs w:val="22"/>
        </w:rPr>
      </w:pPr>
      <w:hyperlink w:anchor="_Toc534190330" w:history="1">
        <w:r w:rsidR="00780D21" w:rsidRPr="00CB2CB5">
          <w:rPr>
            <w:rStyle w:val="Hyperlink"/>
            <w:rFonts w:eastAsia="Times New Roman"/>
            <w:noProof/>
          </w:rPr>
          <w:t>C.</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Demand Side Resources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_Toc534190330 \h </w:instrText>
        </w:r>
        <w:r w:rsidR="00780D21" w:rsidRPr="00CB2CB5">
          <w:rPr>
            <w:noProof/>
            <w:webHidden/>
          </w:rPr>
        </w:r>
        <w:r w:rsidR="00780D21" w:rsidRPr="00CB2CB5">
          <w:rPr>
            <w:noProof/>
            <w:webHidden/>
          </w:rPr>
          <w:fldChar w:fldCharType="separate"/>
        </w:r>
        <w:r w:rsidR="00B703D9" w:rsidRPr="00CB2CB5">
          <w:rPr>
            <w:noProof/>
            <w:webHidden/>
          </w:rPr>
          <w:t>48</w:t>
        </w:r>
        <w:r w:rsidR="00780D21" w:rsidRPr="00CB2CB5">
          <w:rPr>
            <w:noProof/>
            <w:webHidden/>
          </w:rPr>
          <w:fldChar w:fldCharType="end"/>
        </w:r>
      </w:hyperlink>
    </w:p>
    <w:p w14:paraId="05762D8A" w14:textId="7880D8F6" w:rsidR="00780D21" w:rsidRPr="00CB2CB5" w:rsidRDefault="008A5446">
      <w:pPr>
        <w:pStyle w:val="TOC1"/>
        <w:rPr>
          <w:rFonts w:asciiTheme="minorHAnsi" w:eastAsiaTheme="minorEastAsia" w:hAnsiTheme="minorHAnsi" w:cstheme="minorBidi"/>
          <w:noProof/>
          <w:color w:val="auto"/>
          <w:sz w:val="22"/>
          <w:szCs w:val="22"/>
        </w:rPr>
      </w:pPr>
      <w:hyperlink w:anchor="_Toc534190331" w:history="1">
        <w:r w:rsidR="00016436" w:rsidRPr="00CB2CB5">
          <w:rPr>
            <w:rStyle w:val="Hyperlink"/>
            <w:noProof/>
          </w:rPr>
          <w:t>VII.</w:t>
        </w:r>
        <w:r w:rsidR="00016436" w:rsidRPr="00CB2CB5">
          <w:rPr>
            <w:rFonts w:asciiTheme="minorHAnsi" w:eastAsiaTheme="minorEastAsia" w:hAnsiTheme="minorHAnsi" w:cstheme="minorBidi"/>
            <w:noProof/>
            <w:color w:val="auto"/>
            <w:sz w:val="22"/>
            <w:szCs w:val="22"/>
          </w:rPr>
          <w:tab/>
        </w:r>
        <w:r w:rsidR="00016436" w:rsidRPr="00CB2CB5">
          <w:rPr>
            <w:rStyle w:val="Hyperlink"/>
            <w:noProof/>
          </w:rPr>
          <w:t>DESCRIPTION OF THE RESOURCE AND FUEL DIVERSITY</w:t>
        </w:r>
        <w:r w:rsidR="00016436" w:rsidRPr="00CB2CB5">
          <w:rPr>
            <w:noProof/>
            <w:webHidden/>
          </w:rPr>
          <w:tab/>
        </w:r>
        <w:r w:rsidR="00016436" w:rsidRPr="00CB2CB5">
          <w:rPr>
            <w:noProof/>
            <w:webHidden/>
          </w:rPr>
          <w:fldChar w:fldCharType="begin"/>
        </w:r>
        <w:r w:rsidR="00016436" w:rsidRPr="00CB2CB5">
          <w:rPr>
            <w:noProof/>
            <w:webHidden/>
          </w:rPr>
          <w:instrText xml:space="preserve"> PAGEREF _Toc534190331 \h </w:instrText>
        </w:r>
        <w:r w:rsidR="00016436" w:rsidRPr="00CB2CB5">
          <w:rPr>
            <w:noProof/>
            <w:webHidden/>
          </w:rPr>
        </w:r>
        <w:r w:rsidR="00016436" w:rsidRPr="00CB2CB5">
          <w:rPr>
            <w:noProof/>
            <w:webHidden/>
          </w:rPr>
          <w:fldChar w:fldCharType="separate"/>
        </w:r>
        <w:r w:rsidR="00016436" w:rsidRPr="00CB2CB5">
          <w:rPr>
            <w:noProof/>
            <w:webHidden/>
          </w:rPr>
          <w:t>5</w:t>
        </w:r>
        <w:r w:rsidR="00016436">
          <w:rPr>
            <w:noProof/>
            <w:webHidden/>
          </w:rPr>
          <w:t>3</w:t>
        </w:r>
        <w:r w:rsidR="00016436" w:rsidRPr="00CB2CB5">
          <w:rPr>
            <w:noProof/>
            <w:webHidden/>
          </w:rPr>
          <w:fldChar w:fldCharType="end"/>
        </w:r>
      </w:hyperlink>
    </w:p>
    <w:p w14:paraId="21BDCC38" w14:textId="1198617A" w:rsidR="00780D21" w:rsidRPr="00CB2CB5" w:rsidRDefault="008A5446">
      <w:pPr>
        <w:pStyle w:val="TOC1"/>
        <w:rPr>
          <w:rFonts w:asciiTheme="minorHAnsi" w:eastAsiaTheme="minorEastAsia" w:hAnsiTheme="minorHAnsi" w:cstheme="minorBidi"/>
          <w:noProof/>
          <w:color w:val="auto"/>
          <w:sz w:val="22"/>
          <w:szCs w:val="22"/>
        </w:rPr>
      </w:pPr>
      <w:hyperlink w:anchor="_Toc534190332" w:history="1">
        <w:r w:rsidR="00780D21" w:rsidRPr="00CB2CB5">
          <w:rPr>
            <w:rStyle w:val="Hyperlink"/>
            <w:noProof/>
          </w:rPr>
          <w:t>VIII.</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IDENTIFICATION OF CRITICAL FACILITIES SUSCEPTIBLE TO SUPPLY-SOURCE OR OTHER FAILURES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_Toc534190332 \h </w:instrText>
        </w:r>
        <w:r w:rsidR="00780D21" w:rsidRPr="00CB2CB5">
          <w:rPr>
            <w:noProof/>
            <w:webHidden/>
          </w:rPr>
        </w:r>
        <w:r w:rsidR="00780D21" w:rsidRPr="00CB2CB5">
          <w:rPr>
            <w:noProof/>
            <w:webHidden/>
          </w:rPr>
          <w:fldChar w:fldCharType="separate"/>
        </w:r>
        <w:r w:rsidR="00B703D9" w:rsidRPr="00CB2CB5">
          <w:rPr>
            <w:noProof/>
            <w:webHidden/>
          </w:rPr>
          <w:t>56</w:t>
        </w:r>
        <w:r w:rsidR="00780D21" w:rsidRPr="00CB2CB5">
          <w:rPr>
            <w:noProof/>
            <w:webHidden/>
          </w:rPr>
          <w:fldChar w:fldCharType="end"/>
        </w:r>
      </w:hyperlink>
    </w:p>
    <w:p w14:paraId="095045F5" w14:textId="6462C0C8" w:rsidR="00780D21" w:rsidRPr="00CB2CB5" w:rsidRDefault="008A5446">
      <w:pPr>
        <w:pStyle w:val="TOC1"/>
        <w:rPr>
          <w:rFonts w:asciiTheme="minorHAnsi" w:eastAsiaTheme="minorEastAsia" w:hAnsiTheme="minorHAnsi" w:cstheme="minorBidi"/>
          <w:noProof/>
          <w:color w:val="auto"/>
          <w:sz w:val="22"/>
          <w:szCs w:val="22"/>
        </w:rPr>
      </w:pPr>
      <w:hyperlink w:anchor="_Toc534190333" w:history="1">
        <w:r w:rsidR="00780D21" w:rsidRPr="00CB2CB5">
          <w:rPr>
            <w:rStyle w:val="Hyperlink"/>
            <w:noProof/>
          </w:rPr>
          <w:t>IX.</w:t>
        </w:r>
        <w:r w:rsidR="00780D21" w:rsidRPr="00CB2CB5">
          <w:rPr>
            <w:rFonts w:asciiTheme="minorHAnsi" w:eastAsiaTheme="minorEastAsia" w:hAnsiTheme="minorHAnsi" w:cstheme="minorBidi"/>
            <w:noProof/>
            <w:color w:val="auto"/>
            <w:sz w:val="22"/>
            <w:szCs w:val="22"/>
          </w:rPr>
          <w:tab/>
        </w:r>
        <w:r w:rsidR="00780D21" w:rsidRPr="00CB2CB5">
          <w:rPr>
            <w:rStyle w:val="Hyperlink"/>
            <w:noProof/>
            <w:spacing w:val="-2"/>
          </w:rPr>
          <w:t>DETERMINATION OF THE MOST COST-EFFECTIVE RESOURCE PORTFOLIO AND ALTERNATIVE PORTFOLIOS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_Toc534190333 \h </w:instrText>
        </w:r>
        <w:r w:rsidR="00780D21" w:rsidRPr="00CB2CB5">
          <w:rPr>
            <w:noProof/>
            <w:webHidden/>
          </w:rPr>
        </w:r>
        <w:r w:rsidR="00780D21" w:rsidRPr="00CB2CB5">
          <w:rPr>
            <w:noProof/>
            <w:webHidden/>
          </w:rPr>
          <w:fldChar w:fldCharType="separate"/>
        </w:r>
        <w:r w:rsidR="00B703D9" w:rsidRPr="00CB2CB5">
          <w:rPr>
            <w:noProof/>
            <w:webHidden/>
          </w:rPr>
          <w:t>5</w:t>
        </w:r>
        <w:r w:rsidR="003B1B79">
          <w:rPr>
            <w:noProof/>
            <w:webHidden/>
          </w:rPr>
          <w:t>5</w:t>
        </w:r>
        <w:r w:rsidR="00780D21" w:rsidRPr="00CB2CB5">
          <w:rPr>
            <w:noProof/>
            <w:webHidden/>
          </w:rPr>
          <w:fldChar w:fldCharType="end"/>
        </w:r>
      </w:hyperlink>
    </w:p>
    <w:p w14:paraId="679871A9" w14:textId="6D8C8F11" w:rsidR="00780D21" w:rsidRPr="00CB2CB5" w:rsidRDefault="008A5446">
      <w:pPr>
        <w:pStyle w:val="TOC2"/>
        <w:rPr>
          <w:rFonts w:asciiTheme="minorHAnsi" w:eastAsiaTheme="minorEastAsia" w:hAnsiTheme="minorHAnsi" w:cstheme="minorBidi"/>
          <w:noProof/>
          <w:color w:val="auto"/>
          <w:sz w:val="22"/>
          <w:szCs w:val="22"/>
        </w:rPr>
      </w:pPr>
      <w:hyperlink w:anchor="_Toc534190334" w:history="1">
        <w:r w:rsidR="00780D21" w:rsidRPr="00CB2CB5">
          <w:rPr>
            <w:rStyle w:val="Hyperlink"/>
            <w:rFonts w:eastAsia="Times New Roman"/>
            <w:noProof/>
          </w:rPr>
          <w:t>A.</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Most Cost-Effective Portfolio (Base Case)</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_Toc534190334 \h </w:instrText>
        </w:r>
        <w:r w:rsidR="00780D21" w:rsidRPr="00CB2CB5">
          <w:rPr>
            <w:noProof/>
            <w:webHidden/>
          </w:rPr>
        </w:r>
        <w:r w:rsidR="00780D21" w:rsidRPr="00CB2CB5">
          <w:rPr>
            <w:noProof/>
            <w:webHidden/>
          </w:rPr>
          <w:fldChar w:fldCharType="separate"/>
        </w:r>
        <w:r w:rsidR="00B703D9" w:rsidRPr="00CB2CB5">
          <w:rPr>
            <w:noProof/>
            <w:webHidden/>
          </w:rPr>
          <w:t>63</w:t>
        </w:r>
        <w:r w:rsidR="00780D21" w:rsidRPr="00CB2CB5">
          <w:rPr>
            <w:noProof/>
            <w:webHidden/>
          </w:rPr>
          <w:fldChar w:fldCharType="end"/>
        </w:r>
      </w:hyperlink>
    </w:p>
    <w:p w14:paraId="5E4D604C" w14:textId="35875FDF" w:rsidR="00780D21" w:rsidRPr="00CB2CB5" w:rsidRDefault="008A5446">
      <w:pPr>
        <w:pStyle w:val="TOC2"/>
        <w:rPr>
          <w:rFonts w:asciiTheme="minorHAnsi" w:eastAsiaTheme="minorEastAsia" w:hAnsiTheme="minorHAnsi" w:cstheme="minorBidi"/>
          <w:noProof/>
          <w:color w:val="auto"/>
          <w:sz w:val="22"/>
          <w:szCs w:val="22"/>
        </w:rPr>
      </w:pPr>
      <w:hyperlink w:anchor="_Toc534190335" w:history="1">
        <w:r w:rsidR="00780D21" w:rsidRPr="00CB2CB5">
          <w:rPr>
            <w:rStyle w:val="Hyperlink"/>
            <w:rFonts w:eastAsia="Times New Roman"/>
            <w:noProof/>
          </w:rPr>
          <w:t>B.</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Considerations – Reliability</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_Toc534190335 \h </w:instrText>
        </w:r>
        <w:r w:rsidR="00780D21" w:rsidRPr="00CB2CB5">
          <w:rPr>
            <w:noProof/>
            <w:webHidden/>
          </w:rPr>
        </w:r>
        <w:r w:rsidR="00780D21" w:rsidRPr="00CB2CB5">
          <w:rPr>
            <w:noProof/>
            <w:webHidden/>
          </w:rPr>
          <w:fldChar w:fldCharType="separate"/>
        </w:r>
        <w:r w:rsidR="00B703D9" w:rsidRPr="00CB2CB5">
          <w:rPr>
            <w:noProof/>
            <w:webHidden/>
          </w:rPr>
          <w:t>65</w:t>
        </w:r>
        <w:r w:rsidR="00780D21" w:rsidRPr="00CB2CB5">
          <w:rPr>
            <w:noProof/>
            <w:webHidden/>
          </w:rPr>
          <w:fldChar w:fldCharType="end"/>
        </w:r>
      </w:hyperlink>
    </w:p>
    <w:p w14:paraId="59741FC5" w14:textId="2E8FD543" w:rsidR="00780D21" w:rsidRPr="00CB2CB5" w:rsidRDefault="008A5446">
      <w:pPr>
        <w:pStyle w:val="TOC2"/>
        <w:rPr>
          <w:rFonts w:asciiTheme="minorHAnsi" w:eastAsiaTheme="minorEastAsia" w:hAnsiTheme="minorHAnsi" w:cstheme="minorBidi"/>
          <w:noProof/>
          <w:color w:val="auto"/>
          <w:sz w:val="22"/>
          <w:szCs w:val="22"/>
        </w:rPr>
      </w:pPr>
      <w:hyperlink w:anchor="_Toc534190336" w:history="1">
        <w:r w:rsidR="00780D21" w:rsidRPr="00CB2CB5">
          <w:rPr>
            <w:rStyle w:val="Hyperlink"/>
            <w:rFonts w:eastAsia="Times New Roman"/>
            <w:noProof/>
          </w:rPr>
          <w:t>C.</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Alternative Portfolios (sensitivities, carbon tax)</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_Toc534190336 \h </w:instrText>
        </w:r>
        <w:r w:rsidR="00780D21" w:rsidRPr="00CB2CB5">
          <w:rPr>
            <w:noProof/>
            <w:webHidden/>
          </w:rPr>
        </w:r>
        <w:r w:rsidR="00780D21" w:rsidRPr="00CB2CB5">
          <w:rPr>
            <w:noProof/>
            <w:webHidden/>
          </w:rPr>
          <w:fldChar w:fldCharType="separate"/>
        </w:r>
        <w:r w:rsidR="00B703D9" w:rsidRPr="00CB2CB5">
          <w:rPr>
            <w:noProof/>
            <w:webHidden/>
          </w:rPr>
          <w:t>67</w:t>
        </w:r>
        <w:r w:rsidR="00780D21" w:rsidRPr="00CB2CB5">
          <w:rPr>
            <w:noProof/>
            <w:webHidden/>
          </w:rPr>
          <w:fldChar w:fldCharType="end"/>
        </w:r>
      </w:hyperlink>
    </w:p>
    <w:p w14:paraId="56F3B270" w14:textId="00A87BB1" w:rsidR="00780D21" w:rsidRPr="00CB2CB5" w:rsidRDefault="008A5446">
      <w:pPr>
        <w:pStyle w:val="TOC2"/>
        <w:rPr>
          <w:rFonts w:asciiTheme="minorHAnsi" w:eastAsiaTheme="minorEastAsia" w:hAnsiTheme="minorHAnsi" w:cstheme="minorBidi"/>
          <w:noProof/>
          <w:color w:val="auto"/>
          <w:sz w:val="22"/>
          <w:szCs w:val="22"/>
        </w:rPr>
      </w:pPr>
      <w:hyperlink w:anchor="_Toc534190337" w:history="1">
        <w:r w:rsidR="00780D21" w:rsidRPr="00CB2CB5">
          <w:rPr>
            <w:rStyle w:val="Hyperlink"/>
            <w:rFonts w:eastAsia="Times New Roman"/>
            <w:noProof/>
          </w:rPr>
          <w:t>D.</w:t>
        </w:r>
        <w:r w:rsidR="00780D21" w:rsidRPr="00CB2CB5">
          <w:rPr>
            <w:rFonts w:asciiTheme="minorHAnsi" w:eastAsiaTheme="minorEastAsia" w:hAnsiTheme="minorHAnsi" w:cstheme="minorBidi"/>
            <w:noProof/>
            <w:color w:val="auto"/>
            <w:sz w:val="22"/>
            <w:szCs w:val="22"/>
          </w:rPr>
          <w:tab/>
        </w:r>
        <w:r w:rsidR="00780D21" w:rsidRPr="00CB2CB5">
          <w:rPr>
            <w:rStyle w:val="Hyperlink"/>
            <w:rFonts w:eastAsia="Times New Roman"/>
            <w:noProof/>
          </w:rPr>
          <w:t>Recommended Portfolio</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_Toc534190337 \h </w:instrText>
        </w:r>
        <w:r w:rsidR="00780D21" w:rsidRPr="00CB2CB5">
          <w:rPr>
            <w:noProof/>
            <w:webHidden/>
          </w:rPr>
        </w:r>
        <w:r w:rsidR="00780D21" w:rsidRPr="00CB2CB5">
          <w:rPr>
            <w:noProof/>
            <w:webHidden/>
          </w:rPr>
          <w:fldChar w:fldCharType="separate"/>
        </w:r>
        <w:r w:rsidR="00B703D9" w:rsidRPr="00CB2CB5">
          <w:rPr>
            <w:noProof/>
            <w:webHidden/>
          </w:rPr>
          <w:t>78</w:t>
        </w:r>
        <w:r w:rsidR="00780D21" w:rsidRPr="00CB2CB5">
          <w:rPr>
            <w:noProof/>
            <w:webHidden/>
          </w:rPr>
          <w:fldChar w:fldCharType="end"/>
        </w:r>
      </w:hyperlink>
    </w:p>
    <w:p w14:paraId="5E1165C7" w14:textId="1B9E89A1" w:rsidR="00780D21" w:rsidRPr="00CB2CB5" w:rsidRDefault="008A5446">
      <w:pPr>
        <w:pStyle w:val="TOC1"/>
        <w:rPr>
          <w:rFonts w:asciiTheme="minorHAnsi" w:eastAsiaTheme="minorEastAsia" w:hAnsiTheme="minorHAnsi" w:cstheme="minorBidi"/>
          <w:noProof/>
          <w:color w:val="auto"/>
          <w:sz w:val="22"/>
          <w:szCs w:val="22"/>
        </w:rPr>
      </w:pPr>
      <w:hyperlink w:anchor="_Toc534190338" w:history="1">
        <w:r w:rsidR="00780D21" w:rsidRPr="00CB2CB5">
          <w:rPr>
            <w:rStyle w:val="Hyperlink"/>
            <w:noProof/>
          </w:rPr>
          <w:t>X.</w:t>
        </w:r>
        <w:r w:rsidR="00780D21" w:rsidRPr="00CB2CB5">
          <w:rPr>
            <w:rFonts w:asciiTheme="minorHAnsi" w:eastAsiaTheme="minorEastAsia" w:hAnsiTheme="minorHAnsi" w:cstheme="minorBidi"/>
            <w:noProof/>
            <w:color w:val="auto"/>
            <w:sz w:val="22"/>
            <w:szCs w:val="22"/>
          </w:rPr>
          <w:tab/>
        </w:r>
        <w:r w:rsidR="00780D21" w:rsidRPr="00CB2CB5">
          <w:rPr>
            <w:rStyle w:val="Hyperlink"/>
            <w:noProof/>
          </w:rPr>
          <w:t>DESCRIPTION OF PUBLIC PROCESS</w:t>
        </w:r>
        <w:r w:rsidR="00780D21" w:rsidRPr="00CB2CB5">
          <w:rPr>
            <w:noProof/>
            <w:webHidden/>
          </w:rPr>
          <w:tab/>
        </w:r>
        <w:r w:rsidR="00780D21" w:rsidRPr="00CB2CB5">
          <w:rPr>
            <w:noProof/>
            <w:webHidden/>
          </w:rPr>
          <w:fldChar w:fldCharType="begin"/>
        </w:r>
        <w:r w:rsidR="00780D21" w:rsidRPr="00CB2CB5">
          <w:rPr>
            <w:noProof/>
            <w:webHidden/>
          </w:rPr>
          <w:instrText xml:space="preserve"> PAGEREF _Toc534190338 \h </w:instrText>
        </w:r>
        <w:r w:rsidR="00780D21" w:rsidRPr="00CB2CB5">
          <w:rPr>
            <w:noProof/>
            <w:webHidden/>
          </w:rPr>
        </w:r>
        <w:r w:rsidR="00780D21" w:rsidRPr="00CB2CB5">
          <w:rPr>
            <w:noProof/>
            <w:webHidden/>
          </w:rPr>
          <w:fldChar w:fldCharType="separate"/>
        </w:r>
        <w:r w:rsidR="00B703D9" w:rsidRPr="00CB2CB5">
          <w:rPr>
            <w:noProof/>
            <w:webHidden/>
          </w:rPr>
          <w:t>8</w:t>
        </w:r>
        <w:r w:rsidR="003B1B79">
          <w:rPr>
            <w:noProof/>
            <w:webHidden/>
          </w:rPr>
          <w:t>4</w:t>
        </w:r>
        <w:r w:rsidR="00780D21" w:rsidRPr="00CB2CB5">
          <w:rPr>
            <w:noProof/>
            <w:webHidden/>
          </w:rPr>
          <w:fldChar w:fldCharType="end"/>
        </w:r>
      </w:hyperlink>
    </w:p>
    <w:p w14:paraId="5C7A5D21" w14:textId="021057BF" w:rsidR="00780D21" w:rsidRPr="00CB2CB5" w:rsidRDefault="008A5446">
      <w:pPr>
        <w:pStyle w:val="TOC1"/>
        <w:rPr>
          <w:rFonts w:asciiTheme="minorHAnsi" w:eastAsiaTheme="minorEastAsia" w:hAnsiTheme="minorHAnsi" w:cstheme="minorBidi"/>
          <w:noProof/>
          <w:color w:val="auto"/>
          <w:sz w:val="22"/>
          <w:szCs w:val="22"/>
        </w:rPr>
      </w:pPr>
      <w:hyperlink w:anchor="_Toc534190339" w:history="1">
        <w:r w:rsidR="00295F36" w:rsidRPr="00CB2CB5">
          <w:rPr>
            <w:rStyle w:val="Hyperlink"/>
            <w:noProof/>
          </w:rPr>
          <w:t>XI.</w:t>
        </w:r>
        <w:r w:rsidR="00295F36" w:rsidRPr="00CB2CB5">
          <w:rPr>
            <w:rFonts w:asciiTheme="minorHAnsi" w:eastAsiaTheme="minorEastAsia" w:hAnsiTheme="minorHAnsi" w:cstheme="minorBidi"/>
            <w:noProof/>
            <w:color w:val="auto"/>
            <w:sz w:val="22"/>
            <w:szCs w:val="22"/>
          </w:rPr>
          <w:tab/>
        </w:r>
        <w:r w:rsidR="00295F36" w:rsidRPr="00CB2CB5">
          <w:rPr>
            <w:rStyle w:val="Hyperlink"/>
            <w:noProof/>
          </w:rPr>
          <w:t>CONCLUSION</w:t>
        </w:r>
        <w:r w:rsidR="00295F36" w:rsidRPr="00CB2CB5">
          <w:rPr>
            <w:noProof/>
            <w:webHidden/>
          </w:rPr>
          <w:tab/>
        </w:r>
        <w:r w:rsidR="00295F36">
          <w:rPr>
            <w:noProof/>
            <w:webHidden/>
          </w:rPr>
          <w:t>89</w:t>
        </w:r>
      </w:hyperlink>
    </w:p>
    <w:p w14:paraId="034C5FE9" w14:textId="29B8EFB0" w:rsidR="00780D21" w:rsidRPr="00CB2CB5" w:rsidRDefault="00780D21">
      <w:pPr>
        <w:pStyle w:val="TOC2"/>
        <w:rPr>
          <w:rFonts w:asciiTheme="minorHAnsi" w:eastAsiaTheme="minorEastAsia" w:hAnsiTheme="minorHAnsi" w:cstheme="minorBidi"/>
          <w:noProof/>
          <w:color w:val="auto"/>
          <w:sz w:val="22"/>
          <w:szCs w:val="22"/>
        </w:rPr>
      </w:pPr>
    </w:p>
    <w:p w14:paraId="0E73E400" w14:textId="7E0FC969" w:rsidR="00992E5D" w:rsidRPr="00CB2CB5" w:rsidRDefault="00914A69" w:rsidP="00403E25">
      <w:pPr>
        <w:spacing w:line="240" w:lineRule="auto"/>
        <w:jc w:val="left"/>
        <w:rPr>
          <w:rFonts w:eastAsia="Times New Roman"/>
        </w:rPr>
      </w:pPr>
      <w:r w:rsidRPr="00CB2CB5">
        <w:rPr>
          <w:rFonts w:eastAsia="Times New Roman"/>
        </w:rPr>
        <w:fldChar w:fldCharType="end"/>
      </w:r>
    </w:p>
    <w:p w14:paraId="0EFE835C" w14:textId="77777777" w:rsidR="0006190C" w:rsidRPr="00CB2CB5" w:rsidRDefault="0006190C" w:rsidP="0006190C">
      <w:pPr>
        <w:spacing w:line="240" w:lineRule="auto"/>
        <w:jc w:val="left"/>
        <w:rPr>
          <w:rFonts w:eastAsia="Times New Roman"/>
        </w:rPr>
      </w:pPr>
    </w:p>
    <w:p w14:paraId="55020C1B" w14:textId="77777777" w:rsidR="001B7B08" w:rsidRPr="00CB2CB5" w:rsidRDefault="001B7B08" w:rsidP="0006190C">
      <w:pPr>
        <w:spacing w:line="240" w:lineRule="auto"/>
        <w:jc w:val="left"/>
        <w:rPr>
          <w:rFonts w:eastAsia="Times New Roman"/>
        </w:rPr>
        <w:sectPr w:rsidR="001B7B08" w:rsidRPr="00CB2CB5" w:rsidSect="004D2436">
          <w:headerReference w:type="even" r:id="rId11"/>
          <w:headerReference w:type="default" r:id="rId12"/>
          <w:footerReference w:type="default" r:id="rId13"/>
          <w:headerReference w:type="first" r:id="rId14"/>
          <w:footerReference w:type="first" r:id="rId15"/>
          <w:pgSz w:w="12240" w:h="15840" w:code="1"/>
          <w:pgMar w:top="1440" w:right="1440" w:bottom="1440" w:left="1440" w:header="720" w:footer="720" w:gutter="0"/>
          <w:pgNumType w:fmt="lowerRoman" w:start="1"/>
          <w:cols w:space="720"/>
          <w:docGrid w:linePitch="360"/>
        </w:sectPr>
      </w:pPr>
    </w:p>
    <w:p w14:paraId="4A973DAD" w14:textId="77777777" w:rsidR="00D86769" w:rsidRPr="00CB2CB5" w:rsidRDefault="005065DF" w:rsidP="001B7B08">
      <w:pPr>
        <w:spacing w:line="240" w:lineRule="auto"/>
        <w:jc w:val="center"/>
        <w:rPr>
          <w:rFonts w:eastAsia="Times New Roman"/>
          <w:b/>
        </w:rPr>
      </w:pPr>
      <w:r w:rsidRPr="00CB2CB5">
        <w:rPr>
          <w:rFonts w:eastAsia="Times New Roman"/>
          <w:b/>
        </w:rPr>
        <w:lastRenderedPageBreak/>
        <w:t>LIST OF TABLES</w:t>
      </w:r>
    </w:p>
    <w:p w14:paraId="2725F5D5" w14:textId="77777777" w:rsidR="00D86769" w:rsidRPr="00CB2CB5" w:rsidRDefault="00D86769" w:rsidP="00D86769">
      <w:pPr>
        <w:spacing w:line="240" w:lineRule="auto"/>
        <w:jc w:val="left"/>
        <w:rPr>
          <w:rFonts w:eastAsia="Times New Roman"/>
        </w:rPr>
      </w:pPr>
    </w:p>
    <w:p w14:paraId="7654BA00" w14:textId="77777777" w:rsidR="00D86769" w:rsidRPr="00CB2CB5" w:rsidRDefault="00D86769" w:rsidP="00D86769">
      <w:pPr>
        <w:spacing w:line="240" w:lineRule="auto"/>
        <w:jc w:val="left"/>
        <w:rPr>
          <w:rFonts w:eastAsia="Times New Roman"/>
        </w:rPr>
      </w:pPr>
    </w:p>
    <w:p w14:paraId="07B465F9" w14:textId="570379E1" w:rsidR="00B82AFB" w:rsidRPr="00CB2CB5" w:rsidRDefault="004275C1">
      <w:pPr>
        <w:pStyle w:val="TableofFigures"/>
        <w:tabs>
          <w:tab w:val="right" w:leader="dot" w:pos="9350"/>
        </w:tabs>
        <w:rPr>
          <w:rFonts w:asciiTheme="minorHAnsi" w:eastAsiaTheme="minorEastAsia" w:hAnsiTheme="minorHAnsi" w:cstheme="minorBidi"/>
          <w:noProof/>
          <w:color w:val="auto"/>
          <w:sz w:val="22"/>
          <w:szCs w:val="22"/>
        </w:rPr>
      </w:pPr>
      <w:r w:rsidRPr="00CB2CB5">
        <w:rPr>
          <w:rFonts w:eastAsia="Times New Roman"/>
        </w:rPr>
        <w:fldChar w:fldCharType="begin"/>
      </w:r>
      <w:r w:rsidRPr="00CB2CB5">
        <w:rPr>
          <w:rFonts w:eastAsia="Times New Roman"/>
        </w:rPr>
        <w:instrText xml:space="preserve"> TOC \h \z \c "Table" </w:instrText>
      </w:r>
      <w:r w:rsidRPr="00CB2CB5">
        <w:rPr>
          <w:rFonts w:eastAsia="Times New Roman"/>
        </w:rPr>
        <w:fldChar w:fldCharType="separate"/>
      </w:r>
      <w:hyperlink w:anchor="_Toc534193079" w:history="1">
        <w:r w:rsidR="00B82AFB" w:rsidRPr="00CB2CB5">
          <w:rPr>
            <w:rStyle w:val="Hyperlink"/>
            <w:noProof/>
          </w:rPr>
          <w:t xml:space="preserve">Table 1 – </w:t>
        </w:r>
        <w:r w:rsidR="00BC53A3" w:rsidRPr="00BC53A3">
          <w:rPr>
            <w:rStyle w:val="Hyperlink"/>
            <w:noProof/>
          </w:rPr>
          <w:t>EPE-owned Existing Generation Stations and Fuel Types</w:t>
        </w:r>
        <w:r w:rsidR="00B82AFB" w:rsidRPr="00CB2CB5">
          <w:rPr>
            <w:noProof/>
            <w:webHidden/>
          </w:rPr>
          <w:tab/>
        </w:r>
        <w:r w:rsidR="00BC53A3">
          <w:rPr>
            <w:noProof/>
            <w:webHidden/>
          </w:rPr>
          <w:t>10</w:t>
        </w:r>
      </w:hyperlink>
    </w:p>
    <w:p w14:paraId="2EB8BD2D" w14:textId="166E4B95"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0" w:history="1">
        <w:r w:rsidR="00B82AFB" w:rsidRPr="00CB2CB5">
          <w:rPr>
            <w:rStyle w:val="Hyperlink"/>
            <w:noProof/>
          </w:rPr>
          <w:t xml:space="preserve">Table 2 – </w:t>
        </w:r>
        <w:r w:rsidR="00BC53A3" w:rsidRPr="00BC53A3">
          <w:rPr>
            <w:rStyle w:val="Hyperlink"/>
            <w:noProof/>
          </w:rPr>
          <w:t>EPE Existing Renewable Generation Resources</w:t>
        </w:r>
        <w:r w:rsidR="00B82AFB" w:rsidRPr="00CB2CB5">
          <w:rPr>
            <w:noProof/>
            <w:webHidden/>
          </w:rPr>
          <w:tab/>
        </w:r>
        <w:r w:rsidR="00B82AFB" w:rsidRPr="00CB2CB5">
          <w:rPr>
            <w:noProof/>
            <w:webHidden/>
          </w:rPr>
          <w:fldChar w:fldCharType="begin"/>
        </w:r>
        <w:r w:rsidR="00B82AFB" w:rsidRPr="00CB2CB5">
          <w:rPr>
            <w:noProof/>
            <w:webHidden/>
          </w:rPr>
          <w:instrText xml:space="preserve"> PAGEREF _Toc534193080 \h </w:instrText>
        </w:r>
        <w:r w:rsidR="00B82AFB" w:rsidRPr="00CB2CB5">
          <w:rPr>
            <w:noProof/>
            <w:webHidden/>
          </w:rPr>
        </w:r>
        <w:r w:rsidR="00B82AFB" w:rsidRPr="00CB2CB5">
          <w:rPr>
            <w:noProof/>
            <w:webHidden/>
          </w:rPr>
          <w:fldChar w:fldCharType="separate"/>
        </w:r>
        <w:r w:rsidR="00B703D9" w:rsidRPr="00CB2CB5">
          <w:rPr>
            <w:noProof/>
            <w:webHidden/>
          </w:rPr>
          <w:t>11</w:t>
        </w:r>
        <w:r w:rsidR="00B82AFB" w:rsidRPr="00CB2CB5">
          <w:rPr>
            <w:noProof/>
            <w:webHidden/>
          </w:rPr>
          <w:fldChar w:fldCharType="end"/>
        </w:r>
      </w:hyperlink>
    </w:p>
    <w:p w14:paraId="003E3846" w14:textId="0D2FB29D"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1" w:history="1">
        <w:r w:rsidR="00B82AFB" w:rsidRPr="00CB2CB5">
          <w:rPr>
            <w:rStyle w:val="Hyperlink"/>
            <w:noProof/>
          </w:rPr>
          <w:t xml:space="preserve">Table 3 – </w:t>
        </w:r>
        <w:r w:rsidR="00BC53A3" w:rsidRPr="00BC53A3">
          <w:rPr>
            <w:rStyle w:val="Hyperlink"/>
            <w:noProof/>
          </w:rPr>
          <w:t>Environmental Impacts of Existing Supply Side Resources</w:t>
        </w:r>
        <w:r w:rsidR="00B82AFB" w:rsidRPr="00CB2CB5">
          <w:rPr>
            <w:noProof/>
            <w:webHidden/>
          </w:rPr>
          <w:tab/>
        </w:r>
        <w:r w:rsidR="00B82AFB" w:rsidRPr="00CB2CB5">
          <w:rPr>
            <w:noProof/>
            <w:webHidden/>
          </w:rPr>
          <w:fldChar w:fldCharType="begin"/>
        </w:r>
        <w:r w:rsidR="00B82AFB" w:rsidRPr="00CB2CB5">
          <w:rPr>
            <w:noProof/>
            <w:webHidden/>
          </w:rPr>
          <w:instrText xml:space="preserve"> PAGEREF _Toc534193081 \h </w:instrText>
        </w:r>
        <w:r w:rsidR="00B82AFB" w:rsidRPr="00CB2CB5">
          <w:rPr>
            <w:noProof/>
            <w:webHidden/>
          </w:rPr>
        </w:r>
        <w:r w:rsidR="00B82AFB" w:rsidRPr="00CB2CB5">
          <w:rPr>
            <w:noProof/>
            <w:webHidden/>
          </w:rPr>
          <w:fldChar w:fldCharType="separate"/>
        </w:r>
        <w:r w:rsidR="00B703D9" w:rsidRPr="00CB2CB5">
          <w:rPr>
            <w:noProof/>
            <w:webHidden/>
          </w:rPr>
          <w:t>1</w:t>
        </w:r>
        <w:r w:rsidR="00BC53A3">
          <w:rPr>
            <w:noProof/>
            <w:webHidden/>
          </w:rPr>
          <w:t>4</w:t>
        </w:r>
        <w:r w:rsidR="00B82AFB" w:rsidRPr="00CB2CB5">
          <w:rPr>
            <w:noProof/>
            <w:webHidden/>
          </w:rPr>
          <w:fldChar w:fldCharType="end"/>
        </w:r>
      </w:hyperlink>
    </w:p>
    <w:p w14:paraId="6E018F7F" w14:textId="3A5D12C4"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2" w:history="1">
        <w:r w:rsidR="00B82AFB" w:rsidRPr="00CB2CB5">
          <w:rPr>
            <w:rStyle w:val="Hyperlink"/>
            <w:noProof/>
          </w:rPr>
          <w:t xml:space="preserve">Table 4 – </w:t>
        </w:r>
        <w:r w:rsidR="00BC53A3" w:rsidRPr="00BC53A3">
          <w:rPr>
            <w:rStyle w:val="Hyperlink"/>
            <w:noProof/>
          </w:rPr>
          <w:t>Current Portfolio of New Mexico EE Programs and Program EUL</w:t>
        </w:r>
        <w:r w:rsidR="00B82AFB" w:rsidRPr="00CB2CB5">
          <w:rPr>
            <w:noProof/>
            <w:webHidden/>
          </w:rPr>
          <w:tab/>
        </w:r>
        <w:r w:rsidR="00BC53A3">
          <w:rPr>
            <w:noProof/>
            <w:webHidden/>
          </w:rPr>
          <w:t>21</w:t>
        </w:r>
      </w:hyperlink>
    </w:p>
    <w:p w14:paraId="4CEAF293" w14:textId="4613ADE7"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3" w:history="1">
        <w:r w:rsidR="00B82AFB" w:rsidRPr="00CB2CB5">
          <w:rPr>
            <w:rStyle w:val="Hyperlink"/>
            <w:noProof/>
          </w:rPr>
          <w:t xml:space="preserve">Table 5 – </w:t>
        </w:r>
        <w:r w:rsidR="00BC53A3" w:rsidRPr="00BC53A3">
          <w:rPr>
            <w:rStyle w:val="Hyperlink"/>
            <w:noProof/>
          </w:rPr>
          <w:t>New Mexico Verified and Projected Participation, Impacts and Budget Portfolio</w:t>
        </w:r>
        <w:r w:rsidR="00B82AFB" w:rsidRPr="00CB2CB5">
          <w:rPr>
            <w:noProof/>
            <w:webHidden/>
          </w:rPr>
          <w:tab/>
        </w:r>
        <w:r w:rsidR="00BC53A3">
          <w:rPr>
            <w:noProof/>
            <w:webHidden/>
          </w:rPr>
          <w:t>22</w:t>
        </w:r>
      </w:hyperlink>
    </w:p>
    <w:p w14:paraId="6C68C7CB" w14:textId="2418525A"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4" w:history="1">
        <w:r w:rsidR="00B82AFB" w:rsidRPr="00CB2CB5">
          <w:rPr>
            <w:rStyle w:val="Hyperlink"/>
            <w:noProof/>
          </w:rPr>
          <w:t xml:space="preserve">Table 6 – </w:t>
        </w:r>
        <w:r w:rsidR="0099745E" w:rsidRPr="0099745E">
          <w:rPr>
            <w:rStyle w:val="Hyperlink"/>
            <w:noProof/>
          </w:rPr>
          <w:t>Texas Verified and Projected Demand and Energy Savings</w:t>
        </w:r>
        <w:r w:rsidR="00B82AFB" w:rsidRPr="00CB2CB5">
          <w:rPr>
            <w:noProof/>
            <w:webHidden/>
          </w:rPr>
          <w:tab/>
        </w:r>
        <w:r w:rsidR="00BC53A3">
          <w:rPr>
            <w:noProof/>
            <w:webHidden/>
          </w:rPr>
          <w:t>23</w:t>
        </w:r>
      </w:hyperlink>
    </w:p>
    <w:p w14:paraId="0AC5A126" w14:textId="404F0FF1"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5" w:history="1">
        <w:r w:rsidR="00B82AFB" w:rsidRPr="00CB2CB5">
          <w:rPr>
            <w:rStyle w:val="Hyperlink"/>
            <w:noProof/>
          </w:rPr>
          <w:t xml:space="preserve">Table 7 – </w:t>
        </w:r>
        <w:r w:rsidR="0099745E" w:rsidRPr="0099745E">
          <w:rPr>
            <w:rStyle w:val="Hyperlink"/>
            <w:noProof/>
          </w:rPr>
          <w:t>Total Sales (MWh) Historical Forecast Accuracy</w:t>
        </w:r>
        <w:r w:rsidR="00B82AFB" w:rsidRPr="00CB2CB5">
          <w:rPr>
            <w:noProof/>
            <w:webHidden/>
          </w:rPr>
          <w:tab/>
        </w:r>
        <w:r w:rsidR="0099745E">
          <w:rPr>
            <w:noProof/>
            <w:webHidden/>
          </w:rPr>
          <w:t>43</w:t>
        </w:r>
      </w:hyperlink>
    </w:p>
    <w:p w14:paraId="5AC3DF95" w14:textId="1664D6C5"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6" w:history="1">
        <w:r w:rsidR="00B82AFB" w:rsidRPr="00CB2CB5">
          <w:rPr>
            <w:rStyle w:val="Hyperlink"/>
            <w:noProof/>
          </w:rPr>
          <w:t xml:space="preserve">Table 8 - </w:t>
        </w:r>
        <w:r w:rsidR="0099745E" w:rsidRPr="0099745E">
          <w:rPr>
            <w:rStyle w:val="Hyperlink"/>
            <w:noProof/>
          </w:rPr>
          <w:t>Native System Demand (MW) Historical Forecast Accuracy</w:t>
        </w:r>
        <w:r w:rsidR="00B82AFB" w:rsidRPr="00CB2CB5">
          <w:rPr>
            <w:noProof/>
            <w:webHidden/>
          </w:rPr>
          <w:tab/>
        </w:r>
        <w:r w:rsidR="0099745E">
          <w:rPr>
            <w:noProof/>
            <w:webHidden/>
          </w:rPr>
          <w:t>43</w:t>
        </w:r>
      </w:hyperlink>
    </w:p>
    <w:p w14:paraId="27653A7C" w14:textId="6EA09731"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7" w:history="1">
        <w:r w:rsidR="00B82AFB" w:rsidRPr="00CB2CB5">
          <w:rPr>
            <w:rStyle w:val="Hyperlink"/>
            <w:noProof/>
          </w:rPr>
          <w:t xml:space="preserve">Table 9 - </w:t>
        </w:r>
        <w:r w:rsidR="0099745E" w:rsidRPr="0099745E">
          <w:rPr>
            <w:rStyle w:val="Hyperlink"/>
            <w:noProof/>
          </w:rPr>
          <w:t>Annual Forecast Energy Sales Versus Peak Demand</w:t>
        </w:r>
        <w:r w:rsidR="00B82AFB" w:rsidRPr="00CB2CB5">
          <w:rPr>
            <w:noProof/>
            <w:webHidden/>
          </w:rPr>
          <w:tab/>
        </w:r>
        <w:r w:rsidR="00B82AFB" w:rsidRPr="00CB2CB5">
          <w:rPr>
            <w:noProof/>
            <w:webHidden/>
          </w:rPr>
          <w:fldChar w:fldCharType="begin"/>
        </w:r>
        <w:r w:rsidR="00B82AFB" w:rsidRPr="00CB2CB5">
          <w:rPr>
            <w:noProof/>
            <w:webHidden/>
          </w:rPr>
          <w:instrText xml:space="preserve"> PAGEREF _Toc534193087 \h </w:instrText>
        </w:r>
        <w:r w:rsidR="00B82AFB" w:rsidRPr="00CB2CB5">
          <w:rPr>
            <w:noProof/>
            <w:webHidden/>
          </w:rPr>
        </w:r>
        <w:r w:rsidR="00B82AFB" w:rsidRPr="00CB2CB5">
          <w:rPr>
            <w:noProof/>
            <w:webHidden/>
          </w:rPr>
          <w:fldChar w:fldCharType="separate"/>
        </w:r>
        <w:r w:rsidR="00B703D9" w:rsidRPr="00CB2CB5">
          <w:rPr>
            <w:noProof/>
            <w:webHidden/>
          </w:rPr>
          <w:t>4</w:t>
        </w:r>
        <w:r w:rsidR="0099745E">
          <w:rPr>
            <w:noProof/>
            <w:webHidden/>
          </w:rPr>
          <w:t>4</w:t>
        </w:r>
        <w:r w:rsidR="00B82AFB" w:rsidRPr="00CB2CB5">
          <w:rPr>
            <w:noProof/>
            <w:webHidden/>
          </w:rPr>
          <w:fldChar w:fldCharType="end"/>
        </w:r>
      </w:hyperlink>
    </w:p>
    <w:p w14:paraId="71817B57" w14:textId="3E98E0BD"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8" w:history="1">
        <w:r w:rsidR="00B82AFB" w:rsidRPr="00CB2CB5">
          <w:rPr>
            <w:rStyle w:val="Hyperlink"/>
            <w:noProof/>
          </w:rPr>
          <w:t xml:space="preserve">Table 10 - </w:t>
        </w:r>
        <w:r w:rsidR="0099745E" w:rsidRPr="0099745E">
          <w:rPr>
            <w:rStyle w:val="Hyperlink"/>
            <w:noProof/>
          </w:rPr>
          <w:t>Initial L&amp;R</w:t>
        </w:r>
        <w:r w:rsidR="00B82AFB" w:rsidRPr="00CB2CB5">
          <w:rPr>
            <w:noProof/>
            <w:webHidden/>
          </w:rPr>
          <w:tab/>
        </w:r>
        <w:r w:rsidR="00B82AFB" w:rsidRPr="00CB2CB5">
          <w:rPr>
            <w:noProof/>
            <w:webHidden/>
          </w:rPr>
          <w:fldChar w:fldCharType="begin"/>
        </w:r>
        <w:r w:rsidR="00B82AFB" w:rsidRPr="00CB2CB5">
          <w:rPr>
            <w:noProof/>
            <w:webHidden/>
          </w:rPr>
          <w:instrText xml:space="preserve"> PAGEREF _Toc534193088 \h </w:instrText>
        </w:r>
        <w:r w:rsidR="00B82AFB" w:rsidRPr="00CB2CB5">
          <w:rPr>
            <w:noProof/>
            <w:webHidden/>
          </w:rPr>
        </w:r>
        <w:r w:rsidR="00B82AFB" w:rsidRPr="00CB2CB5">
          <w:rPr>
            <w:noProof/>
            <w:webHidden/>
          </w:rPr>
          <w:fldChar w:fldCharType="separate"/>
        </w:r>
        <w:r w:rsidR="00B703D9" w:rsidRPr="00CB2CB5">
          <w:rPr>
            <w:noProof/>
            <w:webHidden/>
          </w:rPr>
          <w:t>4</w:t>
        </w:r>
        <w:r w:rsidR="0099745E">
          <w:rPr>
            <w:noProof/>
            <w:webHidden/>
          </w:rPr>
          <w:t>5</w:t>
        </w:r>
        <w:r w:rsidR="00B82AFB" w:rsidRPr="00CB2CB5">
          <w:rPr>
            <w:noProof/>
            <w:webHidden/>
          </w:rPr>
          <w:fldChar w:fldCharType="end"/>
        </w:r>
      </w:hyperlink>
    </w:p>
    <w:p w14:paraId="0F659FB6" w14:textId="124DF1C4"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89" w:history="1">
        <w:r w:rsidR="00B82AFB" w:rsidRPr="00CB2CB5">
          <w:rPr>
            <w:rStyle w:val="Hyperlink"/>
            <w:noProof/>
          </w:rPr>
          <w:t xml:space="preserve">Table 11 - </w:t>
        </w:r>
        <w:r w:rsidR="0099745E" w:rsidRPr="0099745E">
          <w:rPr>
            <w:rStyle w:val="Hyperlink"/>
            <w:noProof/>
          </w:rPr>
          <w:t>Rate Structure Development</w:t>
        </w:r>
        <w:r w:rsidR="00B82AFB" w:rsidRPr="00CB2CB5">
          <w:rPr>
            <w:noProof/>
            <w:webHidden/>
          </w:rPr>
          <w:tab/>
        </w:r>
        <w:r w:rsidR="0099745E">
          <w:rPr>
            <w:noProof/>
            <w:webHidden/>
          </w:rPr>
          <w:t>53</w:t>
        </w:r>
      </w:hyperlink>
    </w:p>
    <w:p w14:paraId="48ACBA32" w14:textId="2E08B8B9"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90" w:history="1">
        <w:r w:rsidR="00B82AFB" w:rsidRPr="00CB2CB5">
          <w:rPr>
            <w:rStyle w:val="Hyperlink"/>
            <w:noProof/>
          </w:rPr>
          <w:t xml:space="preserve">Table 12 – </w:t>
        </w:r>
        <w:r w:rsidR="0099745E">
          <w:rPr>
            <w:rStyle w:val="Hyperlink"/>
            <w:noProof/>
          </w:rPr>
          <w:t>Decarbonization Scenarios Modeled in Resolve</w:t>
        </w:r>
        <w:r w:rsidR="00B82AFB" w:rsidRPr="00CB2CB5">
          <w:rPr>
            <w:noProof/>
            <w:webHidden/>
          </w:rPr>
          <w:tab/>
        </w:r>
        <w:r w:rsidR="0099745E">
          <w:rPr>
            <w:noProof/>
            <w:webHidden/>
          </w:rPr>
          <w:t>69</w:t>
        </w:r>
      </w:hyperlink>
    </w:p>
    <w:p w14:paraId="256FE908" w14:textId="15878871" w:rsidR="00B82AFB"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34193091" w:history="1">
        <w:r w:rsidR="00B82AFB" w:rsidRPr="00CB2CB5">
          <w:rPr>
            <w:rStyle w:val="Hyperlink"/>
            <w:noProof/>
          </w:rPr>
          <w:t xml:space="preserve">Table 13 – </w:t>
        </w:r>
        <w:r w:rsidR="0099745E">
          <w:rPr>
            <w:rStyle w:val="Hyperlink"/>
            <w:noProof/>
          </w:rPr>
          <w:t>New Resource Jurisdictional Allocation Options</w:t>
        </w:r>
        <w:r w:rsidR="00B82AFB" w:rsidRPr="00CB2CB5">
          <w:rPr>
            <w:noProof/>
            <w:webHidden/>
          </w:rPr>
          <w:tab/>
        </w:r>
        <w:r w:rsidR="0099745E">
          <w:rPr>
            <w:noProof/>
            <w:webHidden/>
          </w:rPr>
          <w:t>75</w:t>
        </w:r>
      </w:hyperlink>
    </w:p>
    <w:p w14:paraId="7C83C617" w14:textId="6E09C416" w:rsidR="00D86769" w:rsidRPr="00CB2CB5" w:rsidRDefault="004275C1" w:rsidP="005065DF">
      <w:pPr>
        <w:spacing w:line="240" w:lineRule="auto"/>
        <w:jc w:val="left"/>
        <w:rPr>
          <w:rFonts w:eastAsia="Times New Roman"/>
        </w:rPr>
      </w:pPr>
      <w:r w:rsidRPr="00CB2CB5">
        <w:rPr>
          <w:rFonts w:eastAsia="Times New Roman"/>
        </w:rPr>
        <w:fldChar w:fldCharType="end"/>
      </w:r>
    </w:p>
    <w:p w14:paraId="6653535E" w14:textId="77777777" w:rsidR="00811ABE" w:rsidRPr="00CB2CB5" w:rsidRDefault="00811ABE" w:rsidP="00D86769">
      <w:pPr>
        <w:spacing w:line="240" w:lineRule="auto"/>
        <w:jc w:val="left"/>
        <w:rPr>
          <w:rFonts w:eastAsia="Times New Roman"/>
        </w:rPr>
        <w:sectPr w:rsidR="00811ABE" w:rsidRPr="00CB2CB5" w:rsidSect="004275C1">
          <w:pgSz w:w="12240" w:h="15840" w:code="1"/>
          <w:pgMar w:top="1440" w:right="1440" w:bottom="1440" w:left="1440" w:header="720" w:footer="720" w:gutter="0"/>
          <w:pgNumType w:fmt="lowerRoman"/>
          <w:cols w:space="720"/>
          <w:docGrid w:linePitch="360"/>
        </w:sectPr>
      </w:pPr>
    </w:p>
    <w:p w14:paraId="25B23676" w14:textId="77777777" w:rsidR="00D86769" w:rsidRPr="00CB2CB5" w:rsidRDefault="00D86769" w:rsidP="00D86769">
      <w:pPr>
        <w:spacing w:line="240" w:lineRule="auto"/>
        <w:jc w:val="left"/>
        <w:rPr>
          <w:rFonts w:eastAsia="Times New Roman"/>
        </w:rPr>
      </w:pPr>
    </w:p>
    <w:p w14:paraId="40E00344" w14:textId="77777777" w:rsidR="00811ABE" w:rsidRPr="00CB2CB5" w:rsidRDefault="00811ABE" w:rsidP="00D86769">
      <w:pPr>
        <w:spacing w:line="240" w:lineRule="auto"/>
        <w:jc w:val="left"/>
        <w:rPr>
          <w:rFonts w:eastAsia="Times New Roman"/>
        </w:rPr>
        <w:sectPr w:rsidR="00811ABE" w:rsidRPr="00CB2CB5" w:rsidSect="004275C1">
          <w:pgSz w:w="12240" w:h="15840" w:code="1"/>
          <w:pgMar w:top="1440" w:right="1440" w:bottom="1440" w:left="1440" w:header="720" w:footer="720" w:gutter="0"/>
          <w:pgNumType w:fmt="lowerRoman"/>
          <w:cols w:space="720"/>
          <w:docGrid w:linePitch="360"/>
        </w:sectPr>
      </w:pPr>
    </w:p>
    <w:p w14:paraId="6CEA1C98" w14:textId="77777777" w:rsidR="0006190C" w:rsidRPr="00CB2CB5" w:rsidRDefault="004275C1" w:rsidP="001B7B08">
      <w:pPr>
        <w:spacing w:line="240" w:lineRule="auto"/>
        <w:jc w:val="center"/>
        <w:rPr>
          <w:rFonts w:eastAsia="Times New Roman"/>
          <w:b/>
        </w:rPr>
      </w:pPr>
      <w:r w:rsidRPr="00CB2CB5">
        <w:rPr>
          <w:rFonts w:eastAsia="Times New Roman"/>
          <w:b/>
        </w:rPr>
        <w:t>LIST</w:t>
      </w:r>
      <w:r w:rsidR="001B7B08" w:rsidRPr="00CB2CB5">
        <w:rPr>
          <w:rFonts w:eastAsia="Times New Roman"/>
          <w:b/>
        </w:rPr>
        <w:t xml:space="preserve"> OF FIGURES</w:t>
      </w:r>
    </w:p>
    <w:p w14:paraId="6C57EBB3" w14:textId="77777777" w:rsidR="001B7B08" w:rsidRPr="00CB2CB5" w:rsidRDefault="001B7B08" w:rsidP="0006190C">
      <w:pPr>
        <w:spacing w:line="240" w:lineRule="auto"/>
        <w:jc w:val="left"/>
        <w:rPr>
          <w:rFonts w:eastAsia="Times New Roman"/>
        </w:rPr>
      </w:pPr>
    </w:p>
    <w:p w14:paraId="03FA353B" w14:textId="77777777" w:rsidR="00D86769" w:rsidRPr="00CB2CB5" w:rsidRDefault="00D86769" w:rsidP="0006190C">
      <w:pPr>
        <w:spacing w:line="240" w:lineRule="auto"/>
        <w:jc w:val="left"/>
        <w:rPr>
          <w:rFonts w:eastAsia="Times New Roman"/>
        </w:rPr>
      </w:pPr>
    </w:p>
    <w:p w14:paraId="30D8CE02" w14:textId="66119808" w:rsidR="00286B74" w:rsidRPr="00CB2CB5" w:rsidRDefault="005065DF">
      <w:pPr>
        <w:pStyle w:val="TableofFigures"/>
        <w:tabs>
          <w:tab w:val="right" w:leader="dot" w:pos="9350"/>
        </w:tabs>
        <w:rPr>
          <w:rFonts w:asciiTheme="minorHAnsi" w:eastAsiaTheme="minorEastAsia" w:hAnsiTheme="minorHAnsi" w:cstheme="minorBidi"/>
          <w:noProof/>
          <w:color w:val="auto"/>
          <w:sz w:val="22"/>
          <w:szCs w:val="22"/>
        </w:rPr>
      </w:pPr>
      <w:r w:rsidRPr="00CB2CB5">
        <w:rPr>
          <w:rFonts w:eastAsia="Times New Roman"/>
        </w:rPr>
        <w:fldChar w:fldCharType="begin"/>
      </w:r>
      <w:r w:rsidRPr="00CB2CB5">
        <w:rPr>
          <w:rFonts w:eastAsia="Times New Roman"/>
        </w:rPr>
        <w:instrText xml:space="preserve"> TOC \h \z \c "Figure" </w:instrText>
      </w:r>
      <w:r w:rsidRPr="00CB2CB5">
        <w:rPr>
          <w:rFonts w:eastAsia="Times New Roman"/>
        </w:rPr>
        <w:fldChar w:fldCharType="separate"/>
      </w:r>
      <w:hyperlink w:anchor="_Toc524604248" w:history="1">
        <w:r w:rsidR="00286B74" w:rsidRPr="00CB2CB5">
          <w:rPr>
            <w:rStyle w:val="Hyperlink"/>
            <w:noProof/>
          </w:rPr>
          <w:t>Figure 1 - EPE Service Territory</w:t>
        </w:r>
        <w:r w:rsidR="00286B74" w:rsidRPr="00CB2CB5">
          <w:rPr>
            <w:noProof/>
            <w:webHidden/>
          </w:rPr>
          <w:tab/>
        </w:r>
        <w:r w:rsidR="0099745E">
          <w:rPr>
            <w:noProof/>
            <w:webHidden/>
          </w:rPr>
          <w:t>6</w:t>
        </w:r>
      </w:hyperlink>
    </w:p>
    <w:p w14:paraId="0863F7B3" w14:textId="05E9FF47" w:rsidR="00286B74"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24604249" w:history="1">
        <w:r w:rsidR="00286B74" w:rsidRPr="00CB2CB5">
          <w:rPr>
            <w:rStyle w:val="Hyperlink"/>
            <w:noProof/>
          </w:rPr>
          <w:t>Figure 2 - EPE Transmission Rights and Ownership</w:t>
        </w:r>
        <w:r w:rsidR="00286B74" w:rsidRPr="00CB2CB5">
          <w:rPr>
            <w:noProof/>
            <w:webHidden/>
          </w:rPr>
          <w:tab/>
        </w:r>
        <w:r w:rsidR="0099745E">
          <w:rPr>
            <w:noProof/>
            <w:webHidden/>
          </w:rPr>
          <w:t>28</w:t>
        </w:r>
      </w:hyperlink>
    </w:p>
    <w:p w14:paraId="7E2240C0" w14:textId="2D07D519" w:rsidR="00286B74"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24604250" w:history="1">
        <w:r w:rsidR="00286B74" w:rsidRPr="00CB2CB5">
          <w:rPr>
            <w:rStyle w:val="Hyperlink"/>
            <w:noProof/>
          </w:rPr>
          <w:t>Figure 3 - Native System Energy Forecast Scenario Comparison</w:t>
        </w:r>
        <w:r w:rsidR="00286B74" w:rsidRPr="00CB2CB5">
          <w:rPr>
            <w:noProof/>
            <w:webHidden/>
          </w:rPr>
          <w:tab/>
        </w:r>
        <w:r w:rsidR="00CC7A55">
          <w:rPr>
            <w:noProof/>
            <w:webHidden/>
          </w:rPr>
          <w:t>41</w:t>
        </w:r>
      </w:hyperlink>
    </w:p>
    <w:p w14:paraId="031B04D5" w14:textId="2FC72D28" w:rsidR="00286B74"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24604251" w:history="1">
        <w:r w:rsidR="00286B74" w:rsidRPr="00CB2CB5">
          <w:rPr>
            <w:rStyle w:val="Hyperlink"/>
            <w:noProof/>
          </w:rPr>
          <w:t>Figure 4 - Native System Peak Demand Forecast Scenario Comparison</w:t>
        </w:r>
        <w:r w:rsidR="00286B74" w:rsidRPr="00CB2CB5">
          <w:rPr>
            <w:noProof/>
            <w:webHidden/>
          </w:rPr>
          <w:tab/>
        </w:r>
        <w:r w:rsidR="00CC7A55">
          <w:rPr>
            <w:noProof/>
            <w:webHidden/>
          </w:rPr>
          <w:t>42</w:t>
        </w:r>
      </w:hyperlink>
    </w:p>
    <w:p w14:paraId="3E951541" w14:textId="3924B24F" w:rsidR="00286B74"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24604252" w:history="1">
        <w:r w:rsidR="00286B74" w:rsidRPr="00CB2CB5">
          <w:rPr>
            <w:rStyle w:val="Hyperlink"/>
            <w:noProof/>
          </w:rPr>
          <w:t>Figure 5 - EPE 20</w:t>
        </w:r>
        <w:r w:rsidR="00A6105A">
          <w:rPr>
            <w:rStyle w:val="Hyperlink"/>
            <w:noProof/>
          </w:rPr>
          <w:t>20</w:t>
        </w:r>
        <w:r w:rsidR="00286B74" w:rsidRPr="00CB2CB5">
          <w:rPr>
            <w:rStyle w:val="Hyperlink"/>
            <w:noProof/>
          </w:rPr>
          <w:t xml:space="preserve"> Energy Fuel Mix</w:t>
        </w:r>
        <w:r w:rsidR="00286B74" w:rsidRPr="00CB2CB5">
          <w:rPr>
            <w:noProof/>
            <w:webHidden/>
          </w:rPr>
          <w:tab/>
        </w:r>
        <w:r w:rsidR="00CC7A55">
          <w:rPr>
            <w:noProof/>
            <w:webHidden/>
          </w:rPr>
          <w:t>55</w:t>
        </w:r>
      </w:hyperlink>
    </w:p>
    <w:p w14:paraId="785D2917" w14:textId="3E05A5D6" w:rsidR="00286B74" w:rsidRPr="00CB2CB5" w:rsidRDefault="008A5446">
      <w:pPr>
        <w:pStyle w:val="TableofFigures"/>
        <w:tabs>
          <w:tab w:val="right" w:leader="dot" w:pos="9350"/>
        </w:tabs>
        <w:rPr>
          <w:rFonts w:asciiTheme="minorHAnsi" w:eastAsiaTheme="minorEastAsia" w:hAnsiTheme="minorHAnsi" w:cstheme="minorBidi"/>
          <w:noProof/>
          <w:color w:val="auto"/>
          <w:sz w:val="22"/>
          <w:szCs w:val="22"/>
        </w:rPr>
      </w:pPr>
      <w:hyperlink w:anchor="_Toc524604253" w:history="1">
        <w:r w:rsidR="00286B74" w:rsidRPr="00CB2CB5">
          <w:rPr>
            <w:rStyle w:val="Hyperlink"/>
            <w:noProof/>
          </w:rPr>
          <w:t xml:space="preserve">Figure 6 </w:t>
        </w:r>
        <w:r w:rsidR="00CC7A55">
          <w:rPr>
            <w:rStyle w:val="Hyperlink"/>
            <w:noProof/>
          </w:rPr>
          <w:t>–</w:t>
        </w:r>
        <w:r w:rsidR="00286B74" w:rsidRPr="00CB2CB5">
          <w:rPr>
            <w:rStyle w:val="Hyperlink"/>
            <w:noProof/>
          </w:rPr>
          <w:t xml:space="preserve"> </w:t>
        </w:r>
        <w:r w:rsidR="00CC7A55">
          <w:rPr>
            <w:rStyle w:val="Hyperlink"/>
            <w:noProof/>
          </w:rPr>
          <w:t>EPE Local and Peripheral Areas</w:t>
        </w:r>
        <w:r w:rsidR="00624CF3">
          <w:rPr>
            <w:rStyle w:val="Hyperlink"/>
            <w:noProof/>
          </w:rPr>
          <w:t xml:space="preserve"> for New Renewable Resources</w:t>
        </w:r>
        <w:r w:rsidR="00286B74" w:rsidRPr="00CB2CB5">
          <w:rPr>
            <w:noProof/>
            <w:webHidden/>
          </w:rPr>
          <w:tab/>
        </w:r>
        <w:r w:rsidR="00286B74" w:rsidRPr="00CB2CB5">
          <w:rPr>
            <w:noProof/>
            <w:webHidden/>
          </w:rPr>
          <w:fldChar w:fldCharType="begin"/>
        </w:r>
        <w:r w:rsidR="00286B74" w:rsidRPr="00CB2CB5">
          <w:rPr>
            <w:noProof/>
            <w:webHidden/>
          </w:rPr>
          <w:instrText xml:space="preserve"> PAGEREF _Toc524604253 \h </w:instrText>
        </w:r>
        <w:r w:rsidR="00286B74" w:rsidRPr="00CB2CB5">
          <w:rPr>
            <w:noProof/>
            <w:webHidden/>
          </w:rPr>
        </w:r>
        <w:r w:rsidR="00286B74" w:rsidRPr="00CB2CB5">
          <w:rPr>
            <w:noProof/>
            <w:webHidden/>
          </w:rPr>
          <w:fldChar w:fldCharType="separate"/>
        </w:r>
        <w:r w:rsidR="00AF5020" w:rsidRPr="00CB2CB5">
          <w:rPr>
            <w:noProof/>
            <w:webHidden/>
          </w:rPr>
          <w:t>5</w:t>
        </w:r>
        <w:r w:rsidR="00CC7A55">
          <w:rPr>
            <w:noProof/>
            <w:webHidden/>
          </w:rPr>
          <w:t>7</w:t>
        </w:r>
        <w:r w:rsidR="00286B74" w:rsidRPr="00CB2CB5">
          <w:rPr>
            <w:noProof/>
            <w:webHidden/>
          </w:rPr>
          <w:fldChar w:fldCharType="end"/>
        </w:r>
      </w:hyperlink>
    </w:p>
    <w:p w14:paraId="28FE5D54" w14:textId="2EA33646" w:rsidR="00286B74" w:rsidRDefault="008A5446">
      <w:pPr>
        <w:pStyle w:val="TableofFigures"/>
        <w:tabs>
          <w:tab w:val="right" w:leader="dot" w:pos="9350"/>
        </w:tabs>
        <w:rPr>
          <w:noProof/>
        </w:rPr>
      </w:pPr>
      <w:hyperlink w:anchor="_Toc524604254" w:history="1">
        <w:r w:rsidR="00286B74" w:rsidRPr="00CB2CB5">
          <w:rPr>
            <w:rStyle w:val="Hyperlink"/>
            <w:noProof/>
          </w:rPr>
          <w:t xml:space="preserve">Figure 7 </w:t>
        </w:r>
        <w:r w:rsidR="00CC7A55">
          <w:rPr>
            <w:rStyle w:val="Hyperlink"/>
            <w:noProof/>
          </w:rPr>
          <w:t>–</w:t>
        </w:r>
        <w:r w:rsidR="00286B74" w:rsidRPr="00CB2CB5">
          <w:rPr>
            <w:rStyle w:val="Hyperlink"/>
            <w:noProof/>
          </w:rPr>
          <w:t xml:space="preserve"> </w:t>
        </w:r>
        <w:r w:rsidR="00CC7A55">
          <w:rPr>
            <w:rStyle w:val="Hyperlink"/>
            <w:noProof/>
          </w:rPr>
          <w:t>Renewable Resource Geographical Locations</w:t>
        </w:r>
        <w:r w:rsidR="00286B74" w:rsidRPr="00CB2CB5">
          <w:rPr>
            <w:noProof/>
            <w:webHidden/>
          </w:rPr>
          <w:tab/>
        </w:r>
        <w:r w:rsidR="00CC7A55">
          <w:rPr>
            <w:noProof/>
            <w:webHidden/>
          </w:rPr>
          <w:t>58</w:t>
        </w:r>
      </w:hyperlink>
    </w:p>
    <w:p w14:paraId="2365A8AF" w14:textId="0B1C8729"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48" w:history="1">
        <w:r w:rsidR="00624CF3" w:rsidRPr="00CB2CB5">
          <w:rPr>
            <w:rStyle w:val="Hyperlink"/>
            <w:noProof/>
          </w:rPr>
          <w:t xml:space="preserve">Figure </w:t>
        </w:r>
        <w:r w:rsidR="00624CF3">
          <w:rPr>
            <w:rStyle w:val="Hyperlink"/>
            <w:noProof/>
          </w:rPr>
          <w:t>8</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624CF3">
          <w:rPr>
            <w:rStyle w:val="Hyperlink"/>
            <w:noProof/>
          </w:rPr>
          <w:t>ELCC for Solar PV and Installed Storage</w:t>
        </w:r>
        <w:r w:rsidR="00624CF3" w:rsidRPr="00CB2CB5">
          <w:rPr>
            <w:noProof/>
            <w:webHidden/>
          </w:rPr>
          <w:tab/>
        </w:r>
        <w:r w:rsidR="00624CF3">
          <w:rPr>
            <w:noProof/>
            <w:webHidden/>
          </w:rPr>
          <w:t>6</w:t>
        </w:r>
      </w:hyperlink>
      <w:r w:rsidR="00AB6A1C">
        <w:rPr>
          <w:noProof/>
        </w:rPr>
        <w:t>3</w:t>
      </w:r>
    </w:p>
    <w:p w14:paraId="0E0513D9" w14:textId="5E5DAE85"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49" w:history="1">
        <w:r w:rsidR="00624CF3" w:rsidRPr="00CB2CB5">
          <w:rPr>
            <w:rStyle w:val="Hyperlink"/>
            <w:noProof/>
          </w:rPr>
          <w:t xml:space="preserve">Figure </w:t>
        </w:r>
        <w:r w:rsidR="00624CF3">
          <w:rPr>
            <w:rStyle w:val="Hyperlink"/>
            <w:noProof/>
          </w:rPr>
          <w:t>9</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624CF3">
          <w:rPr>
            <w:rStyle w:val="Hyperlink"/>
            <w:noProof/>
          </w:rPr>
          <w:t>Monthly Wind Profiles</w:t>
        </w:r>
        <w:r w:rsidR="00624CF3" w:rsidRPr="00CB2CB5">
          <w:rPr>
            <w:noProof/>
            <w:webHidden/>
          </w:rPr>
          <w:tab/>
        </w:r>
        <w:r w:rsidR="00AB6A1C">
          <w:rPr>
            <w:noProof/>
            <w:webHidden/>
          </w:rPr>
          <w:t>64</w:t>
        </w:r>
      </w:hyperlink>
    </w:p>
    <w:p w14:paraId="73D7303D" w14:textId="3C6E728D"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0" w:history="1">
        <w:r w:rsidR="00624CF3" w:rsidRPr="00CB2CB5">
          <w:rPr>
            <w:rStyle w:val="Hyperlink"/>
            <w:noProof/>
          </w:rPr>
          <w:t xml:space="preserve">Figure </w:t>
        </w:r>
        <w:r w:rsidR="00624CF3">
          <w:rPr>
            <w:rStyle w:val="Hyperlink"/>
            <w:noProof/>
          </w:rPr>
          <w:t>10</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624CF3">
          <w:rPr>
            <w:rStyle w:val="Hyperlink"/>
            <w:noProof/>
          </w:rPr>
          <w:t>ELCC for Wind Resource</w:t>
        </w:r>
        <w:r w:rsidR="00624CF3" w:rsidRPr="00CB2CB5">
          <w:rPr>
            <w:noProof/>
            <w:webHidden/>
          </w:rPr>
          <w:tab/>
        </w:r>
        <w:r w:rsidR="00AB6A1C">
          <w:rPr>
            <w:noProof/>
            <w:webHidden/>
          </w:rPr>
          <w:t>65</w:t>
        </w:r>
      </w:hyperlink>
    </w:p>
    <w:p w14:paraId="21628E25" w14:textId="26F5E2B6"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1" w:history="1">
        <w:r w:rsidR="00624CF3" w:rsidRPr="00CB2CB5">
          <w:rPr>
            <w:rStyle w:val="Hyperlink"/>
            <w:noProof/>
          </w:rPr>
          <w:t xml:space="preserve">Figure </w:t>
        </w:r>
        <w:r w:rsidR="00624CF3">
          <w:rPr>
            <w:rStyle w:val="Hyperlink"/>
            <w:noProof/>
          </w:rPr>
          <w:t>11</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624CF3">
          <w:rPr>
            <w:rStyle w:val="Hyperlink"/>
            <w:noProof/>
          </w:rPr>
          <w:t>ELCC for Geothermal Resource</w:t>
        </w:r>
        <w:r w:rsidR="00624CF3" w:rsidRPr="00CB2CB5">
          <w:rPr>
            <w:noProof/>
            <w:webHidden/>
          </w:rPr>
          <w:tab/>
        </w:r>
        <w:r w:rsidR="00AB6A1C">
          <w:rPr>
            <w:noProof/>
            <w:webHidden/>
          </w:rPr>
          <w:t>66</w:t>
        </w:r>
      </w:hyperlink>
    </w:p>
    <w:p w14:paraId="5CF3F031" w14:textId="39CC3F97"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2" w:history="1">
        <w:r w:rsidR="00624CF3" w:rsidRPr="00CB2CB5">
          <w:rPr>
            <w:rStyle w:val="Hyperlink"/>
            <w:noProof/>
          </w:rPr>
          <w:t xml:space="preserve">Figure </w:t>
        </w:r>
        <w:r w:rsidR="00624CF3">
          <w:rPr>
            <w:rStyle w:val="Hyperlink"/>
            <w:noProof/>
          </w:rPr>
          <w:t>12</w:t>
        </w:r>
        <w:r w:rsidR="00624CF3" w:rsidRPr="00CB2CB5">
          <w:rPr>
            <w:rStyle w:val="Hyperlink"/>
            <w:noProof/>
          </w:rPr>
          <w:t xml:space="preserve"> </w:t>
        </w:r>
        <w:r w:rsidR="004975F8">
          <w:rPr>
            <w:rStyle w:val="Hyperlink"/>
            <w:noProof/>
          </w:rPr>
          <w:t>–</w:t>
        </w:r>
        <w:r w:rsidR="00624CF3" w:rsidRPr="00CB2CB5">
          <w:rPr>
            <w:rStyle w:val="Hyperlink"/>
            <w:noProof/>
          </w:rPr>
          <w:t xml:space="preserve"> </w:t>
        </w:r>
        <w:r w:rsidR="004975F8">
          <w:rPr>
            <w:rStyle w:val="Hyperlink"/>
            <w:noProof/>
          </w:rPr>
          <w:t>ELCC for Energy Storage Resource</w:t>
        </w:r>
        <w:r w:rsidR="00624CF3" w:rsidRPr="00CB2CB5">
          <w:rPr>
            <w:noProof/>
            <w:webHidden/>
          </w:rPr>
          <w:tab/>
        </w:r>
        <w:r w:rsidR="00AB6A1C">
          <w:rPr>
            <w:noProof/>
            <w:webHidden/>
          </w:rPr>
          <w:t>67</w:t>
        </w:r>
      </w:hyperlink>
    </w:p>
    <w:p w14:paraId="15525DF9" w14:textId="3DDD8C85"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3" w:history="1">
        <w:r w:rsidR="00624CF3" w:rsidRPr="00CB2CB5">
          <w:rPr>
            <w:rStyle w:val="Hyperlink"/>
            <w:noProof/>
          </w:rPr>
          <w:t xml:space="preserve">Figure </w:t>
        </w:r>
        <w:r w:rsidR="00624CF3">
          <w:rPr>
            <w:rStyle w:val="Hyperlink"/>
            <w:noProof/>
          </w:rPr>
          <w:t>13</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4975F8">
          <w:rPr>
            <w:rStyle w:val="Hyperlink"/>
            <w:noProof/>
          </w:rPr>
          <w:t>Capacity Addition by Resource Type with Cost Impact</w:t>
        </w:r>
        <w:r w:rsidR="00624CF3" w:rsidRPr="00CB2CB5">
          <w:rPr>
            <w:noProof/>
            <w:webHidden/>
          </w:rPr>
          <w:tab/>
        </w:r>
        <w:r w:rsidR="00AB6A1C">
          <w:rPr>
            <w:noProof/>
            <w:webHidden/>
          </w:rPr>
          <w:t>70</w:t>
        </w:r>
      </w:hyperlink>
    </w:p>
    <w:p w14:paraId="13EBC897" w14:textId="75CE3AB5" w:rsidR="00624CF3" w:rsidRDefault="008A5446" w:rsidP="00624CF3">
      <w:pPr>
        <w:pStyle w:val="TableofFigures"/>
        <w:tabs>
          <w:tab w:val="right" w:leader="dot" w:pos="9350"/>
        </w:tabs>
        <w:rPr>
          <w:noProof/>
        </w:rPr>
      </w:pPr>
      <w:hyperlink w:anchor="_Toc524604254" w:history="1">
        <w:r w:rsidR="00624CF3" w:rsidRPr="00CB2CB5">
          <w:rPr>
            <w:rStyle w:val="Hyperlink"/>
            <w:noProof/>
          </w:rPr>
          <w:t xml:space="preserve">Figure </w:t>
        </w:r>
        <w:r w:rsidR="00624CF3">
          <w:rPr>
            <w:rStyle w:val="Hyperlink"/>
            <w:noProof/>
          </w:rPr>
          <w:t>14</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4975F8">
          <w:rPr>
            <w:rStyle w:val="Hyperlink"/>
            <w:noProof/>
          </w:rPr>
          <w:t>Percent Renewable and Decarbonization for Scenarios</w:t>
        </w:r>
        <w:r w:rsidR="00624CF3" w:rsidRPr="00CB2CB5">
          <w:rPr>
            <w:noProof/>
            <w:webHidden/>
          </w:rPr>
          <w:tab/>
        </w:r>
        <w:r w:rsidR="00AB6A1C">
          <w:rPr>
            <w:noProof/>
            <w:webHidden/>
          </w:rPr>
          <w:t>71</w:t>
        </w:r>
      </w:hyperlink>
    </w:p>
    <w:p w14:paraId="07A10B77" w14:textId="176E15D0"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48" w:history="1">
        <w:r w:rsidR="00624CF3" w:rsidRPr="00CB2CB5">
          <w:rPr>
            <w:rStyle w:val="Hyperlink"/>
            <w:noProof/>
          </w:rPr>
          <w:t xml:space="preserve">Figure </w:t>
        </w:r>
        <w:r w:rsidR="00624CF3">
          <w:rPr>
            <w:rStyle w:val="Hyperlink"/>
            <w:noProof/>
          </w:rPr>
          <w:t>15</w:t>
        </w:r>
        <w:r w:rsidR="00624CF3" w:rsidRPr="00CB2CB5">
          <w:rPr>
            <w:rStyle w:val="Hyperlink"/>
            <w:noProof/>
          </w:rPr>
          <w:t xml:space="preserve"> </w:t>
        </w:r>
        <w:r w:rsidR="004975F8">
          <w:rPr>
            <w:rStyle w:val="Hyperlink"/>
            <w:noProof/>
          </w:rPr>
          <w:t>–</w:t>
        </w:r>
        <w:r w:rsidR="00624CF3" w:rsidRPr="00CB2CB5">
          <w:rPr>
            <w:rStyle w:val="Hyperlink"/>
            <w:noProof/>
          </w:rPr>
          <w:t xml:space="preserve"> </w:t>
        </w:r>
        <w:r w:rsidR="004975F8">
          <w:rPr>
            <w:rStyle w:val="Hyperlink"/>
            <w:noProof/>
          </w:rPr>
          <w:t>Annual Cost for Decarbonization Scenarios</w:t>
        </w:r>
        <w:r w:rsidR="00624CF3" w:rsidRPr="00CB2CB5">
          <w:rPr>
            <w:noProof/>
            <w:webHidden/>
          </w:rPr>
          <w:tab/>
        </w:r>
        <w:r w:rsidR="00AB6A1C">
          <w:rPr>
            <w:noProof/>
            <w:webHidden/>
          </w:rPr>
          <w:t>72</w:t>
        </w:r>
      </w:hyperlink>
    </w:p>
    <w:p w14:paraId="48417E44" w14:textId="6F5FE682"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49" w:history="1">
        <w:r w:rsidR="00624CF3" w:rsidRPr="00CB2CB5">
          <w:rPr>
            <w:rStyle w:val="Hyperlink"/>
            <w:noProof/>
          </w:rPr>
          <w:t xml:space="preserve">Figure </w:t>
        </w:r>
        <w:r w:rsidR="00624CF3">
          <w:rPr>
            <w:rStyle w:val="Hyperlink"/>
            <w:noProof/>
          </w:rPr>
          <w:t>16</w:t>
        </w:r>
        <w:r w:rsidR="00624CF3" w:rsidRPr="00CB2CB5">
          <w:rPr>
            <w:rStyle w:val="Hyperlink"/>
            <w:noProof/>
          </w:rPr>
          <w:t xml:space="preserve"> </w:t>
        </w:r>
        <w:r w:rsidR="004975F8">
          <w:rPr>
            <w:rStyle w:val="Hyperlink"/>
            <w:noProof/>
          </w:rPr>
          <w:t>–</w:t>
        </w:r>
        <w:r w:rsidR="00624CF3" w:rsidRPr="00CB2CB5">
          <w:rPr>
            <w:rStyle w:val="Hyperlink"/>
            <w:noProof/>
          </w:rPr>
          <w:t xml:space="preserve"> </w:t>
        </w:r>
        <w:r w:rsidR="004975F8">
          <w:rPr>
            <w:rStyle w:val="Hyperlink"/>
            <w:noProof/>
          </w:rPr>
          <w:t>Energy Mix of Carbon Scenarios with Cost Impact</w:t>
        </w:r>
        <w:r w:rsidR="00624CF3" w:rsidRPr="00CB2CB5">
          <w:rPr>
            <w:noProof/>
            <w:webHidden/>
          </w:rPr>
          <w:tab/>
        </w:r>
        <w:r w:rsidR="00AB6A1C">
          <w:rPr>
            <w:noProof/>
            <w:webHidden/>
          </w:rPr>
          <w:t>72</w:t>
        </w:r>
      </w:hyperlink>
    </w:p>
    <w:p w14:paraId="1395CCB9" w14:textId="403C92B7"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0" w:history="1">
        <w:r w:rsidR="00624CF3" w:rsidRPr="00CB2CB5">
          <w:rPr>
            <w:rStyle w:val="Hyperlink"/>
            <w:noProof/>
          </w:rPr>
          <w:t xml:space="preserve">Figure </w:t>
        </w:r>
        <w:r w:rsidR="00624CF3">
          <w:rPr>
            <w:rStyle w:val="Hyperlink"/>
            <w:noProof/>
          </w:rPr>
          <w:t>17</w:t>
        </w:r>
        <w:r w:rsidR="00624CF3" w:rsidRPr="00CB2CB5">
          <w:rPr>
            <w:rStyle w:val="Hyperlink"/>
            <w:noProof/>
          </w:rPr>
          <w:t xml:space="preserve"> </w:t>
        </w:r>
        <w:r w:rsidR="004975F8">
          <w:rPr>
            <w:rStyle w:val="Hyperlink"/>
            <w:noProof/>
          </w:rPr>
          <w:t>–</w:t>
        </w:r>
        <w:r w:rsidR="00624CF3" w:rsidRPr="00CB2CB5">
          <w:rPr>
            <w:rStyle w:val="Hyperlink"/>
            <w:noProof/>
          </w:rPr>
          <w:t xml:space="preserve"> </w:t>
        </w:r>
        <w:r w:rsidR="004975F8">
          <w:rPr>
            <w:rStyle w:val="Hyperlink"/>
            <w:noProof/>
          </w:rPr>
          <w:t>Least Cost System-Wide Portfolio by Year</w:t>
        </w:r>
        <w:r w:rsidR="00624CF3" w:rsidRPr="00CB2CB5">
          <w:rPr>
            <w:noProof/>
            <w:webHidden/>
          </w:rPr>
          <w:tab/>
        </w:r>
        <w:r w:rsidR="00AB6A1C">
          <w:rPr>
            <w:noProof/>
            <w:webHidden/>
          </w:rPr>
          <w:t>73</w:t>
        </w:r>
      </w:hyperlink>
    </w:p>
    <w:p w14:paraId="74DB9CC3" w14:textId="6C599DEA"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1" w:history="1">
        <w:r w:rsidR="00624CF3" w:rsidRPr="00CB2CB5">
          <w:rPr>
            <w:rStyle w:val="Hyperlink"/>
            <w:noProof/>
          </w:rPr>
          <w:t xml:space="preserve">Figure </w:t>
        </w:r>
        <w:r w:rsidR="00624CF3">
          <w:rPr>
            <w:rStyle w:val="Hyperlink"/>
            <w:noProof/>
          </w:rPr>
          <w:t>18</w:t>
        </w:r>
        <w:r w:rsidR="00624CF3" w:rsidRPr="00CB2CB5">
          <w:rPr>
            <w:rStyle w:val="Hyperlink"/>
            <w:noProof/>
          </w:rPr>
          <w:t xml:space="preserve"> </w:t>
        </w:r>
        <w:r w:rsidR="004975F8">
          <w:rPr>
            <w:rStyle w:val="Hyperlink"/>
            <w:noProof/>
          </w:rPr>
          <w:t>–</w:t>
        </w:r>
        <w:r w:rsidR="00624CF3" w:rsidRPr="00CB2CB5">
          <w:rPr>
            <w:rStyle w:val="Hyperlink"/>
            <w:noProof/>
          </w:rPr>
          <w:t xml:space="preserve"> </w:t>
        </w:r>
        <w:r w:rsidR="004975F8">
          <w:rPr>
            <w:rStyle w:val="Hyperlink"/>
            <w:noProof/>
          </w:rPr>
          <w:t>Least Cost System-Wide Portfolio by Energy Mix Energy Mix</w:t>
        </w:r>
        <w:r w:rsidR="00624CF3" w:rsidRPr="00CB2CB5">
          <w:rPr>
            <w:noProof/>
            <w:webHidden/>
          </w:rPr>
          <w:tab/>
        </w:r>
        <w:r w:rsidR="00AB6A1C">
          <w:rPr>
            <w:noProof/>
            <w:webHidden/>
          </w:rPr>
          <w:t>74</w:t>
        </w:r>
      </w:hyperlink>
    </w:p>
    <w:p w14:paraId="2819D097" w14:textId="0A512B40"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2" w:history="1">
        <w:r w:rsidR="00624CF3" w:rsidRPr="00CB2CB5">
          <w:rPr>
            <w:rStyle w:val="Hyperlink"/>
            <w:noProof/>
          </w:rPr>
          <w:t xml:space="preserve">Figure </w:t>
        </w:r>
        <w:r w:rsidR="00624CF3">
          <w:rPr>
            <w:rStyle w:val="Hyperlink"/>
            <w:noProof/>
          </w:rPr>
          <w:t>19</w:t>
        </w:r>
        <w:r w:rsidR="00624CF3" w:rsidRPr="00CB2CB5">
          <w:rPr>
            <w:rStyle w:val="Hyperlink"/>
            <w:noProof/>
          </w:rPr>
          <w:t xml:space="preserve"> </w:t>
        </w:r>
        <w:r w:rsidR="004975F8">
          <w:rPr>
            <w:rStyle w:val="Hyperlink"/>
            <w:noProof/>
          </w:rPr>
          <w:t>–</w:t>
        </w:r>
        <w:r w:rsidR="00624CF3" w:rsidRPr="00CB2CB5">
          <w:rPr>
            <w:rStyle w:val="Hyperlink"/>
            <w:noProof/>
          </w:rPr>
          <w:t xml:space="preserve"> </w:t>
        </w:r>
        <w:r w:rsidR="004975F8">
          <w:rPr>
            <w:rStyle w:val="Hyperlink"/>
            <w:noProof/>
          </w:rPr>
          <w:t>Option 1 Total-System and New Mexico Allocation Comparison</w:t>
        </w:r>
        <w:r w:rsidR="00624CF3" w:rsidRPr="00CB2CB5">
          <w:rPr>
            <w:noProof/>
            <w:webHidden/>
          </w:rPr>
          <w:tab/>
        </w:r>
        <w:r w:rsidR="00AB6A1C">
          <w:rPr>
            <w:noProof/>
            <w:webHidden/>
          </w:rPr>
          <w:t>76</w:t>
        </w:r>
      </w:hyperlink>
    </w:p>
    <w:p w14:paraId="0163EC21" w14:textId="152D3E26" w:rsidR="00624CF3" w:rsidRPr="00CB2CB5" w:rsidRDefault="008A5446" w:rsidP="00624CF3">
      <w:pPr>
        <w:pStyle w:val="TableofFigures"/>
        <w:tabs>
          <w:tab w:val="right" w:leader="dot" w:pos="9350"/>
        </w:tabs>
        <w:rPr>
          <w:rFonts w:asciiTheme="minorHAnsi" w:eastAsiaTheme="minorEastAsia" w:hAnsiTheme="minorHAnsi" w:cstheme="minorBidi"/>
          <w:noProof/>
          <w:color w:val="auto"/>
          <w:sz w:val="22"/>
          <w:szCs w:val="22"/>
        </w:rPr>
      </w:pPr>
      <w:hyperlink w:anchor="_Toc524604253" w:history="1">
        <w:r w:rsidR="00624CF3" w:rsidRPr="00CB2CB5">
          <w:rPr>
            <w:rStyle w:val="Hyperlink"/>
            <w:noProof/>
          </w:rPr>
          <w:t xml:space="preserve">Figure </w:t>
        </w:r>
        <w:r w:rsidR="00624CF3">
          <w:rPr>
            <w:rStyle w:val="Hyperlink"/>
            <w:noProof/>
          </w:rPr>
          <w:t>20</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4975F8" w:rsidRPr="004975F8">
          <w:rPr>
            <w:rStyle w:val="Hyperlink"/>
            <w:noProof/>
          </w:rPr>
          <w:t xml:space="preserve">Option </w:t>
        </w:r>
        <w:r w:rsidR="004975F8">
          <w:rPr>
            <w:rStyle w:val="Hyperlink"/>
            <w:noProof/>
          </w:rPr>
          <w:t>2</w:t>
        </w:r>
        <w:r w:rsidR="004975F8" w:rsidRPr="004975F8">
          <w:rPr>
            <w:rStyle w:val="Hyperlink"/>
            <w:noProof/>
          </w:rPr>
          <w:t xml:space="preserve"> Total-System and New Mexico Allocation Comparison</w:t>
        </w:r>
        <w:r w:rsidR="00624CF3" w:rsidRPr="00CB2CB5">
          <w:rPr>
            <w:noProof/>
            <w:webHidden/>
          </w:rPr>
          <w:tab/>
        </w:r>
        <w:r w:rsidR="00AB6A1C">
          <w:rPr>
            <w:noProof/>
            <w:webHidden/>
          </w:rPr>
          <w:t>77</w:t>
        </w:r>
      </w:hyperlink>
    </w:p>
    <w:p w14:paraId="71665519" w14:textId="6FACD3E8" w:rsidR="00624CF3" w:rsidRDefault="008A5446" w:rsidP="00624CF3">
      <w:pPr>
        <w:pStyle w:val="TableofFigures"/>
        <w:tabs>
          <w:tab w:val="right" w:leader="dot" w:pos="9350"/>
        </w:tabs>
        <w:rPr>
          <w:noProof/>
        </w:rPr>
      </w:pPr>
      <w:hyperlink w:anchor="_Toc524604254" w:history="1">
        <w:r w:rsidR="00624CF3" w:rsidRPr="00CB2CB5">
          <w:rPr>
            <w:rStyle w:val="Hyperlink"/>
            <w:noProof/>
          </w:rPr>
          <w:t xml:space="preserve">Figure </w:t>
        </w:r>
        <w:r w:rsidR="00624CF3">
          <w:rPr>
            <w:rStyle w:val="Hyperlink"/>
            <w:noProof/>
          </w:rPr>
          <w:t>21</w:t>
        </w:r>
        <w:r w:rsidR="00624CF3" w:rsidRPr="00CB2CB5">
          <w:rPr>
            <w:rStyle w:val="Hyperlink"/>
            <w:noProof/>
          </w:rPr>
          <w:t xml:space="preserve"> </w:t>
        </w:r>
        <w:r w:rsidR="00624CF3">
          <w:rPr>
            <w:rStyle w:val="Hyperlink"/>
            <w:noProof/>
          </w:rPr>
          <w:t>–</w:t>
        </w:r>
        <w:r w:rsidR="00624CF3" w:rsidRPr="00CB2CB5">
          <w:rPr>
            <w:rStyle w:val="Hyperlink"/>
            <w:noProof/>
          </w:rPr>
          <w:t xml:space="preserve"> </w:t>
        </w:r>
        <w:r w:rsidR="004975F8" w:rsidRPr="004975F8">
          <w:rPr>
            <w:rStyle w:val="Hyperlink"/>
            <w:noProof/>
          </w:rPr>
          <w:t xml:space="preserve">Option </w:t>
        </w:r>
        <w:r w:rsidR="004975F8">
          <w:rPr>
            <w:rStyle w:val="Hyperlink"/>
            <w:noProof/>
          </w:rPr>
          <w:t>3</w:t>
        </w:r>
        <w:r w:rsidR="004975F8" w:rsidRPr="004975F8">
          <w:rPr>
            <w:rStyle w:val="Hyperlink"/>
            <w:noProof/>
          </w:rPr>
          <w:t xml:space="preserve"> Total-System and New Mexico Allocation Comparison</w:t>
        </w:r>
        <w:r w:rsidR="00624CF3" w:rsidRPr="00CB2CB5">
          <w:rPr>
            <w:noProof/>
            <w:webHidden/>
          </w:rPr>
          <w:tab/>
        </w:r>
        <w:r w:rsidR="00AB6A1C">
          <w:rPr>
            <w:noProof/>
            <w:webHidden/>
          </w:rPr>
          <w:t>78</w:t>
        </w:r>
      </w:hyperlink>
    </w:p>
    <w:p w14:paraId="1BB5C0E8" w14:textId="62BEDFE0" w:rsidR="004975F8" w:rsidRPr="00CB2CB5" w:rsidRDefault="008A5446" w:rsidP="004975F8">
      <w:pPr>
        <w:pStyle w:val="TableofFigures"/>
        <w:tabs>
          <w:tab w:val="right" w:leader="dot" w:pos="9350"/>
        </w:tabs>
        <w:rPr>
          <w:rFonts w:asciiTheme="minorHAnsi" w:eastAsiaTheme="minorEastAsia" w:hAnsiTheme="minorHAnsi" w:cstheme="minorBidi"/>
          <w:noProof/>
          <w:color w:val="auto"/>
          <w:sz w:val="22"/>
          <w:szCs w:val="22"/>
        </w:rPr>
      </w:pPr>
      <w:hyperlink w:anchor="_Toc524604252" w:history="1">
        <w:r w:rsidR="004975F8" w:rsidRPr="00CB2CB5">
          <w:rPr>
            <w:rStyle w:val="Hyperlink"/>
            <w:noProof/>
          </w:rPr>
          <w:t xml:space="preserve">Figure </w:t>
        </w:r>
        <w:r w:rsidR="004975F8">
          <w:rPr>
            <w:rStyle w:val="Hyperlink"/>
            <w:noProof/>
          </w:rPr>
          <w:t>22</w:t>
        </w:r>
        <w:r w:rsidR="004975F8" w:rsidRPr="00CB2CB5">
          <w:rPr>
            <w:rStyle w:val="Hyperlink"/>
            <w:noProof/>
          </w:rPr>
          <w:t xml:space="preserve"> </w:t>
        </w:r>
        <w:r w:rsidR="004975F8">
          <w:rPr>
            <w:rStyle w:val="Hyperlink"/>
            <w:noProof/>
          </w:rPr>
          <w:t>–</w:t>
        </w:r>
        <w:r w:rsidR="004975F8" w:rsidRPr="00CB2CB5">
          <w:rPr>
            <w:rStyle w:val="Hyperlink"/>
            <w:noProof/>
          </w:rPr>
          <w:t xml:space="preserve"> </w:t>
        </w:r>
        <w:r w:rsidR="004975F8">
          <w:rPr>
            <w:rStyle w:val="Hyperlink"/>
            <w:noProof/>
          </w:rPr>
          <w:t>Cost Differential Between Jurisdicational Options</w:t>
        </w:r>
        <w:r w:rsidR="004975F8" w:rsidRPr="00CB2CB5">
          <w:rPr>
            <w:noProof/>
            <w:webHidden/>
          </w:rPr>
          <w:tab/>
        </w:r>
        <w:r w:rsidR="00AB6A1C">
          <w:rPr>
            <w:noProof/>
            <w:webHidden/>
          </w:rPr>
          <w:t>79</w:t>
        </w:r>
      </w:hyperlink>
    </w:p>
    <w:p w14:paraId="26B63822" w14:textId="0EFDD5BA" w:rsidR="004975F8" w:rsidRPr="00CB2CB5" w:rsidRDefault="008A5446" w:rsidP="004975F8">
      <w:pPr>
        <w:pStyle w:val="TableofFigures"/>
        <w:tabs>
          <w:tab w:val="right" w:leader="dot" w:pos="9350"/>
        </w:tabs>
        <w:rPr>
          <w:rFonts w:asciiTheme="minorHAnsi" w:eastAsiaTheme="minorEastAsia" w:hAnsiTheme="minorHAnsi" w:cstheme="minorBidi"/>
          <w:noProof/>
          <w:color w:val="auto"/>
          <w:sz w:val="22"/>
          <w:szCs w:val="22"/>
        </w:rPr>
      </w:pPr>
      <w:hyperlink w:anchor="_Toc524604253" w:history="1">
        <w:r w:rsidR="004975F8" w:rsidRPr="00CB2CB5">
          <w:rPr>
            <w:rStyle w:val="Hyperlink"/>
            <w:noProof/>
          </w:rPr>
          <w:t xml:space="preserve">Figure </w:t>
        </w:r>
        <w:r w:rsidR="004975F8">
          <w:rPr>
            <w:rStyle w:val="Hyperlink"/>
            <w:noProof/>
          </w:rPr>
          <w:t>23</w:t>
        </w:r>
        <w:r w:rsidR="004975F8" w:rsidRPr="00CB2CB5">
          <w:rPr>
            <w:rStyle w:val="Hyperlink"/>
            <w:noProof/>
          </w:rPr>
          <w:t xml:space="preserve"> </w:t>
        </w:r>
        <w:r w:rsidR="004975F8">
          <w:rPr>
            <w:rStyle w:val="Hyperlink"/>
            <w:noProof/>
          </w:rPr>
          <w:t>–</w:t>
        </w:r>
        <w:r w:rsidR="004975F8" w:rsidRPr="00CB2CB5">
          <w:rPr>
            <w:rStyle w:val="Hyperlink"/>
            <w:noProof/>
          </w:rPr>
          <w:t xml:space="preserve"> </w:t>
        </w:r>
        <w:r w:rsidR="004975F8">
          <w:rPr>
            <w:rStyle w:val="Hyperlink"/>
            <w:noProof/>
          </w:rPr>
          <w:t>High DSM/EE Sensitivity Scenarios</w:t>
        </w:r>
        <w:r w:rsidR="004975F8" w:rsidRPr="00CB2CB5">
          <w:rPr>
            <w:noProof/>
            <w:webHidden/>
          </w:rPr>
          <w:tab/>
        </w:r>
        <w:r w:rsidR="00AB6A1C">
          <w:rPr>
            <w:noProof/>
            <w:webHidden/>
          </w:rPr>
          <w:t>83</w:t>
        </w:r>
      </w:hyperlink>
    </w:p>
    <w:p w14:paraId="37943E81" w14:textId="566A312F" w:rsidR="004975F8" w:rsidRDefault="008A5446" w:rsidP="004975F8">
      <w:pPr>
        <w:pStyle w:val="TableofFigures"/>
        <w:tabs>
          <w:tab w:val="right" w:leader="dot" w:pos="9350"/>
        </w:tabs>
        <w:rPr>
          <w:noProof/>
        </w:rPr>
      </w:pPr>
      <w:hyperlink w:anchor="_Toc524604254" w:history="1">
        <w:r w:rsidR="004975F8" w:rsidRPr="00CB2CB5">
          <w:rPr>
            <w:rStyle w:val="Hyperlink"/>
            <w:noProof/>
          </w:rPr>
          <w:t xml:space="preserve">Figure </w:t>
        </w:r>
        <w:r w:rsidR="004975F8">
          <w:rPr>
            <w:rStyle w:val="Hyperlink"/>
            <w:noProof/>
          </w:rPr>
          <w:t>24</w:t>
        </w:r>
        <w:r w:rsidR="004975F8" w:rsidRPr="00CB2CB5">
          <w:rPr>
            <w:rStyle w:val="Hyperlink"/>
            <w:noProof/>
          </w:rPr>
          <w:t xml:space="preserve"> </w:t>
        </w:r>
        <w:r w:rsidR="004975F8">
          <w:rPr>
            <w:rStyle w:val="Hyperlink"/>
            <w:noProof/>
          </w:rPr>
          <w:t>–</w:t>
        </w:r>
        <w:r w:rsidR="004975F8" w:rsidRPr="00CB2CB5">
          <w:rPr>
            <w:rStyle w:val="Hyperlink"/>
            <w:noProof/>
          </w:rPr>
          <w:t xml:space="preserve"> </w:t>
        </w:r>
        <w:r w:rsidR="004975F8">
          <w:rPr>
            <w:rStyle w:val="Hyperlink"/>
            <w:noProof/>
          </w:rPr>
          <w:t>High DSM/EE Resulting Change in Capacity &amp; Generation Mix</w:t>
        </w:r>
        <w:r w:rsidR="004975F8" w:rsidRPr="00CB2CB5">
          <w:rPr>
            <w:noProof/>
            <w:webHidden/>
          </w:rPr>
          <w:tab/>
        </w:r>
        <w:r w:rsidR="00AB6A1C">
          <w:rPr>
            <w:noProof/>
            <w:webHidden/>
          </w:rPr>
          <w:t>84</w:t>
        </w:r>
      </w:hyperlink>
    </w:p>
    <w:p w14:paraId="7DDB993D" w14:textId="77777777" w:rsidR="00624CF3" w:rsidRPr="00624CF3" w:rsidRDefault="00624CF3" w:rsidP="00624CF3"/>
    <w:p w14:paraId="577B05FF" w14:textId="77777777" w:rsidR="00624CF3" w:rsidRPr="00624CF3" w:rsidRDefault="00624CF3" w:rsidP="00624CF3"/>
    <w:p w14:paraId="4665EFB9" w14:textId="77777777" w:rsidR="00624CF3" w:rsidRPr="00624CF3" w:rsidRDefault="00624CF3" w:rsidP="00624CF3"/>
    <w:p w14:paraId="49BFCED8" w14:textId="77777777" w:rsidR="0099745E" w:rsidRPr="0099745E" w:rsidRDefault="0099745E" w:rsidP="0099745E"/>
    <w:p w14:paraId="414F30AA" w14:textId="77777777" w:rsidR="001B7B08" w:rsidRPr="00CB2CB5" w:rsidRDefault="005065DF" w:rsidP="005065DF">
      <w:pPr>
        <w:spacing w:line="240" w:lineRule="auto"/>
        <w:jc w:val="left"/>
        <w:rPr>
          <w:rFonts w:eastAsia="Times New Roman"/>
        </w:rPr>
      </w:pPr>
      <w:r w:rsidRPr="00CB2CB5">
        <w:rPr>
          <w:rFonts w:eastAsia="Times New Roman"/>
        </w:rPr>
        <w:fldChar w:fldCharType="end"/>
      </w:r>
    </w:p>
    <w:p w14:paraId="160AB8BC" w14:textId="77777777" w:rsidR="00811ABE" w:rsidRPr="00CB2CB5" w:rsidRDefault="00811ABE" w:rsidP="0006190C">
      <w:pPr>
        <w:spacing w:line="240" w:lineRule="auto"/>
        <w:jc w:val="left"/>
        <w:rPr>
          <w:rFonts w:eastAsia="Times New Roman"/>
        </w:rPr>
        <w:sectPr w:rsidR="00811ABE" w:rsidRPr="00CB2CB5" w:rsidSect="00052D48">
          <w:headerReference w:type="even" r:id="rId16"/>
          <w:headerReference w:type="default" r:id="rId17"/>
          <w:footerReference w:type="default" r:id="rId18"/>
          <w:headerReference w:type="first" r:id="rId19"/>
          <w:type w:val="continuous"/>
          <w:pgSz w:w="12240" w:h="15840"/>
          <w:pgMar w:top="1440" w:right="1440" w:bottom="1440" w:left="1440" w:header="720" w:footer="720" w:gutter="0"/>
          <w:pgNumType w:start="1"/>
          <w:cols w:space="720"/>
          <w:docGrid w:linePitch="360"/>
        </w:sectPr>
      </w:pPr>
    </w:p>
    <w:p w14:paraId="345DC902" w14:textId="77777777" w:rsidR="005065DF" w:rsidRPr="00CB2CB5" w:rsidRDefault="005065DF" w:rsidP="0006190C">
      <w:pPr>
        <w:spacing w:line="240" w:lineRule="auto"/>
        <w:jc w:val="left"/>
        <w:rPr>
          <w:rFonts w:eastAsia="Times New Roman"/>
        </w:rPr>
      </w:pPr>
    </w:p>
    <w:p w14:paraId="74CDBB0B" w14:textId="77777777" w:rsidR="006C7935" w:rsidRPr="00CB2CB5" w:rsidRDefault="006C7935" w:rsidP="006C7935">
      <w:pPr>
        <w:spacing w:line="240" w:lineRule="auto"/>
        <w:jc w:val="center"/>
        <w:rPr>
          <w:b/>
        </w:rPr>
      </w:pPr>
      <w:r w:rsidRPr="00CB2CB5">
        <w:rPr>
          <w:b/>
        </w:rPr>
        <w:br w:type="page"/>
      </w:r>
    </w:p>
    <w:p w14:paraId="0CF51ADC" w14:textId="42C9A739" w:rsidR="003C0EF8" w:rsidRPr="00CB2CB5" w:rsidRDefault="000E4ABA" w:rsidP="006C7935">
      <w:pPr>
        <w:spacing w:line="240" w:lineRule="auto"/>
        <w:jc w:val="center"/>
        <w:rPr>
          <w:b/>
        </w:rPr>
      </w:pPr>
      <w:r>
        <w:rPr>
          <w:b/>
        </w:rPr>
        <w:lastRenderedPageBreak/>
        <w:t>APPENDICES</w:t>
      </w:r>
    </w:p>
    <w:p w14:paraId="32142830" w14:textId="77777777" w:rsidR="003C0EF8" w:rsidRPr="00CB2CB5" w:rsidRDefault="003C0EF8" w:rsidP="005065DF">
      <w:pPr>
        <w:spacing w:line="240" w:lineRule="auto"/>
        <w:jc w:val="left"/>
      </w:pPr>
    </w:p>
    <w:p w14:paraId="4A56911A" w14:textId="77777777" w:rsidR="003C0EF8" w:rsidRPr="00CB2CB5" w:rsidRDefault="003C0EF8" w:rsidP="005065DF">
      <w:pPr>
        <w:spacing w:line="240" w:lineRule="auto"/>
        <w:jc w:val="left"/>
      </w:pPr>
    </w:p>
    <w:p w14:paraId="64D872B9" w14:textId="68C121D0" w:rsidR="00D82AA7" w:rsidRPr="00833A10" w:rsidRDefault="000E4ABA" w:rsidP="00833A10">
      <w:pPr>
        <w:spacing w:line="240" w:lineRule="auto"/>
      </w:pPr>
      <w:r>
        <w:t>Appendix A</w:t>
      </w:r>
      <w:r w:rsidR="005065DF" w:rsidRPr="00CB2CB5">
        <w:fldChar w:fldCharType="begin"/>
      </w:r>
      <w:r w:rsidR="005065DF" w:rsidRPr="00CB2CB5">
        <w:instrText xml:space="preserve"> TOC \h \z \c "Attachment A-" </w:instrText>
      </w:r>
      <w:r w:rsidR="005065DF" w:rsidRPr="00CB2CB5">
        <w:fldChar w:fldCharType="separate"/>
      </w:r>
      <w:hyperlink w:anchor="_Toc534193522" w:history="1">
        <w:r w:rsidR="00B82AFB" w:rsidRPr="00CB2CB5">
          <w:rPr>
            <w:rStyle w:val="Hyperlink"/>
            <w:noProof/>
          </w:rPr>
          <w:t xml:space="preserve">:  </w:t>
        </w:r>
        <w:r w:rsidR="00F42E4A">
          <w:rPr>
            <w:rStyle w:val="Hyperlink"/>
            <w:noProof/>
          </w:rPr>
          <w:t>E3</w:t>
        </w:r>
      </w:hyperlink>
      <w:r>
        <w:rPr>
          <w:noProof/>
        </w:rPr>
        <w:t xml:space="preserve">- </w:t>
      </w:r>
      <w:r w:rsidR="00F42E4A">
        <w:rPr>
          <w:noProof/>
        </w:rPr>
        <w:t>2021 IRP Resource Assumptions</w:t>
      </w:r>
      <w:r>
        <w:rPr>
          <w:noProof/>
        </w:rPr>
        <w:t>………………………………………...90-93</w:t>
      </w:r>
    </w:p>
    <w:p w14:paraId="6B4AB33E" w14:textId="1AA9F071" w:rsidR="00D82AA7" w:rsidRPr="00B562D0" w:rsidRDefault="00D82AA7" w:rsidP="00833A10">
      <w:pPr>
        <w:spacing w:line="240" w:lineRule="auto"/>
      </w:pPr>
      <w:r>
        <w:t>Appendix B</w:t>
      </w:r>
      <w:r w:rsidRPr="00CB2CB5">
        <w:fldChar w:fldCharType="begin"/>
      </w:r>
      <w:r w:rsidRPr="00CB2CB5">
        <w:instrText xml:space="preserve"> TOC \h \z \c "Attachment A-" </w:instrText>
      </w:r>
      <w:r w:rsidRPr="00CB2CB5">
        <w:fldChar w:fldCharType="separate"/>
      </w:r>
      <w:hyperlink w:anchor="_Toc534193522" w:history="1">
        <w:r w:rsidRPr="00CB2CB5">
          <w:rPr>
            <w:rStyle w:val="Hyperlink"/>
            <w:noProof/>
          </w:rPr>
          <w:t xml:space="preserve">:  </w:t>
        </w:r>
        <w:r>
          <w:rPr>
            <w:rStyle w:val="Hyperlink"/>
            <w:noProof/>
          </w:rPr>
          <w:t>E3</w:t>
        </w:r>
      </w:hyperlink>
      <w:r>
        <w:rPr>
          <w:noProof/>
        </w:rPr>
        <w:t>- 2021 IRP Resource Assumptions - Source of Data…………….………...</w:t>
      </w:r>
      <w:r w:rsidR="009B7972">
        <w:rPr>
          <w:noProof/>
        </w:rPr>
        <w:t>.....</w:t>
      </w:r>
      <w:r>
        <w:rPr>
          <w:noProof/>
        </w:rPr>
        <w:t>94</w:t>
      </w:r>
    </w:p>
    <w:p w14:paraId="2BCB4870" w14:textId="77777777" w:rsidR="00D82AA7" w:rsidRPr="00CB2CB5" w:rsidRDefault="00D82AA7" w:rsidP="00903C35">
      <w:pPr>
        <w:pStyle w:val="TableofFigures"/>
        <w:tabs>
          <w:tab w:val="right" w:leader="dot" w:pos="9350"/>
        </w:tabs>
        <w:rPr>
          <w:rFonts w:asciiTheme="minorHAnsi" w:eastAsiaTheme="minorEastAsia" w:hAnsiTheme="minorHAnsi" w:cstheme="minorBidi"/>
          <w:noProof/>
          <w:color w:val="auto"/>
          <w:sz w:val="22"/>
          <w:szCs w:val="22"/>
        </w:rPr>
      </w:pPr>
    </w:p>
    <w:p w14:paraId="7DC62723" w14:textId="543B046C" w:rsidR="00B82AFB" w:rsidRPr="00CB2CB5" w:rsidRDefault="00D82AA7" w:rsidP="00903C35">
      <w:pPr>
        <w:pStyle w:val="TableofFigures"/>
        <w:tabs>
          <w:tab w:val="right" w:leader="dot" w:pos="9350"/>
        </w:tabs>
        <w:rPr>
          <w:rFonts w:asciiTheme="minorHAnsi" w:eastAsiaTheme="minorEastAsia" w:hAnsiTheme="minorHAnsi" w:cstheme="minorBidi"/>
          <w:noProof/>
          <w:color w:val="auto"/>
          <w:sz w:val="22"/>
          <w:szCs w:val="22"/>
        </w:rPr>
      </w:pPr>
      <w:r w:rsidRPr="00CB2CB5">
        <w:fldChar w:fldCharType="end"/>
      </w:r>
    </w:p>
    <w:p w14:paraId="7148CB9D" w14:textId="475B2887" w:rsidR="00A96908" w:rsidRPr="00CB2CB5" w:rsidRDefault="005065DF" w:rsidP="00903C35">
      <w:pPr>
        <w:spacing w:line="240" w:lineRule="auto"/>
        <w:jc w:val="left"/>
      </w:pPr>
      <w:r w:rsidRPr="00CB2CB5">
        <w:fldChar w:fldCharType="end"/>
      </w:r>
    </w:p>
    <w:p w14:paraId="7808BF24" w14:textId="2507DE25" w:rsidR="006C7935" w:rsidRPr="00CB2CB5" w:rsidRDefault="006C7935" w:rsidP="006C7935">
      <w:pPr>
        <w:pStyle w:val="Heading1"/>
        <w:keepNext/>
        <w:keepLines/>
        <w:widowControl/>
        <w:tabs>
          <w:tab w:val="left" w:pos="540"/>
        </w:tabs>
        <w:autoSpaceDE/>
        <w:autoSpaceDN/>
        <w:spacing w:before="0" w:line="276" w:lineRule="auto"/>
        <w:ind w:left="360"/>
        <w:sectPr w:rsidR="006C7935" w:rsidRPr="00CB2CB5" w:rsidSect="006C7935">
          <w:footerReference w:type="default" r:id="rId20"/>
          <w:type w:val="continuous"/>
          <w:pgSz w:w="12240" w:h="15840"/>
          <w:pgMar w:top="1440" w:right="1440" w:bottom="1440" w:left="1440" w:header="720" w:footer="720" w:gutter="0"/>
          <w:pgNumType w:start="1"/>
          <w:cols w:space="720"/>
          <w:docGrid w:linePitch="360"/>
        </w:sectPr>
      </w:pPr>
    </w:p>
    <w:p w14:paraId="3A74608D" w14:textId="373736EB" w:rsidR="00451347" w:rsidRPr="00CB2CB5" w:rsidRDefault="00451347" w:rsidP="00780D21">
      <w:pPr>
        <w:pStyle w:val="Heading1"/>
        <w:keepNext/>
        <w:keepLines/>
        <w:widowControl/>
        <w:numPr>
          <w:ilvl w:val="0"/>
          <w:numId w:val="23"/>
        </w:numPr>
        <w:tabs>
          <w:tab w:val="left" w:pos="540"/>
        </w:tabs>
        <w:autoSpaceDE/>
        <w:autoSpaceDN/>
        <w:spacing w:before="0" w:line="276" w:lineRule="auto"/>
        <w:ind w:left="0" w:firstLine="0"/>
      </w:pPr>
      <w:bookmarkStart w:id="1" w:name="_Toc534190286"/>
      <w:r w:rsidRPr="00CB2CB5">
        <w:lastRenderedPageBreak/>
        <w:t>EXECUTIVE SUMMARY</w:t>
      </w:r>
      <w:bookmarkEnd w:id="1"/>
      <w:r w:rsidRPr="00CB2CB5">
        <w:t xml:space="preserve"> </w:t>
      </w:r>
    </w:p>
    <w:p w14:paraId="1DA8CEDA" w14:textId="77777777" w:rsidR="004D2436" w:rsidRPr="00CB2CB5" w:rsidRDefault="004D2436" w:rsidP="008759DE">
      <w:pPr>
        <w:spacing w:line="276" w:lineRule="auto"/>
        <w:rPr>
          <w:rFonts w:eastAsia="Times New Roman"/>
        </w:rPr>
      </w:pPr>
    </w:p>
    <w:p w14:paraId="70143B90" w14:textId="18400C9F" w:rsidR="00322646" w:rsidRPr="00CB2CB5" w:rsidRDefault="00322646" w:rsidP="008759DE">
      <w:pPr>
        <w:spacing w:line="276" w:lineRule="auto"/>
        <w:rPr>
          <w:rFonts w:eastAsia="Times New Roman"/>
        </w:rPr>
      </w:pPr>
      <w:r w:rsidRPr="00CB2CB5">
        <w:rPr>
          <w:rFonts w:eastAsia="Times New Roman"/>
        </w:rPr>
        <w:t xml:space="preserve">EPE presents </w:t>
      </w:r>
      <w:r w:rsidR="00DF6080" w:rsidRPr="00CB2CB5">
        <w:rPr>
          <w:rFonts w:eastAsia="Times New Roman"/>
        </w:rPr>
        <w:t>this</w:t>
      </w:r>
      <w:r w:rsidR="0075365B">
        <w:rPr>
          <w:rFonts w:eastAsia="Times New Roman"/>
        </w:rPr>
        <w:t xml:space="preserve"> Integrated Resource </w:t>
      </w:r>
      <w:r w:rsidRPr="00CB2CB5">
        <w:rPr>
          <w:rFonts w:eastAsia="Times New Roman"/>
        </w:rPr>
        <w:t>Plan</w:t>
      </w:r>
      <w:r w:rsidR="0075365B">
        <w:rPr>
          <w:rFonts w:eastAsia="Times New Roman"/>
        </w:rPr>
        <w:t xml:space="preserve"> </w:t>
      </w:r>
      <w:r w:rsidR="00016BFB">
        <w:rPr>
          <w:rFonts w:eastAsia="Times New Roman"/>
        </w:rPr>
        <w:t>(</w:t>
      </w:r>
      <w:r w:rsidR="0075365B">
        <w:rPr>
          <w:rFonts w:eastAsia="Times New Roman"/>
        </w:rPr>
        <w:t>“IRP”</w:t>
      </w:r>
      <w:r w:rsidRPr="00CB2CB5">
        <w:rPr>
          <w:rFonts w:eastAsia="Times New Roman"/>
        </w:rPr>
        <w:t xml:space="preserve"> </w:t>
      </w:r>
      <w:r w:rsidR="00016BFB">
        <w:rPr>
          <w:rFonts w:eastAsia="Times New Roman"/>
        </w:rPr>
        <w:t xml:space="preserve">or “Plan”) </w:t>
      </w:r>
      <w:r w:rsidRPr="00CB2CB5">
        <w:rPr>
          <w:rFonts w:eastAsia="Times New Roman"/>
        </w:rPr>
        <w:t>pursuant to the requirements of the Commission</w:t>
      </w:r>
      <w:r w:rsidR="00B81EE4" w:rsidRPr="00CB2CB5">
        <w:rPr>
          <w:rFonts w:eastAsia="Times New Roman"/>
        </w:rPr>
        <w:t>'</w:t>
      </w:r>
      <w:r w:rsidRPr="00CB2CB5">
        <w:rPr>
          <w:rFonts w:eastAsia="Times New Roman"/>
        </w:rPr>
        <w:t>s IRP Rule, 17.7.3</w:t>
      </w:r>
      <w:r w:rsidR="00F4371A" w:rsidRPr="00CB2CB5">
        <w:rPr>
          <w:rFonts w:eastAsia="Times New Roman"/>
        </w:rPr>
        <w:t> </w:t>
      </w:r>
      <w:r w:rsidRPr="00CB2CB5">
        <w:rPr>
          <w:rFonts w:eastAsia="Times New Roman"/>
        </w:rPr>
        <w:t xml:space="preserve">NMAC </w:t>
      </w:r>
      <w:r w:rsidR="00600B05" w:rsidRPr="00CB2CB5">
        <w:rPr>
          <w:rFonts w:eastAsia="Times New Roman"/>
        </w:rPr>
        <w:t>(</w:t>
      </w:r>
      <w:r w:rsidR="00B81EE4" w:rsidRPr="00CB2CB5">
        <w:rPr>
          <w:rFonts w:eastAsia="Times New Roman"/>
        </w:rPr>
        <w:t>"</w:t>
      </w:r>
      <w:r w:rsidR="00600B05" w:rsidRPr="00CB2CB5">
        <w:rPr>
          <w:rFonts w:eastAsia="Times New Roman"/>
        </w:rPr>
        <w:t>IRP Rule</w:t>
      </w:r>
      <w:r w:rsidR="00B81EE4" w:rsidRPr="00CB2CB5">
        <w:rPr>
          <w:rFonts w:eastAsia="Times New Roman"/>
        </w:rPr>
        <w:t>"</w:t>
      </w:r>
      <w:r w:rsidR="00600B05" w:rsidRPr="00CB2CB5">
        <w:rPr>
          <w:rFonts w:eastAsia="Times New Roman"/>
        </w:rPr>
        <w:t>)</w:t>
      </w:r>
      <w:r w:rsidR="00231AB2">
        <w:rPr>
          <w:rFonts w:eastAsia="Times New Roman"/>
        </w:rPr>
        <w:t>,</w:t>
      </w:r>
      <w:r w:rsidR="00016BFB">
        <w:rPr>
          <w:rFonts w:eastAsia="Times New Roman"/>
        </w:rPr>
        <w:t xml:space="preserve"> </w:t>
      </w:r>
      <w:r w:rsidR="00231AB2">
        <w:rPr>
          <w:rFonts w:eastAsia="Times New Roman"/>
        </w:rPr>
        <w:t xml:space="preserve">the New Mexico Efficient Use of Energy Act, </w:t>
      </w:r>
      <w:proofErr w:type="spellStart"/>
      <w:r w:rsidR="00231AB2">
        <w:rPr>
          <w:rFonts w:eastAsia="Times New Roman"/>
        </w:rPr>
        <w:t>NMSA</w:t>
      </w:r>
      <w:proofErr w:type="spellEnd"/>
      <w:r w:rsidR="00231AB2">
        <w:rPr>
          <w:rFonts w:eastAsia="Times New Roman"/>
        </w:rPr>
        <w:t xml:space="preserve"> 1978, § 62-17-1 </w:t>
      </w:r>
      <w:r w:rsidR="00231AB2" w:rsidRPr="00231AB2">
        <w:rPr>
          <w:rFonts w:eastAsia="Times New Roman"/>
          <w:i/>
          <w:iCs/>
        </w:rPr>
        <w:t>et seq</w:t>
      </w:r>
      <w:r w:rsidR="00231AB2">
        <w:rPr>
          <w:rFonts w:eastAsia="Times New Roman"/>
        </w:rPr>
        <w:t>. (“</w:t>
      </w:r>
      <w:proofErr w:type="spellStart"/>
      <w:r w:rsidR="00231AB2">
        <w:rPr>
          <w:rFonts w:eastAsia="Times New Roman"/>
        </w:rPr>
        <w:t>EUEA</w:t>
      </w:r>
      <w:proofErr w:type="spellEnd"/>
      <w:r w:rsidR="00231AB2">
        <w:rPr>
          <w:rFonts w:eastAsia="Times New Roman"/>
        </w:rPr>
        <w:t>”)</w:t>
      </w:r>
      <w:r w:rsidRPr="00CB2CB5">
        <w:rPr>
          <w:rFonts w:eastAsia="Times New Roman"/>
        </w:rPr>
        <w:t xml:space="preserve"> </w:t>
      </w:r>
      <w:r w:rsidR="00A46F7F">
        <w:rPr>
          <w:rFonts w:eastAsia="Times New Roman"/>
        </w:rPr>
        <w:t xml:space="preserve">the New Mexico Renewable Energy Act, </w:t>
      </w:r>
      <w:proofErr w:type="spellStart"/>
      <w:r w:rsidR="00A46F7F">
        <w:rPr>
          <w:rFonts w:eastAsia="Times New Roman"/>
        </w:rPr>
        <w:t>NMSA</w:t>
      </w:r>
      <w:proofErr w:type="spellEnd"/>
      <w:r w:rsidR="00A46F7F">
        <w:rPr>
          <w:rFonts w:eastAsia="Times New Roman"/>
        </w:rPr>
        <w:t xml:space="preserve"> 1978, §62-16-1 </w:t>
      </w:r>
      <w:r w:rsidR="00A46F7F" w:rsidRPr="00A46F7F">
        <w:rPr>
          <w:rFonts w:eastAsia="Times New Roman"/>
          <w:i/>
          <w:iCs/>
        </w:rPr>
        <w:t>et seq</w:t>
      </w:r>
      <w:r w:rsidR="007F0DE1">
        <w:rPr>
          <w:rFonts w:eastAsia="Times New Roman"/>
          <w:i/>
          <w:iCs/>
        </w:rPr>
        <w:t>.</w:t>
      </w:r>
      <w:r w:rsidR="007F0DE1">
        <w:rPr>
          <w:rFonts w:eastAsia="Times New Roman"/>
        </w:rPr>
        <w:t xml:space="preserve"> (“REA”).</w:t>
      </w:r>
      <w:r w:rsidR="00A46F7F">
        <w:rPr>
          <w:rStyle w:val="FootnoteReference"/>
          <w:rFonts w:eastAsia="Times New Roman"/>
        </w:rPr>
        <w:footnoteReference w:id="1"/>
      </w:r>
      <w:r w:rsidRPr="00CB2CB5">
        <w:rPr>
          <w:rFonts w:eastAsia="Times New Roman"/>
        </w:rPr>
        <w:t xml:space="preserve"> This document discusses EPE</w:t>
      </w:r>
      <w:r w:rsidR="00B81EE4" w:rsidRPr="00CB2CB5">
        <w:rPr>
          <w:rFonts w:eastAsia="Times New Roman"/>
        </w:rPr>
        <w:t>'</w:t>
      </w:r>
      <w:r w:rsidRPr="00CB2CB5">
        <w:rPr>
          <w:rFonts w:eastAsia="Times New Roman"/>
        </w:rPr>
        <w:t xml:space="preserve">s integrated resource planning process </w:t>
      </w:r>
      <w:r w:rsidR="00BB3F1A" w:rsidRPr="00CB2CB5">
        <w:rPr>
          <w:rFonts w:eastAsia="Times New Roman"/>
        </w:rPr>
        <w:t xml:space="preserve">(the </w:t>
      </w:r>
      <w:r w:rsidR="00B81EE4" w:rsidRPr="00CB2CB5">
        <w:rPr>
          <w:rFonts w:eastAsia="Times New Roman"/>
        </w:rPr>
        <w:t>"</w:t>
      </w:r>
      <w:r w:rsidR="00BB3F1A" w:rsidRPr="00CB2CB5">
        <w:rPr>
          <w:rFonts w:eastAsia="Times New Roman"/>
        </w:rPr>
        <w:t>Planning Process</w:t>
      </w:r>
      <w:r w:rsidR="00B81EE4" w:rsidRPr="00CB2CB5">
        <w:rPr>
          <w:rFonts w:eastAsia="Times New Roman"/>
        </w:rPr>
        <w:t>"</w:t>
      </w:r>
      <w:r w:rsidR="00BB3F1A" w:rsidRPr="00CB2CB5">
        <w:rPr>
          <w:rFonts w:eastAsia="Times New Roman"/>
        </w:rPr>
        <w:t xml:space="preserve">) </w:t>
      </w:r>
      <w:r w:rsidRPr="00CB2CB5">
        <w:rPr>
          <w:rFonts w:eastAsia="Times New Roman"/>
        </w:rPr>
        <w:t>and develops an integrated resource portfolio to safely, reliably and cost</w:t>
      </w:r>
      <w:r w:rsidR="00E93318" w:rsidRPr="00CB2CB5">
        <w:rPr>
          <w:rFonts w:eastAsia="Times New Roman"/>
        </w:rPr>
        <w:noBreakHyphen/>
      </w:r>
      <w:r w:rsidRPr="00CB2CB5">
        <w:rPr>
          <w:rFonts w:eastAsia="Times New Roman"/>
        </w:rPr>
        <w:t>effectively meet the energy needs of EPE</w:t>
      </w:r>
      <w:r w:rsidR="00B81EE4" w:rsidRPr="00CB2CB5">
        <w:rPr>
          <w:rFonts w:eastAsia="Times New Roman"/>
        </w:rPr>
        <w:t>'</w:t>
      </w:r>
      <w:r w:rsidRPr="00CB2CB5">
        <w:rPr>
          <w:rFonts w:eastAsia="Times New Roman"/>
        </w:rPr>
        <w:t xml:space="preserve">s customers for the next twenty years.  The IRP </w:t>
      </w:r>
      <w:r w:rsidR="00C4505A" w:rsidRPr="00CB2CB5">
        <w:rPr>
          <w:rFonts w:eastAsia="Times New Roman"/>
        </w:rPr>
        <w:t xml:space="preserve">public </w:t>
      </w:r>
      <w:r w:rsidR="002140D9" w:rsidRPr="00CB2CB5">
        <w:rPr>
          <w:rFonts w:eastAsia="Times New Roman"/>
        </w:rPr>
        <w:t xml:space="preserve">advisory </w:t>
      </w:r>
      <w:r w:rsidRPr="00CB2CB5">
        <w:rPr>
          <w:rFonts w:eastAsia="Times New Roman"/>
        </w:rPr>
        <w:t>process</w:t>
      </w:r>
      <w:r w:rsidR="00C4505A" w:rsidRPr="00CB2CB5">
        <w:rPr>
          <w:rFonts w:eastAsia="Times New Roman"/>
        </w:rPr>
        <w:t xml:space="preserve"> </w:t>
      </w:r>
      <w:r w:rsidR="00BB3F1A" w:rsidRPr="00CB2CB5">
        <w:rPr>
          <w:rFonts w:eastAsia="Times New Roman"/>
        </w:rPr>
        <w:t xml:space="preserve">(the </w:t>
      </w:r>
      <w:r w:rsidR="00B81EE4" w:rsidRPr="00CB2CB5">
        <w:rPr>
          <w:rFonts w:eastAsia="Times New Roman"/>
        </w:rPr>
        <w:t>"</w:t>
      </w:r>
      <w:r w:rsidR="00BB3F1A" w:rsidRPr="00CB2CB5">
        <w:rPr>
          <w:rFonts w:eastAsia="Times New Roman"/>
        </w:rPr>
        <w:t>Public Process</w:t>
      </w:r>
      <w:r w:rsidR="00B81EE4" w:rsidRPr="00CB2CB5">
        <w:rPr>
          <w:rFonts w:eastAsia="Times New Roman"/>
        </w:rPr>
        <w:t>"</w:t>
      </w:r>
      <w:r w:rsidR="00BB3F1A" w:rsidRPr="00CB2CB5">
        <w:rPr>
          <w:rFonts w:eastAsia="Times New Roman"/>
        </w:rPr>
        <w:t>)</w:t>
      </w:r>
      <w:r w:rsidR="006B3C39" w:rsidRPr="00CB2CB5">
        <w:rPr>
          <w:rFonts w:eastAsia="Times New Roman"/>
        </w:rPr>
        <w:t>, as set forth in the IRP Rule,</w:t>
      </w:r>
      <w:r w:rsidR="00BB3F1A" w:rsidRPr="00CB2CB5">
        <w:rPr>
          <w:rFonts w:eastAsia="Times New Roman"/>
        </w:rPr>
        <w:t xml:space="preserve"> </w:t>
      </w:r>
      <w:r w:rsidR="00C4505A" w:rsidRPr="00CB2CB5">
        <w:rPr>
          <w:rFonts w:eastAsia="Times New Roman"/>
        </w:rPr>
        <w:t>was</w:t>
      </w:r>
      <w:r w:rsidRPr="00CB2CB5">
        <w:rPr>
          <w:rFonts w:eastAsia="Times New Roman"/>
        </w:rPr>
        <w:t xml:space="preserve"> initiated with the first </w:t>
      </w:r>
      <w:r w:rsidR="00E7680C" w:rsidRPr="00CB2CB5">
        <w:rPr>
          <w:rFonts w:eastAsia="Times New Roman"/>
        </w:rPr>
        <w:t>p</w:t>
      </w:r>
      <w:r w:rsidRPr="00CB2CB5">
        <w:rPr>
          <w:rFonts w:eastAsia="Times New Roman"/>
        </w:rPr>
        <w:t xml:space="preserve">ublic </w:t>
      </w:r>
      <w:r w:rsidR="00E7680C" w:rsidRPr="00CB2CB5">
        <w:rPr>
          <w:rFonts w:eastAsia="Times New Roman"/>
        </w:rPr>
        <w:t>a</w:t>
      </w:r>
      <w:r w:rsidRPr="00CB2CB5">
        <w:rPr>
          <w:rFonts w:eastAsia="Times New Roman"/>
        </w:rPr>
        <w:t xml:space="preserve">dvisory meeting on </w:t>
      </w:r>
      <w:r w:rsidR="00F41445">
        <w:rPr>
          <w:rFonts w:eastAsia="Times New Roman"/>
        </w:rPr>
        <w:t>July 10</w:t>
      </w:r>
      <w:r w:rsidRPr="00CB2CB5">
        <w:rPr>
          <w:rFonts w:eastAsia="Times New Roman"/>
        </w:rPr>
        <w:t>, 20</w:t>
      </w:r>
      <w:r w:rsidR="00F41445">
        <w:rPr>
          <w:rFonts w:eastAsia="Times New Roman"/>
        </w:rPr>
        <w:t>20</w:t>
      </w:r>
      <w:r w:rsidR="00BA4F73">
        <w:rPr>
          <w:rFonts w:eastAsia="Times New Roman"/>
        </w:rPr>
        <w:t>, approximately thirteen months prior to the filing date of August 15, 2021.</w:t>
      </w:r>
      <w:r w:rsidRPr="00CB2CB5">
        <w:rPr>
          <w:rFonts w:eastAsia="Times New Roman"/>
        </w:rPr>
        <w:t xml:space="preserve">  EPE is committed </w:t>
      </w:r>
      <w:r w:rsidR="00F9185D" w:rsidRPr="00CB2CB5">
        <w:rPr>
          <w:rFonts w:eastAsia="Times New Roman"/>
        </w:rPr>
        <w:t>to</w:t>
      </w:r>
      <w:r w:rsidR="00034C2A">
        <w:rPr>
          <w:rFonts w:eastAsia="Times New Roman"/>
        </w:rPr>
        <w:t>,</w:t>
      </w:r>
      <w:r w:rsidR="00F9185D" w:rsidRPr="00CB2CB5">
        <w:rPr>
          <w:rFonts w:eastAsia="Times New Roman"/>
        </w:rPr>
        <w:t xml:space="preserve"> </w:t>
      </w:r>
      <w:r w:rsidRPr="00CB2CB5">
        <w:rPr>
          <w:rFonts w:eastAsia="Times New Roman"/>
        </w:rPr>
        <w:t xml:space="preserve">and supportive of the </w:t>
      </w:r>
      <w:r w:rsidR="00F41445">
        <w:rPr>
          <w:rFonts w:eastAsia="Times New Roman"/>
        </w:rPr>
        <w:t>public participant’s (“</w:t>
      </w:r>
      <w:r w:rsidRPr="00CB2CB5">
        <w:rPr>
          <w:rFonts w:eastAsia="Times New Roman"/>
        </w:rPr>
        <w:t>P</w:t>
      </w:r>
      <w:r w:rsidR="00906172">
        <w:rPr>
          <w:rFonts w:eastAsia="Times New Roman"/>
        </w:rPr>
        <w:t>articipants</w:t>
      </w:r>
      <w:r w:rsidR="00F41445">
        <w:rPr>
          <w:rFonts w:eastAsia="Times New Roman"/>
        </w:rPr>
        <w:t>”)</w:t>
      </w:r>
      <w:r w:rsidR="00F9185D" w:rsidRPr="00CB2CB5">
        <w:rPr>
          <w:rFonts w:eastAsia="Times New Roman"/>
        </w:rPr>
        <w:t xml:space="preserve"> efforts</w:t>
      </w:r>
      <w:r w:rsidR="00BA4F73">
        <w:rPr>
          <w:rFonts w:eastAsia="Times New Roman"/>
        </w:rPr>
        <w:t xml:space="preserve">.  For the 2021 IRP, there </w:t>
      </w:r>
      <w:r w:rsidR="00B94071">
        <w:rPr>
          <w:rFonts w:eastAsia="Times New Roman"/>
        </w:rPr>
        <w:t>were</w:t>
      </w:r>
      <w:r w:rsidR="00BA4F73">
        <w:rPr>
          <w:rFonts w:eastAsia="Times New Roman"/>
        </w:rPr>
        <w:t xml:space="preserve"> </w:t>
      </w:r>
      <w:r w:rsidR="00F41445">
        <w:rPr>
          <w:rFonts w:eastAsia="Times New Roman"/>
        </w:rPr>
        <w:t>six</w:t>
      </w:r>
      <w:r w:rsidR="00E93318" w:rsidRPr="00CB2CB5">
        <w:rPr>
          <w:rFonts w:eastAsia="Times New Roman"/>
        </w:rPr>
        <w:t> </w:t>
      </w:r>
      <w:r w:rsidR="00BA4F73">
        <w:rPr>
          <w:rFonts w:eastAsia="Times New Roman"/>
        </w:rPr>
        <w:t xml:space="preserve">meetings </w:t>
      </w:r>
      <w:r w:rsidRPr="00CB2CB5">
        <w:rPr>
          <w:rFonts w:eastAsia="Times New Roman"/>
        </w:rPr>
        <w:t>pre</w:t>
      </w:r>
      <w:r w:rsidR="00E93318" w:rsidRPr="00CB2CB5">
        <w:rPr>
          <w:rFonts w:eastAsia="Times New Roman"/>
        </w:rPr>
        <w:noBreakHyphen/>
      </w:r>
      <w:r w:rsidR="00961E39" w:rsidRPr="00CB2CB5">
        <w:rPr>
          <w:rFonts w:eastAsia="Times New Roman"/>
        </w:rPr>
        <w:t>scheduled</w:t>
      </w:r>
      <w:r w:rsidRPr="00CB2CB5">
        <w:rPr>
          <w:rFonts w:eastAsia="Times New Roman"/>
        </w:rPr>
        <w:t xml:space="preserve"> by EPE</w:t>
      </w:r>
      <w:r w:rsidR="00B706D9" w:rsidRPr="00CB2CB5">
        <w:rPr>
          <w:rFonts w:eastAsia="Times New Roman"/>
        </w:rPr>
        <w:t>,</w:t>
      </w:r>
      <w:r w:rsidRPr="00CB2CB5">
        <w:rPr>
          <w:rFonts w:eastAsia="Times New Roman"/>
        </w:rPr>
        <w:t xml:space="preserve"> and </w:t>
      </w:r>
      <w:r w:rsidR="00BA4F73">
        <w:rPr>
          <w:rFonts w:eastAsia="Times New Roman"/>
        </w:rPr>
        <w:t>several</w:t>
      </w:r>
      <w:r w:rsidR="00BA4F73" w:rsidRPr="00CB2CB5">
        <w:rPr>
          <w:rFonts w:eastAsia="Times New Roman"/>
        </w:rPr>
        <w:t xml:space="preserve"> </w:t>
      </w:r>
      <w:r w:rsidRPr="00CB2CB5">
        <w:rPr>
          <w:rFonts w:eastAsia="Times New Roman"/>
        </w:rPr>
        <w:t xml:space="preserve">additional meetings </w:t>
      </w:r>
      <w:r w:rsidR="00B94071">
        <w:rPr>
          <w:rFonts w:eastAsia="Times New Roman"/>
        </w:rPr>
        <w:t xml:space="preserve">were held </w:t>
      </w:r>
      <w:r w:rsidRPr="00CB2CB5">
        <w:rPr>
          <w:rFonts w:eastAsia="Times New Roman"/>
        </w:rPr>
        <w:t xml:space="preserve">at </w:t>
      </w:r>
      <w:r w:rsidR="006B3C39" w:rsidRPr="00CB2CB5">
        <w:rPr>
          <w:rFonts w:eastAsia="Times New Roman"/>
        </w:rPr>
        <w:t xml:space="preserve">the request of the </w:t>
      </w:r>
      <w:bookmarkStart w:id="2" w:name="_Hlk71483893"/>
      <w:r w:rsidR="00906172">
        <w:rPr>
          <w:rFonts w:eastAsia="Times New Roman"/>
        </w:rPr>
        <w:t>Participants</w:t>
      </w:r>
      <w:bookmarkEnd w:id="2"/>
      <w:r w:rsidR="006B3C39" w:rsidRPr="00CB2CB5">
        <w:rPr>
          <w:rFonts w:eastAsia="Times New Roman"/>
        </w:rPr>
        <w:t>.  The P</w:t>
      </w:r>
      <w:r w:rsidRPr="00CB2CB5">
        <w:rPr>
          <w:rFonts w:eastAsia="Times New Roman"/>
        </w:rPr>
        <w:t xml:space="preserve">articipants </w:t>
      </w:r>
      <w:r w:rsidR="00B94071">
        <w:rPr>
          <w:rFonts w:eastAsia="Times New Roman"/>
        </w:rPr>
        <w:t>were</w:t>
      </w:r>
      <w:r w:rsidR="0075365B">
        <w:rPr>
          <w:rFonts w:eastAsia="Times New Roman"/>
        </w:rPr>
        <w:t xml:space="preserve"> </w:t>
      </w:r>
      <w:r w:rsidRPr="00CB2CB5">
        <w:rPr>
          <w:rFonts w:eastAsia="Times New Roman"/>
        </w:rPr>
        <w:t xml:space="preserve">active in the </w:t>
      </w:r>
      <w:r w:rsidR="00B706D9" w:rsidRPr="00CB2CB5">
        <w:rPr>
          <w:rFonts w:eastAsia="Times New Roman"/>
        </w:rPr>
        <w:t>Planning P</w:t>
      </w:r>
      <w:r w:rsidRPr="00CB2CB5">
        <w:rPr>
          <w:rFonts w:eastAsia="Times New Roman"/>
        </w:rPr>
        <w:t>rocess with questions</w:t>
      </w:r>
      <w:r w:rsidR="0075365B">
        <w:rPr>
          <w:rFonts w:eastAsia="Times New Roman"/>
        </w:rPr>
        <w:t xml:space="preserve">, ideas, and </w:t>
      </w:r>
      <w:r w:rsidRPr="00CB2CB5">
        <w:rPr>
          <w:rFonts w:eastAsia="Times New Roman"/>
        </w:rPr>
        <w:t>suggestions for consideration</w:t>
      </w:r>
      <w:r w:rsidR="00961E39" w:rsidRPr="00CB2CB5">
        <w:rPr>
          <w:rFonts w:eastAsia="Times New Roman"/>
        </w:rPr>
        <w:t xml:space="preserve"> in the IRP</w:t>
      </w:r>
      <w:r w:rsidRPr="00CB2CB5">
        <w:rPr>
          <w:rFonts w:eastAsia="Times New Roman"/>
        </w:rPr>
        <w:t xml:space="preserve">.  The </w:t>
      </w:r>
      <w:r w:rsidR="00BA4F73">
        <w:rPr>
          <w:rFonts w:eastAsia="Times New Roman"/>
        </w:rPr>
        <w:t>IRP</w:t>
      </w:r>
      <w:r w:rsidR="00BA4F73" w:rsidRPr="00CB2CB5">
        <w:rPr>
          <w:rFonts w:eastAsia="Times New Roman"/>
        </w:rPr>
        <w:t xml:space="preserve"> </w:t>
      </w:r>
      <w:r w:rsidR="00722F49" w:rsidRPr="00CB2CB5">
        <w:rPr>
          <w:rFonts w:eastAsia="Times New Roman"/>
        </w:rPr>
        <w:t xml:space="preserve">identifies </w:t>
      </w:r>
      <w:r w:rsidRPr="00CB2CB5">
        <w:rPr>
          <w:rFonts w:eastAsia="Times New Roman"/>
        </w:rPr>
        <w:t xml:space="preserve">the </w:t>
      </w:r>
      <w:r w:rsidR="00722F49" w:rsidRPr="00CB2CB5">
        <w:rPr>
          <w:rFonts w:eastAsia="Times New Roman"/>
        </w:rPr>
        <w:t>public</w:t>
      </w:r>
      <w:r w:rsidRPr="00CB2CB5">
        <w:rPr>
          <w:rFonts w:eastAsia="Times New Roman"/>
        </w:rPr>
        <w:t xml:space="preserve"> input which </w:t>
      </w:r>
      <w:r w:rsidR="00C4505A" w:rsidRPr="00CB2CB5">
        <w:rPr>
          <w:rFonts w:eastAsia="Times New Roman"/>
        </w:rPr>
        <w:t xml:space="preserve">has been </w:t>
      </w:r>
      <w:r w:rsidRPr="00CB2CB5">
        <w:rPr>
          <w:rFonts w:eastAsia="Times New Roman"/>
        </w:rPr>
        <w:t>incorporated into the IRP analysis within their respective topics.</w:t>
      </w:r>
    </w:p>
    <w:p w14:paraId="533DF042" w14:textId="77777777" w:rsidR="00E93318" w:rsidRPr="00CB2CB5" w:rsidRDefault="00E93318" w:rsidP="008759DE">
      <w:pPr>
        <w:spacing w:line="276" w:lineRule="auto"/>
        <w:rPr>
          <w:rFonts w:eastAsia="Times New Roman"/>
        </w:rPr>
      </w:pPr>
    </w:p>
    <w:p w14:paraId="0A36F204" w14:textId="0CE4D4B1" w:rsidR="00322646" w:rsidRPr="00CB2CB5" w:rsidRDefault="00322646" w:rsidP="008759DE">
      <w:pPr>
        <w:spacing w:line="276" w:lineRule="auto"/>
        <w:rPr>
          <w:rFonts w:eastAsia="Times New Roman"/>
        </w:rPr>
      </w:pPr>
      <w:r w:rsidRPr="00CB2CB5">
        <w:rPr>
          <w:rFonts w:eastAsia="Times New Roman"/>
        </w:rPr>
        <w:t xml:space="preserve">EPE is located on the southeastern edge of the Western Electric Coordinating Council </w:t>
      </w:r>
      <w:r w:rsidR="00C4505A" w:rsidRPr="00CB2CB5">
        <w:rPr>
          <w:rFonts w:eastAsia="Times New Roman"/>
        </w:rPr>
        <w:t>(</w:t>
      </w:r>
      <w:r w:rsidR="00EB31CB" w:rsidRPr="00CB2CB5">
        <w:rPr>
          <w:rFonts w:eastAsia="Times New Roman"/>
        </w:rPr>
        <w:t>"</w:t>
      </w:r>
      <w:proofErr w:type="spellStart"/>
      <w:r w:rsidR="00C4505A" w:rsidRPr="00CB2CB5">
        <w:rPr>
          <w:rFonts w:eastAsia="Times New Roman"/>
        </w:rPr>
        <w:t>WECC</w:t>
      </w:r>
      <w:proofErr w:type="spellEnd"/>
      <w:r w:rsidR="00EB31CB" w:rsidRPr="00CB2CB5">
        <w:rPr>
          <w:rFonts w:eastAsia="Times New Roman"/>
        </w:rPr>
        <w:t>"</w:t>
      </w:r>
      <w:r w:rsidR="00C4505A" w:rsidRPr="00CB2CB5">
        <w:rPr>
          <w:rFonts w:eastAsia="Times New Roman"/>
        </w:rPr>
        <w:t xml:space="preserve">) </w:t>
      </w:r>
      <w:r w:rsidRPr="00CB2CB5">
        <w:rPr>
          <w:rFonts w:eastAsia="Times New Roman"/>
        </w:rPr>
        <w:t>and is interconnected by three major transmission tie lines.  EPE</w:t>
      </w:r>
      <w:r w:rsidR="00B81EE4" w:rsidRPr="00CB2CB5">
        <w:rPr>
          <w:rFonts w:eastAsia="Times New Roman"/>
        </w:rPr>
        <w:t>'</w:t>
      </w:r>
      <w:r w:rsidRPr="00CB2CB5">
        <w:rPr>
          <w:rFonts w:eastAsia="Times New Roman"/>
        </w:rPr>
        <w:t xml:space="preserve">s current supply-side resource </w:t>
      </w:r>
      <w:r w:rsidRPr="00541D62">
        <w:rPr>
          <w:rFonts w:eastAsia="Times New Roman"/>
        </w:rPr>
        <w:t xml:space="preserve">mix includes </w:t>
      </w:r>
      <w:r w:rsidR="005B2BB0" w:rsidRPr="00541D62">
        <w:rPr>
          <w:rFonts w:eastAsia="Times New Roman"/>
        </w:rPr>
        <w:t xml:space="preserve">622 </w:t>
      </w:r>
      <w:r w:rsidR="000F3C43" w:rsidRPr="00541D62">
        <w:rPr>
          <w:rFonts w:eastAsia="Times New Roman"/>
        </w:rPr>
        <w:t>Megawatts (</w:t>
      </w:r>
      <w:r w:rsidR="00B81EE4" w:rsidRPr="00541D62">
        <w:rPr>
          <w:rFonts w:eastAsia="Times New Roman"/>
        </w:rPr>
        <w:t>"</w:t>
      </w:r>
      <w:r w:rsidRPr="00541D62">
        <w:rPr>
          <w:rFonts w:eastAsia="Times New Roman"/>
        </w:rPr>
        <w:t>MW</w:t>
      </w:r>
      <w:r w:rsidR="00B81EE4" w:rsidRPr="00541D62">
        <w:rPr>
          <w:rFonts w:eastAsia="Times New Roman"/>
        </w:rPr>
        <w:t>"</w:t>
      </w:r>
      <w:r w:rsidR="000F3C43" w:rsidRPr="00541D62">
        <w:rPr>
          <w:rFonts w:eastAsia="Times New Roman"/>
        </w:rPr>
        <w:t>)</w:t>
      </w:r>
      <w:r w:rsidRPr="00541D62">
        <w:rPr>
          <w:rFonts w:eastAsia="Times New Roman"/>
        </w:rPr>
        <w:t xml:space="preserve"> </w:t>
      </w:r>
      <w:r w:rsidR="00961E39" w:rsidRPr="00541D62">
        <w:rPr>
          <w:rFonts w:eastAsia="Times New Roman"/>
        </w:rPr>
        <w:t>from</w:t>
      </w:r>
      <w:r w:rsidRPr="00541D62">
        <w:rPr>
          <w:rFonts w:eastAsia="Times New Roman"/>
        </w:rPr>
        <w:t xml:space="preserve"> </w:t>
      </w:r>
      <w:r w:rsidR="00961E39" w:rsidRPr="00541D62">
        <w:rPr>
          <w:rFonts w:eastAsia="Times New Roman"/>
        </w:rPr>
        <w:t xml:space="preserve">the </w:t>
      </w:r>
      <w:r w:rsidRPr="00541D62">
        <w:rPr>
          <w:rFonts w:eastAsia="Times New Roman"/>
        </w:rPr>
        <w:t xml:space="preserve">Palo Verde </w:t>
      </w:r>
      <w:r w:rsidR="00961E39" w:rsidRPr="00541D62">
        <w:rPr>
          <w:rFonts w:eastAsia="Times New Roman"/>
        </w:rPr>
        <w:t>N</w:t>
      </w:r>
      <w:r w:rsidRPr="00541D62">
        <w:rPr>
          <w:rFonts w:eastAsia="Times New Roman"/>
        </w:rPr>
        <w:t xml:space="preserve">uclear </w:t>
      </w:r>
      <w:r w:rsidR="00961E39" w:rsidRPr="00541D62">
        <w:rPr>
          <w:rFonts w:eastAsia="Times New Roman"/>
        </w:rPr>
        <w:t>Generating Station</w:t>
      </w:r>
      <w:r w:rsidR="000F3C43" w:rsidRPr="00541D62">
        <w:rPr>
          <w:rFonts w:eastAsia="Times New Roman"/>
        </w:rPr>
        <w:t xml:space="preserve"> (</w:t>
      </w:r>
      <w:r w:rsidR="00B81EE4" w:rsidRPr="00541D62">
        <w:rPr>
          <w:rFonts w:eastAsia="Times New Roman"/>
        </w:rPr>
        <w:t>"</w:t>
      </w:r>
      <w:proofErr w:type="spellStart"/>
      <w:r w:rsidR="000F3C43" w:rsidRPr="00541D62">
        <w:rPr>
          <w:rFonts w:eastAsia="Times New Roman"/>
        </w:rPr>
        <w:t>PVNGS</w:t>
      </w:r>
      <w:proofErr w:type="spellEnd"/>
      <w:r w:rsidR="00B81EE4" w:rsidRPr="00541D62">
        <w:rPr>
          <w:rFonts w:eastAsia="Times New Roman"/>
        </w:rPr>
        <w:t>"</w:t>
      </w:r>
      <w:r w:rsidR="000F3C43" w:rsidRPr="00541D62">
        <w:rPr>
          <w:rFonts w:eastAsia="Times New Roman"/>
        </w:rPr>
        <w:t>)</w:t>
      </w:r>
      <w:r w:rsidR="00961E39" w:rsidRPr="00541D62">
        <w:rPr>
          <w:rFonts w:eastAsia="Times New Roman"/>
        </w:rPr>
        <w:t xml:space="preserve"> outside Phoenix</w:t>
      </w:r>
      <w:r w:rsidR="00517879" w:rsidRPr="00541D62">
        <w:rPr>
          <w:rFonts w:eastAsia="Times New Roman"/>
        </w:rPr>
        <w:t>,</w:t>
      </w:r>
      <w:r w:rsidR="00961E39" w:rsidRPr="00541D62">
        <w:rPr>
          <w:rFonts w:eastAsia="Times New Roman"/>
        </w:rPr>
        <w:t xml:space="preserve"> Arizona</w:t>
      </w:r>
      <w:r w:rsidRPr="00541D62">
        <w:rPr>
          <w:rFonts w:eastAsia="Times New Roman"/>
        </w:rPr>
        <w:t>, 1,</w:t>
      </w:r>
      <w:r w:rsidR="004B3146" w:rsidRPr="00541D62">
        <w:rPr>
          <w:rFonts w:eastAsia="Times New Roman"/>
        </w:rPr>
        <w:t>4</w:t>
      </w:r>
      <w:r w:rsidR="004B3146">
        <w:rPr>
          <w:rFonts w:eastAsia="Times New Roman"/>
        </w:rPr>
        <w:t>22</w:t>
      </w:r>
      <w:r w:rsidR="004B3146" w:rsidRPr="00541D62">
        <w:rPr>
          <w:rFonts w:eastAsia="Times New Roman"/>
        </w:rPr>
        <w:t xml:space="preserve"> </w:t>
      </w:r>
      <w:r w:rsidRPr="00541D62">
        <w:rPr>
          <w:rFonts w:eastAsia="Times New Roman"/>
        </w:rPr>
        <w:t xml:space="preserve">MW of gas-fired </w:t>
      </w:r>
      <w:r w:rsidR="00961E39" w:rsidRPr="00541D62">
        <w:rPr>
          <w:rFonts w:eastAsia="Times New Roman"/>
        </w:rPr>
        <w:t xml:space="preserve">local </w:t>
      </w:r>
      <w:r w:rsidRPr="00541D62">
        <w:rPr>
          <w:rFonts w:eastAsia="Times New Roman"/>
        </w:rPr>
        <w:t>generation</w:t>
      </w:r>
      <w:r w:rsidR="009B3ED3">
        <w:rPr>
          <w:rStyle w:val="FootnoteReference"/>
          <w:rFonts w:eastAsia="Times New Roman"/>
        </w:rPr>
        <w:footnoteReference w:id="2"/>
      </w:r>
      <w:r w:rsidR="00961E39" w:rsidRPr="00541D62">
        <w:rPr>
          <w:rFonts w:eastAsia="Times New Roman"/>
        </w:rPr>
        <w:t xml:space="preserve"> inside EPE</w:t>
      </w:r>
      <w:r w:rsidR="00B81EE4" w:rsidRPr="00541D62">
        <w:rPr>
          <w:rFonts w:eastAsia="Times New Roman"/>
        </w:rPr>
        <w:t>'</w:t>
      </w:r>
      <w:r w:rsidR="00961E39" w:rsidRPr="00541D62">
        <w:rPr>
          <w:rFonts w:eastAsia="Times New Roman"/>
        </w:rPr>
        <w:t>s service territory,</w:t>
      </w:r>
      <w:r w:rsidRPr="00541D62">
        <w:rPr>
          <w:rFonts w:eastAsia="Times New Roman"/>
        </w:rPr>
        <w:t xml:space="preserve"> and 115</w:t>
      </w:r>
      <w:r w:rsidR="00E93318" w:rsidRPr="00541D62">
        <w:rPr>
          <w:rFonts w:eastAsia="Times New Roman"/>
        </w:rPr>
        <w:t> </w:t>
      </w:r>
      <w:r w:rsidRPr="00541D62">
        <w:rPr>
          <w:rFonts w:eastAsia="Times New Roman"/>
        </w:rPr>
        <w:t>MW of solar generation</w:t>
      </w:r>
      <w:r w:rsidR="00961E39" w:rsidRPr="00541D62">
        <w:rPr>
          <w:rFonts w:eastAsia="Times New Roman"/>
        </w:rPr>
        <w:t>, also located within EPE</w:t>
      </w:r>
      <w:r w:rsidR="00B81EE4" w:rsidRPr="00541D62">
        <w:rPr>
          <w:rFonts w:eastAsia="Times New Roman"/>
        </w:rPr>
        <w:t>'</w:t>
      </w:r>
      <w:r w:rsidR="00961E39" w:rsidRPr="00541D62">
        <w:rPr>
          <w:rFonts w:eastAsia="Times New Roman"/>
        </w:rPr>
        <w:t>s service territory</w:t>
      </w:r>
      <w:r w:rsidRPr="00541D62">
        <w:rPr>
          <w:rFonts w:eastAsia="Times New Roman"/>
        </w:rPr>
        <w:t>.  EPE</w:t>
      </w:r>
      <w:r w:rsidR="00B81EE4" w:rsidRPr="00541D62">
        <w:rPr>
          <w:rFonts w:eastAsia="Times New Roman"/>
        </w:rPr>
        <w:t>'</w:t>
      </w:r>
      <w:r w:rsidRPr="00541D62">
        <w:rPr>
          <w:rFonts w:eastAsia="Times New Roman"/>
        </w:rPr>
        <w:t>s IRP analysis included consideration for the planned retirement of six units</w:t>
      </w:r>
      <w:r w:rsidRPr="00CB2CB5">
        <w:rPr>
          <w:rFonts w:eastAsia="Times New Roman"/>
        </w:rPr>
        <w:t xml:space="preserve"> within the </w:t>
      </w:r>
      <w:r w:rsidR="00604C3C" w:rsidRPr="00CB2CB5">
        <w:rPr>
          <w:rFonts w:eastAsia="Times New Roman"/>
        </w:rPr>
        <w:t>20</w:t>
      </w:r>
      <w:r w:rsidR="00C5535A" w:rsidRPr="00CB2CB5">
        <w:rPr>
          <w:rFonts w:eastAsia="Times New Roman"/>
        </w:rPr>
        <w:noBreakHyphen/>
      </w:r>
      <w:r w:rsidRPr="00CB2CB5">
        <w:rPr>
          <w:rFonts w:eastAsia="Times New Roman"/>
        </w:rPr>
        <w:t xml:space="preserve">year planning </w:t>
      </w:r>
      <w:r w:rsidR="008A02BD" w:rsidRPr="00CB2CB5">
        <w:rPr>
          <w:rFonts w:eastAsia="Times New Roman"/>
        </w:rPr>
        <w:t xml:space="preserve">horizon (the </w:t>
      </w:r>
      <w:r w:rsidR="00B81EE4" w:rsidRPr="00CB2CB5">
        <w:rPr>
          <w:rFonts w:eastAsia="Times New Roman"/>
        </w:rPr>
        <w:t>"</w:t>
      </w:r>
      <w:r w:rsidR="008A02BD" w:rsidRPr="00CB2CB5">
        <w:rPr>
          <w:rFonts w:eastAsia="Times New Roman"/>
        </w:rPr>
        <w:t>Planning Horizon</w:t>
      </w:r>
      <w:r w:rsidR="00B81EE4" w:rsidRPr="00CB2CB5">
        <w:rPr>
          <w:rFonts w:eastAsia="Times New Roman"/>
        </w:rPr>
        <w:t>"</w:t>
      </w:r>
      <w:r w:rsidR="008A02BD" w:rsidRPr="00CB2CB5">
        <w:rPr>
          <w:rFonts w:eastAsia="Times New Roman"/>
        </w:rPr>
        <w:t>),</w:t>
      </w:r>
      <w:r w:rsidRPr="00CB2CB5">
        <w:rPr>
          <w:rFonts w:eastAsia="Times New Roman"/>
        </w:rPr>
        <w:t xml:space="preserve"> a total of 578</w:t>
      </w:r>
      <w:r w:rsidR="00E93318" w:rsidRPr="00CB2CB5">
        <w:rPr>
          <w:rFonts w:eastAsia="Times New Roman"/>
        </w:rPr>
        <w:t> </w:t>
      </w:r>
      <w:r w:rsidRPr="00CB2CB5">
        <w:rPr>
          <w:rFonts w:eastAsia="Times New Roman"/>
        </w:rPr>
        <w:t>MW of summer net capacity planned for retirement.  The IRP evaluates how to address the</w:t>
      </w:r>
      <w:r w:rsidR="00961E39" w:rsidRPr="00CB2CB5">
        <w:rPr>
          <w:rFonts w:eastAsia="Times New Roman"/>
        </w:rPr>
        <w:t>se</w:t>
      </w:r>
      <w:r w:rsidRPr="00CB2CB5">
        <w:rPr>
          <w:rFonts w:eastAsia="Times New Roman"/>
        </w:rPr>
        <w:t xml:space="preserve"> planned retirements </w:t>
      </w:r>
      <w:r w:rsidR="00F9185D" w:rsidRPr="00CB2CB5">
        <w:rPr>
          <w:rFonts w:eastAsia="Times New Roman"/>
        </w:rPr>
        <w:t xml:space="preserve">safely, reliably, and most cost effectively </w:t>
      </w:r>
      <w:r w:rsidR="00961E39" w:rsidRPr="00CB2CB5">
        <w:rPr>
          <w:rFonts w:eastAsia="Times New Roman"/>
        </w:rPr>
        <w:t>along with EPE</w:t>
      </w:r>
      <w:r w:rsidR="00B81EE4" w:rsidRPr="00CB2CB5">
        <w:rPr>
          <w:rFonts w:eastAsia="Times New Roman"/>
        </w:rPr>
        <w:t>'</w:t>
      </w:r>
      <w:r w:rsidR="00961E39" w:rsidRPr="00CB2CB5">
        <w:rPr>
          <w:rFonts w:eastAsia="Times New Roman"/>
        </w:rPr>
        <w:t>s</w:t>
      </w:r>
      <w:r w:rsidRPr="00CB2CB5">
        <w:rPr>
          <w:rFonts w:eastAsia="Times New Roman"/>
        </w:rPr>
        <w:t xml:space="preserve"> forecasted load growth</w:t>
      </w:r>
      <w:r w:rsidR="00F848D4" w:rsidRPr="00CB2CB5">
        <w:rPr>
          <w:rFonts w:eastAsia="Times New Roman"/>
        </w:rPr>
        <w:t xml:space="preserve"> </w:t>
      </w:r>
      <w:r w:rsidR="00D47A54" w:rsidRPr="00CB2CB5">
        <w:rPr>
          <w:rFonts w:eastAsia="Times New Roman"/>
        </w:rPr>
        <w:t>to</w:t>
      </w:r>
      <w:r w:rsidRPr="00CB2CB5">
        <w:rPr>
          <w:rFonts w:eastAsia="Times New Roman"/>
        </w:rPr>
        <w:t xml:space="preserve"> develop an optimal portfolio.  As </w:t>
      </w:r>
      <w:r w:rsidR="009B3ED3">
        <w:rPr>
          <w:rFonts w:eastAsia="Times New Roman"/>
        </w:rPr>
        <w:t xml:space="preserve">per Joint </w:t>
      </w:r>
      <w:r w:rsidRPr="00CB2CB5">
        <w:rPr>
          <w:rFonts w:eastAsia="Times New Roman"/>
        </w:rPr>
        <w:t xml:space="preserve">Stipulation </w:t>
      </w:r>
      <w:r w:rsidR="00604C3C" w:rsidRPr="00CB2CB5">
        <w:rPr>
          <w:rFonts w:eastAsia="Times New Roman"/>
        </w:rPr>
        <w:t>Agreement</w:t>
      </w:r>
      <w:r w:rsidR="009B3ED3">
        <w:rPr>
          <w:rFonts w:eastAsia="Times New Roman"/>
        </w:rPr>
        <w:t xml:space="preserve"> Case No. 15-00241-UT</w:t>
      </w:r>
      <w:r w:rsidRPr="00CB2CB5">
        <w:rPr>
          <w:rFonts w:eastAsia="Times New Roman"/>
        </w:rPr>
        <w:t xml:space="preserve">, any planned retirements within the first five years of the </w:t>
      </w:r>
      <w:r w:rsidR="008A02BD" w:rsidRPr="00CB2CB5">
        <w:rPr>
          <w:rFonts w:eastAsia="Times New Roman"/>
        </w:rPr>
        <w:t>P</w:t>
      </w:r>
      <w:r w:rsidRPr="00CB2CB5">
        <w:rPr>
          <w:rFonts w:eastAsia="Times New Roman"/>
        </w:rPr>
        <w:t xml:space="preserve">lanning </w:t>
      </w:r>
      <w:r w:rsidR="008A02BD" w:rsidRPr="00CB2CB5">
        <w:rPr>
          <w:rFonts w:eastAsia="Times New Roman"/>
        </w:rPr>
        <w:t>H</w:t>
      </w:r>
      <w:r w:rsidRPr="00CB2CB5">
        <w:rPr>
          <w:rFonts w:eastAsia="Times New Roman"/>
        </w:rPr>
        <w:t xml:space="preserve">orizon </w:t>
      </w:r>
      <w:r w:rsidR="00D47A54">
        <w:rPr>
          <w:rFonts w:eastAsia="Times New Roman"/>
        </w:rPr>
        <w:t>are</w:t>
      </w:r>
      <w:r w:rsidRPr="00CB2CB5">
        <w:rPr>
          <w:rFonts w:eastAsia="Times New Roman"/>
        </w:rPr>
        <w:t xml:space="preserve"> analyzed within the capacity expansion model to determine </w:t>
      </w:r>
      <w:r w:rsidR="009B3ED3">
        <w:rPr>
          <w:rFonts w:eastAsia="Times New Roman"/>
        </w:rPr>
        <w:t>the cost effectiveness of extending the</w:t>
      </w:r>
      <w:r w:rsidRPr="00CB2CB5">
        <w:rPr>
          <w:rFonts w:eastAsia="Times New Roman"/>
        </w:rPr>
        <w:t xml:space="preserve"> units</w:t>
      </w:r>
      <w:r w:rsidR="00B81EE4" w:rsidRPr="00CB2CB5">
        <w:rPr>
          <w:rFonts w:eastAsia="Times New Roman"/>
        </w:rPr>
        <w:t>'</w:t>
      </w:r>
      <w:r w:rsidRPr="00CB2CB5">
        <w:rPr>
          <w:rFonts w:eastAsia="Times New Roman"/>
        </w:rPr>
        <w:t xml:space="preserve"> retirement dates</w:t>
      </w:r>
      <w:r w:rsidR="009C43D1">
        <w:rPr>
          <w:rFonts w:eastAsia="Times New Roman"/>
        </w:rPr>
        <w:t xml:space="preserve"> beyond planned retirement</w:t>
      </w:r>
      <w:r w:rsidR="00541D62">
        <w:rPr>
          <w:rFonts w:eastAsia="Times New Roman"/>
        </w:rPr>
        <w:t>.</w:t>
      </w:r>
      <w:r w:rsidR="009B3ED3">
        <w:rPr>
          <w:rFonts w:eastAsia="Times New Roman"/>
        </w:rPr>
        <w:t xml:space="preserve">  The </w:t>
      </w:r>
      <w:r w:rsidR="009C43D1">
        <w:rPr>
          <w:rFonts w:eastAsia="Times New Roman"/>
        </w:rPr>
        <w:t>operational risk, reliability, safety of personnel, environmental, and engineering impacts are also considered</w:t>
      </w:r>
      <w:r w:rsidR="00E222FB">
        <w:rPr>
          <w:rFonts w:eastAsia="Times New Roman"/>
        </w:rPr>
        <w:t xml:space="preserve"> in the life extension analysis of these units.</w:t>
      </w:r>
      <w:r w:rsidR="009C43D1">
        <w:rPr>
          <w:rFonts w:eastAsia="Times New Roman"/>
        </w:rPr>
        <w:t xml:space="preserve">    </w:t>
      </w:r>
      <w:r w:rsidR="009B3ED3">
        <w:rPr>
          <w:rFonts w:eastAsia="Times New Roman"/>
        </w:rPr>
        <w:t xml:space="preserve"> </w:t>
      </w:r>
    </w:p>
    <w:p w14:paraId="78EF355A" w14:textId="77777777" w:rsidR="00E93318" w:rsidRPr="00CB2CB5" w:rsidRDefault="00E93318" w:rsidP="008759DE">
      <w:pPr>
        <w:spacing w:line="276" w:lineRule="auto"/>
        <w:rPr>
          <w:rFonts w:eastAsia="Times New Roman"/>
        </w:rPr>
      </w:pPr>
    </w:p>
    <w:p w14:paraId="7AFFB41C" w14:textId="77777777" w:rsidR="00243841" w:rsidRPr="00CB2CB5" w:rsidRDefault="00243841" w:rsidP="008759DE">
      <w:pPr>
        <w:spacing w:line="276" w:lineRule="auto"/>
        <w:rPr>
          <w:rFonts w:eastAsia="Times New Roman"/>
        </w:rPr>
      </w:pPr>
    </w:p>
    <w:p w14:paraId="55D56A82" w14:textId="443C6E0A" w:rsidR="00322646" w:rsidRDefault="0071135C" w:rsidP="008759DE">
      <w:pPr>
        <w:keepNext/>
        <w:keepLines/>
        <w:spacing w:line="276" w:lineRule="auto"/>
      </w:pPr>
      <w:r>
        <w:rPr>
          <w:rFonts w:eastAsia="Times New Roman"/>
        </w:rPr>
        <w:lastRenderedPageBreak/>
        <w:t>Resource</w:t>
      </w:r>
      <w:r w:rsidR="00C30483">
        <w:rPr>
          <w:rFonts w:eastAsia="Times New Roman"/>
        </w:rPr>
        <w:t xml:space="preserve"> options </w:t>
      </w:r>
      <w:r w:rsidR="00082035">
        <w:rPr>
          <w:rFonts w:eastAsia="Times New Roman"/>
        </w:rPr>
        <w:t>modeled in</w:t>
      </w:r>
      <w:r>
        <w:rPr>
          <w:rFonts w:eastAsia="Times New Roman"/>
        </w:rPr>
        <w:t xml:space="preserve"> the 2021 IRP </w:t>
      </w:r>
      <w:r w:rsidR="00322646" w:rsidRPr="00CB2CB5">
        <w:rPr>
          <w:rFonts w:eastAsia="Times New Roman"/>
        </w:rPr>
        <w:t>include</w:t>
      </w:r>
      <w:r w:rsidR="00C30483">
        <w:rPr>
          <w:rFonts w:eastAsia="Times New Roman"/>
        </w:rPr>
        <w:t>s</w:t>
      </w:r>
      <w:r>
        <w:rPr>
          <w:rFonts w:eastAsia="Times New Roman"/>
        </w:rPr>
        <w:t xml:space="preserve">: </w:t>
      </w:r>
      <w:r w:rsidR="00322646" w:rsidRPr="00CB2CB5">
        <w:rPr>
          <w:rFonts w:eastAsia="Times New Roman"/>
        </w:rPr>
        <w:t>solar</w:t>
      </w:r>
      <w:r>
        <w:rPr>
          <w:rFonts w:eastAsia="Times New Roman"/>
        </w:rPr>
        <w:t xml:space="preserve"> PV</w:t>
      </w:r>
      <w:r w:rsidR="00322646" w:rsidRPr="00CB2CB5">
        <w:rPr>
          <w:rFonts w:eastAsia="Times New Roman"/>
        </w:rPr>
        <w:t xml:space="preserve">, </w:t>
      </w:r>
      <w:r w:rsidR="00082035">
        <w:rPr>
          <w:rFonts w:eastAsia="Times New Roman"/>
        </w:rPr>
        <w:t xml:space="preserve">wind, </w:t>
      </w:r>
      <w:r w:rsidR="00322646" w:rsidRPr="00CB2CB5">
        <w:rPr>
          <w:rFonts w:eastAsia="Times New Roman"/>
        </w:rPr>
        <w:t>battery storage</w:t>
      </w:r>
      <w:r w:rsidR="0066157E" w:rsidRPr="00CB2CB5">
        <w:rPr>
          <w:rFonts w:eastAsia="Times New Roman"/>
        </w:rPr>
        <w:t>,</w:t>
      </w:r>
      <w:r w:rsidR="00322646" w:rsidRPr="00CB2CB5">
        <w:rPr>
          <w:rFonts w:eastAsia="Times New Roman"/>
        </w:rPr>
        <w:t xml:space="preserve"> conventional gas generation</w:t>
      </w:r>
      <w:r>
        <w:rPr>
          <w:rFonts w:eastAsia="Times New Roman"/>
        </w:rPr>
        <w:t xml:space="preserve">, </w:t>
      </w:r>
      <w:r w:rsidR="00082035">
        <w:rPr>
          <w:rFonts w:eastAsia="Times New Roman"/>
        </w:rPr>
        <w:t>biomass, geothermal, and d</w:t>
      </w:r>
      <w:r>
        <w:rPr>
          <w:rFonts w:eastAsia="Times New Roman"/>
        </w:rPr>
        <w:t xml:space="preserve">emand </w:t>
      </w:r>
      <w:r w:rsidR="00082035">
        <w:rPr>
          <w:rFonts w:eastAsia="Times New Roman"/>
        </w:rPr>
        <w:t>s</w:t>
      </w:r>
      <w:r>
        <w:rPr>
          <w:rFonts w:eastAsia="Times New Roman"/>
        </w:rPr>
        <w:t xml:space="preserve">ide </w:t>
      </w:r>
      <w:r w:rsidR="00082035">
        <w:rPr>
          <w:rFonts w:eastAsia="Times New Roman"/>
        </w:rPr>
        <w:t>m</w:t>
      </w:r>
      <w:r>
        <w:rPr>
          <w:rFonts w:eastAsia="Times New Roman"/>
        </w:rPr>
        <w:t>anagement (“DSM”)</w:t>
      </w:r>
      <w:r w:rsidR="00082035">
        <w:rPr>
          <w:rFonts w:eastAsia="Times New Roman"/>
        </w:rPr>
        <w:t xml:space="preserve">.  The conventional gas resources modeled are assumed to be hydrogen fuel capable.  </w:t>
      </w:r>
      <w:r w:rsidR="00322646" w:rsidRPr="00CB2CB5">
        <w:rPr>
          <w:rFonts w:eastAsia="Times New Roman"/>
        </w:rPr>
        <w:t xml:space="preserve">The </w:t>
      </w:r>
      <w:r w:rsidR="00082035">
        <w:rPr>
          <w:rFonts w:eastAsia="Times New Roman"/>
        </w:rPr>
        <w:t>selected resource</w:t>
      </w:r>
      <w:r w:rsidR="00322646" w:rsidRPr="00CB2CB5">
        <w:rPr>
          <w:rFonts w:eastAsia="Times New Roman"/>
        </w:rPr>
        <w:t xml:space="preserve"> additions result in the optimal </w:t>
      </w:r>
      <w:r w:rsidR="0066157E" w:rsidRPr="00CB2CB5">
        <w:rPr>
          <w:rFonts w:eastAsia="Times New Roman"/>
        </w:rPr>
        <w:t>cost</w:t>
      </w:r>
      <w:r w:rsidR="00F4371A" w:rsidRPr="00CB2CB5">
        <w:rPr>
          <w:rFonts w:eastAsia="Times New Roman"/>
        </w:rPr>
        <w:noBreakHyphen/>
      </w:r>
      <w:r w:rsidR="0066157E" w:rsidRPr="00CB2CB5">
        <w:rPr>
          <w:rFonts w:eastAsia="Times New Roman"/>
        </w:rPr>
        <w:t xml:space="preserve">effective </w:t>
      </w:r>
      <w:r w:rsidR="00322646" w:rsidRPr="00CB2CB5">
        <w:rPr>
          <w:rFonts w:eastAsia="Times New Roman"/>
        </w:rPr>
        <w:t xml:space="preserve">resource portfolio.  The battery storage and conventional gas generation </w:t>
      </w:r>
      <w:r w:rsidR="0066157E" w:rsidRPr="00CB2CB5">
        <w:rPr>
          <w:rFonts w:eastAsia="Times New Roman"/>
        </w:rPr>
        <w:t xml:space="preserve">resources </w:t>
      </w:r>
      <w:r w:rsidR="00E67CCE" w:rsidRPr="00CB2CB5">
        <w:rPr>
          <w:rFonts w:eastAsia="Times New Roman"/>
        </w:rPr>
        <w:t>compliment</w:t>
      </w:r>
      <w:r w:rsidR="00322646" w:rsidRPr="00CB2CB5">
        <w:rPr>
          <w:rFonts w:eastAsia="Times New Roman"/>
        </w:rPr>
        <w:t xml:space="preserve"> the solar resources</w:t>
      </w:r>
      <w:r w:rsidR="0066157E" w:rsidRPr="00CB2CB5">
        <w:rPr>
          <w:rFonts w:eastAsia="Times New Roman"/>
        </w:rPr>
        <w:t>,</w:t>
      </w:r>
      <w:r w:rsidR="00322646" w:rsidRPr="00CB2CB5">
        <w:rPr>
          <w:rFonts w:eastAsia="Times New Roman"/>
        </w:rPr>
        <w:t xml:space="preserve"> which are intermittent</w:t>
      </w:r>
      <w:r w:rsidR="0066157E" w:rsidRPr="00CB2CB5">
        <w:rPr>
          <w:rFonts w:eastAsia="Times New Roman"/>
        </w:rPr>
        <w:t xml:space="preserve"> in nature</w:t>
      </w:r>
      <w:r>
        <w:rPr>
          <w:rFonts w:eastAsia="Times New Roman"/>
        </w:rPr>
        <w:t>.  I</w:t>
      </w:r>
      <w:r w:rsidR="00322646" w:rsidRPr="00CB2CB5">
        <w:rPr>
          <w:rFonts w:eastAsia="Times New Roman"/>
        </w:rPr>
        <w:t xml:space="preserve">t is noted that the </w:t>
      </w:r>
      <w:r w:rsidR="008F6E65" w:rsidRPr="00CB2CB5">
        <w:rPr>
          <w:rFonts w:eastAsia="Times New Roman"/>
        </w:rPr>
        <w:t xml:space="preserve">actual </w:t>
      </w:r>
      <w:r w:rsidR="00322646" w:rsidRPr="00CB2CB5">
        <w:rPr>
          <w:rFonts w:eastAsia="Times New Roman"/>
        </w:rPr>
        <w:t>resource additions in the future will be determined by results of competitive requests for proposals and may differ based on future changes to forecasted loads, economic conditions, technological advances, and environmental and regulatory standards.</w:t>
      </w:r>
      <w:r w:rsidR="00F81FC8" w:rsidRPr="00CB2CB5">
        <w:t xml:space="preserve"> </w:t>
      </w:r>
    </w:p>
    <w:p w14:paraId="5D564EF2" w14:textId="531F8789" w:rsidR="00C30483" w:rsidRDefault="00C30483" w:rsidP="008759DE">
      <w:pPr>
        <w:keepNext/>
        <w:keepLines/>
        <w:spacing w:line="276" w:lineRule="auto"/>
      </w:pPr>
    </w:p>
    <w:p w14:paraId="2C981F8C" w14:textId="0F86E0F9" w:rsidR="00C30483" w:rsidRPr="00CB2CB5" w:rsidRDefault="00C30483" w:rsidP="00C30483">
      <w:pPr>
        <w:spacing w:line="276" w:lineRule="auto"/>
        <w:rPr>
          <w:rFonts w:eastAsia="Times New Roman"/>
        </w:rPr>
      </w:pPr>
      <w:r w:rsidRPr="00CB2CB5">
        <w:rPr>
          <w:rFonts w:eastAsia="Times New Roman"/>
        </w:rPr>
        <w:t xml:space="preserve">The </w:t>
      </w:r>
      <w:r w:rsidR="00D53E41">
        <w:rPr>
          <w:rFonts w:eastAsia="Times New Roman"/>
        </w:rPr>
        <w:t xml:space="preserve">final </w:t>
      </w:r>
      <w:r>
        <w:rPr>
          <w:rFonts w:eastAsia="Times New Roman"/>
        </w:rPr>
        <w:t xml:space="preserve">EPE </w:t>
      </w:r>
      <w:r w:rsidRPr="00CB2CB5">
        <w:rPr>
          <w:rFonts w:eastAsia="Times New Roman"/>
        </w:rPr>
        <w:t>Loads and Resources Table ("</w:t>
      </w:r>
      <w:proofErr w:type="spellStart"/>
      <w:r w:rsidRPr="00CB2CB5">
        <w:rPr>
          <w:rFonts w:eastAsia="Times New Roman"/>
        </w:rPr>
        <w:t>L&amp;R</w:t>
      </w:r>
      <w:proofErr w:type="spellEnd"/>
      <w:r w:rsidRPr="00CB2CB5">
        <w:rPr>
          <w:rFonts w:eastAsia="Times New Roman"/>
        </w:rPr>
        <w:t xml:space="preserve">") </w:t>
      </w:r>
      <w:r>
        <w:rPr>
          <w:rFonts w:eastAsia="Times New Roman"/>
        </w:rPr>
        <w:t>will be developed once the optimal resource portfolio is selected.</w:t>
      </w:r>
    </w:p>
    <w:p w14:paraId="1DCE7A9B" w14:textId="77777777" w:rsidR="004415F8" w:rsidRPr="00CB2CB5" w:rsidRDefault="004415F8" w:rsidP="008759DE">
      <w:pPr>
        <w:spacing w:line="276" w:lineRule="auto"/>
        <w:rPr>
          <w:rFonts w:eastAsia="Times New Roman"/>
        </w:rPr>
      </w:pPr>
    </w:p>
    <w:p w14:paraId="15423C91" w14:textId="444AF071" w:rsidR="00322646" w:rsidRPr="00CB2CB5" w:rsidRDefault="00AC25E7" w:rsidP="008759DE">
      <w:pPr>
        <w:pStyle w:val="Heading2"/>
        <w:numPr>
          <w:ilvl w:val="0"/>
          <w:numId w:val="25"/>
        </w:numPr>
        <w:spacing w:line="276" w:lineRule="auto"/>
        <w:ind w:left="1080" w:hanging="540"/>
        <w:rPr>
          <w:rFonts w:eastAsia="Times New Roman"/>
        </w:rPr>
      </w:pPr>
      <w:bookmarkStart w:id="3" w:name="_Toc534190287"/>
      <w:r w:rsidRPr="00CB2CB5">
        <w:rPr>
          <w:rFonts w:eastAsia="Times New Roman"/>
        </w:rPr>
        <w:t>20</w:t>
      </w:r>
      <w:r w:rsidR="0086048C" w:rsidRPr="00CB2CB5">
        <w:rPr>
          <w:rFonts w:eastAsia="Times New Roman"/>
        </w:rPr>
        <w:t>21</w:t>
      </w:r>
      <w:r w:rsidRPr="00CB2CB5">
        <w:rPr>
          <w:rFonts w:eastAsia="Times New Roman"/>
        </w:rPr>
        <w:t xml:space="preserve"> IRP </w:t>
      </w:r>
      <w:r w:rsidR="00322646" w:rsidRPr="00CB2CB5">
        <w:rPr>
          <w:rFonts w:eastAsia="Times New Roman"/>
        </w:rPr>
        <w:t>Four</w:t>
      </w:r>
      <w:r w:rsidR="00C76029" w:rsidRPr="00CB2CB5">
        <w:rPr>
          <w:rFonts w:eastAsia="Times New Roman"/>
        </w:rPr>
        <w:t>-</w:t>
      </w:r>
      <w:r w:rsidR="00322646" w:rsidRPr="00CB2CB5">
        <w:rPr>
          <w:rFonts w:eastAsia="Times New Roman"/>
        </w:rPr>
        <w:t>Year Action Plan</w:t>
      </w:r>
      <w:bookmarkEnd w:id="3"/>
    </w:p>
    <w:p w14:paraId="291A3941" w14:textId="77777777" w:rsidR="004415F8" w:rsidRPr="00CB2CB5" w:rsidRDefault="004415F8" w:rsidP="008759DE">
      <w:pPr>
        <w:spacing w:line="276" w:lineRule="auto"/>
      </w:pPr>
    </w:p>
    <w:p w14:paraId="6E133D64" w14:textId="77777777" w:rsidR="00E93318" w:rsidRPr="00CB2CB5" w:rsidRDefault="000E094B" w:rsidP="00023CE1">
      <w:pPr>
        <w:spacing w:line="276" w:lineRule="auto"/>
        <w:ind w:left="540"/>
        <w:rPr>
          <w:rFonts w:eastAsia="Times New Roman"/>
        </w:rPr>
      </w:pPr>
      <w:r w:rsidRPr="00CB2CB5">
        <w:rPr>
          <w:rFonts w:eastAsia="Times New Roman"/>
        </w:rPr>
        <w:t>As required in the IRP Rule, EPE</w:t>
      </w:r>
      <w:r w:rsidR="00B81EE4" w:rsidRPr="00CB2CB5">
        <w:rPr>
          <w:rFonts w:eastAsia="Times New Roman"/>
        </w:rPr>
        <w:t>'</w:t>
      </w:r>
      <w:r w:rsidRPr="00CB2CB5">
        <w:rPr>
          <w:rFonts w:eastAsia="Times New Roman"/>
        </w:rPr>
        <w:t>s four-year action plan includes the following:</w:t>
      </w:r>
    </w:p>
    <w:p w14:paraId="732709CE" w14:textId="77777777" w:rsidR="00023CE1" w:rsidRPr="00CB2CB5" w:rsidRDefault="00023CE1" w:rsidP="00023CE1">
      <w:pPr>
        <w:spacing w:line="276" w:lineRule="auto"/>
        <w:ind w:left="540"/>
        <w:rPr>
          <w:rFonts w:eastAsia="Times New Roman"/>
        </w:rPr>
      </w:pPr>
    </w:p>
    <w:p w14:paraId="3BB01401" w14:textId="641923A5" w:rsidR="00322646" w:rsidRPr="00CB2CB5" w:rsidRDefault="00C801F7" w:rsidP="00023CE1">
      <w:pPr>
        <w:pStyle w:val="ListParagraph"/>
        <w:numPr>
          <w:ilvl w:val="0"/>
          <w:numId w:val="15"/>
        </w:numPr>
        <w:spacing w:after="0" w:line="276" w:lineRule="auto"/>
        <w:ind w:left="900"/>
        <w:contextualSpacing w:val="0"/>
        <w:jc w:val="both"/>
        <w:rPr>
          <w:rFonts w:ascii="Times New Roman" w:eastAsia="Times New Roman" w:hAnsi="Times New Roman"/>
          <w:sz w:val="24"/>
        </w:rPr>
      </w:pPr>
      <w:r>
        <w:rPr>
          <w:rFonts w:ascii="Times New Roman" w:eastAsia="Times New Roman" w:hAnsi="Times New Roman"/>
          <w:sz w:val="24"/>
        </w:rPr>
        <w:t>EPE will c</w:t>
      </w:r>
      <w:r w:rsidR="000233A4">
        <w:rPr>
          <w:rFonts w:ascii="Times New Roman" w:eastAsia="Times New Roman" w:hAnsi="Times New Roman"/>
          <w:sz w:val="24"/>
        </w:rPr>
        <w:t>ontinue m</w:t>
      </w:r>
      <w:r w:rsidR="00D71FC6">
        <w:rPr>
          <w:rFonts w:ascii="Times New Roman" w:eastAsia="Times New Roman" w:hAnsi="Times New Roman"/>
          <w:sz w:val="24"/>
        </w:rPr>
        <w:t>ov</w:t>
      </w:r>
      <w:r w:rsidR="000233A4">
        <w:rPr>
          <w:rFonts w:ascii="Times New Roman" w:eastAsia="Times New Roman" w:hAnsi="Times New Roman"/>
          <w:sz w:val="24"/>
        </w:rPr>
        <w:t>ing</w:t>
      </w:r>
      <w:r w:rsidR="00D71FC6">
        <w:rPr>
          <w:rFonts w:ascii="Times New Roman" w:eastAsia="Times New Roman" w:hAnsi="Times New Roman"/>
          <w:sz w:val="24"/>
        </w:rPr>
        <w:t xml:space="preserve"> forward with the</w:t>
      </w:r>
      <w:r w:rsidR="00322646" w:rsidRPr="00CB2CB5">
        <w:rPr>
          <w:rFonts w:ascii="Times New Roman" w:eastAsia="Times New Roman" w:hAnsi="Times New Roman"/>
          <w:sz w:val="24"/>
        </w:rPr>
        <w:t xml:space="preserve"> 2017</w:t>
      </w:r>
      <w:r w:rsidR="00953F38">
        <w:rPr>
          <w:rFonts w:ascii="Times New Roman" w:eastAsia="Times New Roman" w:hAnsi="Times New Roman"/>
          <w:sz w:val="24"/>
        </w:rPr>
        <w:t xml:space="preserve"> Request for Proposal</w:t>
      </w:r>
      <w:r w:rsidR="00322646" w:rsidRPr="00CB2CB5">
        <w:rPr>
          <w:rFonts w:ascii="Times New Roman" w:eastAsia="Times New Roman" w:hAnsi="Times New Roman"/>
          <w:sz w:val="24"/>
        </w:rPr>
        <w:t xml:space="preserve"> </w:t>
      </w:r>
      <w:r w:rsidR="00953F38">
        <w:rPr>
          <w:rFonts w:ascii="Times New Roman" w:eastAsia="Times New Roman" w:hAnsi="Times New Roman"/>
          <w:sz w:val="24"/>
        </w:rPr>
        <w:t>(“</w:t>
      </w:r>
      <w:r w:rsidR="00322646" w:rsidRPr="00CB2CB5">
        <w:rPr>
          <w:rFonts w:ascii="Times New Roman" w:eastAsia="Times New Roman" w:hAnsi="Times New Roman"/>
          <w:sz w:val="24"/>
        </w:rPr>
        <w:t>RFP</w:t>
      </w:r>
      <w:r w:rsidR="00953F38">
        <w:rPr>
          <w:rFonts w:ascii="Times New Roman" w:eastAsia="Times New Roman" w:hAnsi="Times New Roman"/>
          <w:sz w:val="24"/>
        </w:rPr>
        <w:t>”)</w:t>
      </w:r>
      <w:r w:rsidR="004B750F" w:rsidRPr="00CB2CB5">
        <w:rPr>
          <w:rFonts w:ascii="Times New Roman" w:eastAsia="Times New Roman" w:hAnsi="Times New Roman"/>
          <w:sz w:val="24"/>
        </w:rPr>
        <w:t xml:space="preserve"> and </w:t>
      </w:r>
      <w:r w:rsidR="00D71FC6">
        <w:rPr>
          <w:rFonts w:ascii="Times New Roman" w:eastAsia="Times New Roman" w:hAnsi="Times New Roman"/>
          <w:sz w:val="24"/>
        </w:rPr>
        <w:t xml:space="preserve">2019 </w:t>
      </w:r>
      <w:r w:rsidR="00953F38">
        <w:rPr>
          <w:rFonts w:ascii="Times New Roman" w:eastAsia="Times New Roman" w:hAnsi="Times New Roman"/>
          <w:sz w:val="24"/>
        </w:rPr>
        <w:t xml:space="preserve">Renewable Portfolio Standard (“RPS”) </w:t>
      </w:r>
      <w:r w:rsidR="00D71FC6">
        <w:rPr>
          <w:rFonts w:ascii="Times New Roman" w:eastAsia="Times New Roman" w:hAnsi="Times New Roman"/>
          <w:sz w:val="24"/>
        </w:rPr>
        <w:t>RFP selected resources with COD</w:t>
      </w:r>
      <w:r w:rsidR="00376C04">
        <w:rPr>
          <w:rFonts w:ascii="Times New Roman" w:eastAsia="Times New Roman" w:hAnsi="Times New Roman"/>
          <w:sz w:val="24"/>
        </w:rPr>
        <w:t xml:space="preserve"> (“Commercial Operation Date”)</w:t>
      </w:r>
      <w:r w:rsidR="00D71FC6">
        <w:rPr>
          <w:rFonts w:ascii="Times New Roman" w:eastAsia="Times New Roman" w:hAnsi="Times New Roman"/>
          <w:sz w:val="24"/>
        </w:rPr>
        <w:t xml:space="preserve"> of 2022 </w:t>
      </w:r>
      <w:r w:rsidR="00A13E0F">
        <w:rPr>
          <w:rFonts w:ascii="Times New Roman" w:eastAsia="Times New Roman" w:hAnsi="Times New Roman"/>
          <w:sz w:val="24"/>
        </w:rPr>
        <w:t xml:space="preserve">previously </w:t>
      </w:r>
      <w:r w:rsidR="00D71FC6">
        <w:rPr>
          <w:rFonts w:ascii="Times New Roman" w:eastAsia="Times New Roman" w:hAnsi="Times New Roman"/>
          <w:sz w:val="24"/>
        </w:rPr>
        <w:t xml:space="preserve">approved </w:t>
      </w:r>
      <w:r>
        <w:rPr>
          <w:rFonts w:ascii="Times New Roman" w:eastAsia="Times New Roman" w:hAnsi="Times New Roman"/>
          <w:sz w:val="24"/>
        </w:rPr>
        <w:t xml:space="preserve">by the Commission in Case Nos. 19-00099-UT and 19-00348-UT (Hecate I and II and Buena Vista I and II). </w:t>
      </w:r>
    </w:p>
    <w:p w14:paraId="6CFC410E" w14:textId="120CA3F9" w:rsidR="004B750F" w:rsidRPr="00CB2CB5" w:rsidRDefault="00322646" w:rsidP="00023CE1">
      <w:pPr>
        <w:pStyle w:val="ListParagraph"/>
        <w:numPr>
          <w:ilvl w:val="0"/>
          <w:numId w:val="15"/>
        </w:numPr>
        <w:spacing w:after="0" w:line="276" w:lineRule="auto"/>
        <w:ind w:left="90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EPE will complete the regulatory approval process for </w:t>
      </w:r>
      <w:r w:rsidR="00C801F7">
        <w:rPr>
          <w:rFonts w:ascii="Times New Roman" w:eastAsia="Times New Roman" w:hAnsi="Times New Roman"/>
          <w:sz w:val="24"/>
        </w:rPr>
        <w:t>EPE’s</w:t>
      </w:r>
      <w:r w:rsidRPr="00CB2CB5">
        <w:rPr>
          <w:rFonts w:ascii="Times New Roman" w:eastAsia="Times New Roman" w:hAnsi="Times New Roman"/>
          <w:sz w:val="24"/>
        </w:rPr>
        <w:t xml:space="preserve"> </w:t>
      </w:r>
      <w:r w:rsidR="00642BE4" w:rsidRPr="00CB2CB5">
        <w:rPr>
          <w:rFonts w:ascii="Times New Roman" w:eastAsia="Times New Roman" w:hAnsi="Times New Roman"/>
          <w:sz w:val="24"/>
        </w:rPr>
        <w:t>20</w:t>
      </w:r>
      <w:r w:rsidR="00642BE4">
        <w:rPr>
          <w:rFonts w:ascii="Times New Roman" w:eastAsia="Times New Roman" w:hAnsi="Times New Roman"/>
          <w:sz w:val="24"/>
        </w:rPr>
        <w:t>21</w:t>
      </w:r>
      <w:r w:rsidR="00642BE4" w:rsidRPr="00CB2CB5">
        <w:rPr>
          <w:rFonts w:ascii="Times New Roman" w:eastAsia="Times New Roman" w:hAnsi="Times New Roman"/>
          <w:sz w:val="24"/>
        </w:rPr>
        <w:t xml:space="preserve"> </w:t>
      </w:r>
      <w:r w:rsidRPr="00CB2CB5">
        <w:rPr>
          <w:rFonts w:ascii="Times New Roman" w:eastAsia="Times New Roman" w:hAnsi="Times New Roman"/>
          <w:sz w:val="24"/>
        </w:rPr>
        <w:t>Annual Renewable Energy Plan filed</w:t>
      </w:r>
      <w:r w:rsidR="000E094B" w:rsidRPr="00CB2CB5">
        <w:rPr>
          <w:rFonts w:ascii="Times New Roman" w:eastAsia="Times New Roman" w:hAnsi="Times New Roman"/>
          <w:sz w:val="24"/>
        </w:rPr>
        <w:t xml:space="preserve"> May </w:t>
      </w:r>
      <w:r w:rsidR="00642BE4">
        <w:rPr>
          <w:rFonts w:ascii="Times New Roman" w:eastAsia="Times New Roman" w:hAnsi="Times New Roman"/>
          <w:sz w:val="24"/>
        </w:rPr>
        <w:t>5</w:t>
      </w:r>
      <w:r w:rsidR="000E094B" w:rsidRPr="00CB2CB5">
        <w:rPr>
          <w:rFonts w:ascii="Times New Roman" w:eastAsia="Times New Roman" w:hAnsi="Times New Roman"/>
          <w:sz w:val="24"/>
        </w:rPr>
        <w:t xml:space="preserve">, </w:t>
      </w:r>
      <w:r w:rsidR="00642BE4" w:rsidRPr="00CB2CB5">
        <w:rPr>
          <w:rFonts w:ascii="Times New Roman" w:eastAsia="Times New Roman" w:hAnsi="Times New Roman"/>
          <w:sz w:val="24"/>
        </w:rPr>
        <w:t>20</w:t>
      </w:r>
      <w:r w:rsidR="00642BE4">
        <w:rPr>
          <w:rFonts w:ascii="Times New Roman" w:eastAsia="Times New Roman" w:hAnsi="Times New Roman"/>
          <w:sz w:val="24"/>
        </w:rPr>
        <w:t>21</w:t>
      </w:r>
      <w:r w:rsidR="00642BE4" w:rsidRPr="00CB2CB5">
        <w:rPr>
          <w:rFonts w:ascii="Times New Roman" w:eastAsia="Times New Roman" w:hAnsi="Times New Roman"/>
          <w:sz w:val="24"/>
        </w:rPr>
        <w:t xml:space="preserve"> </w:t>
      </w:r>
      <w:r w:rsidRPr="00CB2CB5">
        <w:rPr>
          <w:rFonts w:ascii="Times New Roman" w:eastAsia="Times New Roman" w:hAnsi="Times New Roman"/>
          <w:sz w:val="24"/>
        </w:rPr>
        <w:t xml:space="preserve">and file subsequent annual reports </w:t>
      </w:r>
      <w:r w:rsidR="000E094B" w:rsidRPr="00CB2CB5">
        <w:rPr>
          <w:rFonts w:ascii="Times New Roman" w:eastAsia="Times New Roman" w:hAnsi="Times New Roman"/>
          <w:sz w:val="24"/>
        </w:rPr>
        <w:t xml:space="preserve">and plans </w:t>
      </w:r>
      <w:r w:rsidRPr="00CB2CB5">
        <w:rPr>
          <w:rFonts w:ascii="Times New Roman" w:eastAsia="Times New Roman" w:hAnsi="Times New Roman"/>
          <w:sz w:val="24"/>
        </w:rPr>
        <w:t xml:space="preserve">in </w:t>
      </w:r>
      <w:r w:rsidR="00642BE4" w:rsidRPr="00CB2CB5">
        <w:rPr>
          <w:rFonts w:ascii="Times New Roman" w:eastAsia="Times New Roman" w:hAnsi="Times New Roman"/>
          <w:sz w:val="24"/>
        </w:rPr>
        <w:t>20</w:t>
      </w:r>
      <w:r w:rsidR="00642BE4">
        <w:rPr>
          <w:rFonts w:ascii="Times New Roman" w:eastAsia="Times New Roman" w:hAnsi="Times New Roman"/>
          <w:sz w:val="24"/>
        </w:rPr>
        <w:t>22</w:t>
      </w:r>
      <w:r w:rsidRPr="00CB2CB5">
        <w:rPr>
          <w:rFonts w:ascii="Times New Roman" w:eastAsia="Times New Roman" w:hAnsi="Times New Roman"/>
          <w:sz w:val="24"/>
        </w:rPr>
        <w:t>, 202</w:t>
      </w:r>
      <w:r w:rsidR="00C801F7">
        <w:rPr>
          <w:rFonts w:ascii="Times New Roman" w:eastAsia="Times New Roman" w:hAnsi="Times New Roman"/>
          <w:sz w:val="24"/>
        </w:rPr>
        <w:t>3</w:t>
      </w:r>
      <w:r w:rsidR="000E094B" w:rsidRPr="00CB2CB5">
        <w:rPr>
          <w:rFonts w:ascii="Times New Roman" w:eastAsia="Times New Roman" w:hAnsi="Times New Roman"/>
          <w:sz w:val="24"/>
        </w:rPr>
        <w:t xml:space="preserve">, </w:t>
      </w:r>
      <w:r w:rsidRPr="00CB2CB5">
        <w:rPr>
          <w:rFonts w:ascii="Times New Roman" w:eastAsia="Times New Roman" w:hAnsi="Times New Roman"/>
          <w:sz w:val="24"/>
        </w:rPr>
        <w:t>202</w:t>
      </w:r>
      <w:r w:rsidR="00C801F7">
        <w:rPr>
          <w:rFonts w:ascii="Times New Roman" w:eastAsia="Times New Roman" w:hAnsi="Times New Roman"/>
          <w:sz w:val="24"/>
        </w:rPr>
        <w:t>4</w:t>
      </w:r>
      <w:r w:rsidR="000E094B" w:rsidRPr="00CB2CB5">
        <w:rPr>
          <w:rFonts w:ascii="Times New Roman" w:eastAsia="Times New Roman" w:hAnsi="Times New Roman"/>
          <w:sz w:val="24"/>
        </w:rPr>
        <w:t>, and 202</w:t>
      </w:r>
      <w:r w:rsidR="00C801F7">
        <w:rPr>
          <w:rFonts w:ascii="Times New Roman" w:eastAsia="Times New Roman" w:hAnsi="Times New Roman"/>
          <w:sz w:val="24"/>
        </w:rPr>
        <w:t>5</w:t>
      </w:r>
      <w:r w:rsidR="00F86D04" w:rsidRPr="00CB2CB5">
        <w:rPr>
          <w:rFonts w:ascii="Times New Roman" w:eastAsia="Times New Roman" w:hAnsi="Times New Roman"/>
          <w:sz w:val="24"/>
        </w:rPr>
        <w:t xml:space="preserve"> pursuant to 17.9.572 NMAC and the </w:t>
      </w:r>
      <w:r w:rsidR="00C801F7">
        <w:rPr>
          <w:rFonts w:ascii="Times New Roman" w:eastAsia="Times New Roman" w:hAnsi="Times New Roman"/>
          <w:sz w:val="24"/>
        </w:rPr>
        <w:t xml:space="preserve">New Mexico </w:t>
      </w:r>
      <w:r w:rsidR="00F86D04" w:rsidRPr="00CB2CB5">
        <w:rPr>
          <w:rFonts w:ascii="Times New Roman" w:eastAsia="Times New Roman" w:hAnsi="Times New Roman"/>
          <w:sz w:val="24"/>
        </w:rPr>
        <w:t>REA</w:t>
      </w:r>
      <w:r w:rsidR="004B750F" w:rsidRPr="00CB2CB5">
        <w:rPr>
          <w:rFonts w:ascii="Times New Roman" w:eastAsia="Times New Roman" w:hAnsi="Times New Roman"/>
          <w:sz w:val="24"/>
        </w:rPr>
        <w:t>.</w:t>
      </w:r>
    </w:p>
    <w:p w14:paraId="245895FF" w14:textId="2579BF25" w:rsidR="00F86D04" w:rsidRPr="00651D95" w:rsidRDefault="00F86D04" w:rsidP="00023CE1">
      <w:pPr>
        <w:pStyle w:val="ListParagraph"/>
        <w:numPr>
          <w:ilvl w:val="0"/>
          <w:numId w:val="15"/>
        </w:numPr>
        <w:spacing w:after="0" w:line="276" w:lineRule="auto"/>
        <w:ind w:left="90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EPE </w:t>
      </w:r>
      <w:r w:rsidR="00720E7C" w:rsidRPr="00CB2CB5">
        <w:rPr>
          <w:rFonts w:ascii="Times New Roman" w:eastAsia="Times New Roman" w:hAnsi="Times New Roman"/>
          <w:sz w:val="24"/>
        </w:rPr>
        <w:t>will</w:t>
      </w:r>
      <w:r w:rsidR="00F07A35" w:rsidRPr="00CB2CB5">
        <w:rPr>
          <w:rFonts w:ascii="Times New Roman" w:eastAsia="Times New Roman" w:hAnsi="Times New Roman"/>
          <w:sz w:val="24"/>
        </w:rPr>
        <w:t xml:space="preserve"> complete the regulatory </w:t>
      </w:r>
      <w:r w:rsidR="00720E7C" w:rsidRPr="00CB2CB5">
        <w:rPr>
          <w:rFonts w:ascii="Times New Roman" w:eastAsia="Times New Roman" w:hAnsi="Times New Roman"/>
          <w:sz w:val="24"/>
        </w:rPr>
        <w:t xml:space="preserve">approval </w:t>
      </w:r>
      <w:r w:rsidR="00F07A35" w:rsidRPr="00CB2CB5">
        <w:rPr>
          <w:rFonts w:ascii="Times New Roman" w:eastAsia="Times New Roman" w:hAnsi="Times New Roman"/>
          <w:sz w:val="24"/>
        </w:rPr>
        <w:t xml:space="preserve">process for the </w:t>
      </w:r>
      <w:r w:rsidR="0049146A">
        <w:rPr>
          <w:rFonts w:ascii="Times New Roman" w:eastAsia="Times New Roman" w:hAnsi="Times New Roman"/>
          <w:sz w:val="24"/>
        </w:rPr>
        <w:t>2022-2024</w:t>
      </w:r>
      <w:r w:rsidR="00F07A35" w:rsidRPr="00CB2CB5">
        <w:rPr>
          <w:rFonts w:ascii="Times New Roman" w:eastAsia="Times New Roman" w:hAnsi="Times New Roman"/>
          <w:sz w:val="24"/>
        </w:rPr>
        <w:t xml:space="preserve"> </w:t>
      </w:r>
      <w:r w:rsidR="00720E7C" w:rsidRPr="00CB2CB5">
        <w:rPr>
          <w:rFonts w:ascii="Times New Roman" w:eastAsia="Times New Roman" w:hAnsi="Times New Roman"/>
          <w:sz w:val="24"/>
        </w:rPr>
        <w:t xml:space="preserve">Energy Efficiency and Load Management Plan filed </w:t>
      </w:r>
      <w:r w:rsidR="0049146A">
        <w:rPr>
          <w:rFonts w:ascii="Times New Roman" w:eastAsia="Times New Roman" w:hAnsi="Times New Roman"/>
          <w:sz w:val="24"/>
        </w:rPr>
        <w:t>Ju</w:t>
      </w:r>
      <w:r w:rsidR="009106A3">
        <w:rPr>
          <w:rFonts w:ascii="Times New Roman" w:eastAsia="Times New Roman" w:hAnsi="Times New Roman"/>
          <w:sz w:val="24"/>
        </w:rPr>
        <w:t xml:space="preserve">ly </w:t>
      </w:r>
      <w:r w:rsidR="00C66A37" w:rsidRPr="00CB2CB5">
        <w:rPr>
          <w:rFonts w:ascii="Times New Roman" w:eastAsia="Times New Roman" w:hAnsi="Times New Roman"/>
          <w:sz w:val="24"/>
        </w:rPr>
        <w:t>1</w:t>
      </w:r>
      <w:r w:rsidR="00D778B6">
        <w:rPr>
          <w:rFonts w:ascii="Times New Roman" w:eastAsia="Times New Roman" w:hAnsi="Times New Roman"/>
          <w:sz w:val="24"/>
        </w:rPr>
        <w:t>6</w:t>
      </w:r>
      <w:r w:rsidR="00C66A37" w:rsidRPr="00CB2CB5">
        <w:rPr>
          <w:rFonts w:ascii="Times New Roman" w:eastAsia="Times New Roman" w:hAnsi="Times New Roman"/>
          <w:sz w:val="24"/>
        </w:rPr>
        <w:t xml:space="preserve">, </w:t>
      </w:r>
      <w:r w:rsidR="00CB2CB5">
        <w:rPr>
          <w:rFonts w:ascii="Times New Roman" w:eastAsia="Times New Roman" w:hAnsi="Times New Roman"/>
          <w:sz w:val="24"/>
        </w:rPr>
        <w:t>2021</w:t>
      </w:r>
      <w:r w:rsidR="00C66A37" w:rsidRPr="00CB2CB5">
        <w:rPr>
          <w:rFonts w:ascii="Times New Roman" w:eastAsia="Times New Roman" w:hAnsi="Times New Roman"/>
          <w:sz w:val="24"/>
        </w:rPr>
        <w:t xml:space="preserve"> and</w:t>
      </w:r>
      <w:r w:rsidR="00720E7C" w:rsidRPr="00CB2CB5">
        <w:rPr>
          <w:rFonts w:ascii="Times New Roman" w:eastAsia="Times New Roman" w:hAnsi="Times New Roman"/>
          <w:sz w:val="24"/>
        </w:rPr>
        <w:t xml:space="preserve"> </w:t>
      </w:r>
      <w:r w:rsidR="00F07A35" w:rsidRPr="00CB2CB5">
        <w:rPr>
          <w:rFonts w:ascii="Times New Roman" w:eastAsia="Times New Roman" w:hAnsi="Times New Roman"/>
          <w:sz w:val="24"/>
        </w:rPr>
        <w:t>will file a subsequent 3</w:t>
      </w:r>
      <w:r w:rsidR="00023CE1" w:rsidRPr="00CB2CB5">
        <w:rPr>
          <w:rFonts w:ascii="Times New Roman" w:eastAsia="Times New Roman" w:hAnsi="Times New Roman"/>
          <w:sz w:val="24"/>
        </w:rPr>
        <w:noBreakHyphen/>
      </w:r>
      <w:r w:rsidR="00F07A35" w:rsidRPr="00CB2CB5">
        <w:rPr>
          <w:rFonts w:ascii="Times New Roman" w:eastAsia="Times New Roman" w:hAnsi="Times New Roman"/>
          <w:sz w:val="24"/>
        </w:rPr>
        <w:t xml:space="preserve">year plan </w:t>
      </w:r>
      <w:r w:rsidR="00720E7C" w:rsidRPr="00651D95">
        <w:rPr>
          <w:rFonts w:ascii="Times New Roman" w:eastAsia="Times New Roman" w:hAnsi="Times New Roman"/>
          <w:sz w:val="24"/>
        </w:rPr>
        <w:t xml:space="preserve">pursuant to 17.7.2 NMAC and the </w:t>
      </w:r>
      <w:proofErr w:type="spellStart"/>
      <w:r w:rsidR="00720E7C" w:rsidRPr="00651D95">
        <w:rPr>
          <w:rFonts w:ascii="Times New Roman" w:eastAsia="Times New Roman" w:hAnsi="Times New Roman"/>
          <w:sz w:val="24"/>
        </w:rPr>
        <w:t>EUEA</w:t>
      </w:r>
      <w:proofErr w:type="spellEnd"/>
      <w:r w:rsidR="00F07A35" w:rsidRPr="00651D95">
        <w:rPr>
          <w:rFonts w:ascii="Times New Roman" w:eastAsia="Times New Roman" w:hAnsi="Times New Roman"/>
          <w:sz w:val="24"/>
        </w:rPr>
        <w:t>.</w:t>
      </w:r>
      <w:r w:rsidRPr="00651D95">
        <w:rPr>
          <w:rFonts w:ascii="Times New Roman" w:eastAsia="Times New Roman" w:hAnsi="Times New Roman"/>
          <w:sz w:val="24"/>
        </w:rPr>
        <w:t xml:space="preserve"> </w:t>
      </w:r>
    </w:p>
    <w:p w14:paraId="28BA081A" w14:textId="7BCA5D17" w:rsidR="00D47A7D" w:rsidRPr="00651D95" w:rsidRDefault="00D47A7D" w:rsidP="00023CE1">
      <w:pPr>
        <w:pStyle w:val="ListParagraph"/>
        <w:numPr>
          <w:ilvl w:val="0"/>
          <w:numId w:val="15"/>
        </w:numPr>
        <w:spacing w:after="0" w:line="276" w:lineRule="auto"/>
        <w:ind w:left="900"/>
        <w:contextualSpacing w:val="0"/>
        <w:jc w:val="both"/>
        <w:rPr>
          <w:rFonts w:ascii="Times New Roman" w:eastAsia="Times New Roman" w:hAnsi="Times New Roman"/>
          <w:sz w:val="24"/>
        </w:rPr>
      </w:pPr>
      <w:r w:rsidRPr="00651D95">
        <w:rPr>
          <w:rFonts w:ascii="Times New Roman" w:eastAsia="Times New Roman" w:hAnsi="Times New Roman"/>
          <w:sz w:val="24"/>
        </w:rPr>
        <w:t xml:space="preserve">EPE will issue </w:t>
      </w:r>
      <w:proofErr w:type="gramStart"/>
      <w:r w:rsidR="00FE1D3F">
        <w:rPr>
          <w:rFonts w:ascii="Times New Roman" w:eastAsia="Times New Roman" w:hAnsi="Times New Roman"/>
          <w:sz w:val="24"/>
        </w:rPr>
        <w:t>a</w:t>
      </w:r>
      <w:proofErr w:type="gramEnd"/>
      <w:r w:rsidR="00FE1D3F">
        <w:rPr>
          <w:rFonts w:ascii="Times New Roman" w:eastAsia="Times New Roman" w:hAnsi="Times New Roman"/>
          <w:sz w:val="24"/>
        </w:rPr>
        <w:t xml:space="preserve"> </w:t>
      </w:r>
      <w:r w:rsidRPr="00651D95">
        <w:rPr>
          <w:rFonts w:ascii="Times New Roman" w:eastAsia="Times New Roman" w:hAnsi="Times New Roman"/>
          <w:sz w:val="24"/>
        </w:rPr>
        <w:t>RFP</w:t>
      </w:r>
      <w:r w:rsidR="000233A4" w:rsidRPr="00651D95">
        <w:rPr>
          <w:rFonts w:ascii="Times New Roman" w:eastAsia="Times New Roman" w:hAnsi="Times New Roman"/>
          <w:sz w:val="24"/>
        </w:rPr>
        <w:t xml:space="preserve"> </w:t>
      </w:r>
      <w:r w:rsidRPr="00651D95">
        <w:rPr>
          <w:rFonts w:ascii="Times New Roman" w:eastAsia="Times New Roman" w:hAnsi="Times New Roman"/>
          <w:sz w:val="24"/>
        </w:rPr>
        <w:t xml:space="preserve">in </w:t>
      </w:r>
      <w:r w:rsidR="00523743" w:rsidRPr="00651D95">
        <w:rPr>
          <w:rFonts w:ascii="Times New Roman" w:eastAsia="Times New Roman" w:hAnsi="Times New Roman"/>
          <w:sz w:val="24"/>
        </w:rPr>
        <w:t>202</w:t>
      </w:r>
      <w:r w:rsidR="005F25A3" w:rsidRPr="00651D95">
        <w:rPr>
          <w:rFonts w:ascii="Times New Roman" w:eastAsia="Times New Roman" w:hAnsi="Times New Roman"/>
          <w:sz w:val="24"/>
        </w:rPr>
        <w:t>1</w:t>
      </w:r>
      <w:r w:rsidR="00523743" w:rsidRPr="00651D95">
        <w:rPr>
          <w:rFonts w:ascii="Times New Roman" w:eastAsia="Times New Roman" w:hAnsi="Times New Roman"/>
          <w:sz w:val="24"/>
        </w:rPr>
        <w:t xml:space="preserve"> </w:t>
      </w:r>
      <w:r w:rsidRPr="00651D95">
        <w:rPr>
          <w:rFonts w:ascii="Times New Roman" w:eastAsia="Times New Roman" w:hAnsi="Times New Roman"/>
          <w:sz w:val="24"/>
        </w:rPr>
        <w:t xml:space="preserve">to </w:t>
      </w:r>
      <w:r w:rsidR="00523743" w:rsidRPr="00651D95">
        <w:rPr>
          <w:rFonts w:ascii="Times New Roman" w:eastAsia="Times New Roman" w:hAnsi="Times New Roman"/>
          <w:sz w:val="24"/>
        </w:rPr>
        <w:t xml:space="preserve">address </w:t>
      </w:r>
      <w:r w:rsidR="00FE1D3F">
        <w:rPr>
          <w:rFonts w:ascii="Times New Roman" w:eastAsia="Times New Roman" w:hAnsi="Times New Roman"/>
          <w:sz w:val="24"/>
        </w:rPr>
        <w:t xml:space="preserve">capacity and RPS </w:t>
      </w:r>
      <w:r w:rsidR="00523743" w:rsidRPr="00651D95">
        <w:rPr>
          <w:rFonts w:ascii="Times New Roman" w:eastAsia="Times New Roman" w:hAnsi="Times New Roman"/>
          <w:sz w:val="24"/>
        </w:rPr>
        <w:t>resou</w:t>
      </w:r>
      <w:r w:rsidR="0066736D">
        <w:rPr>
          <w:rFonts w:ascii="Times New Roman" w:eastAsia="Times New Roman" w:hAnsi="Times New Roman"/>
          <w:sz w:val="24"/>
        </w:rPr>
        <w:t>rce needs.</w:t>
      </w:r>
    </w:p>
    <w:p w14:paraId="7EE76890" w14:textId="1D6234F8" w:rsidR="002B56AB" w:rsidRPr="00651D95" w:rsidRDefault="002B56AB" w:rsidP="00023CE1">
      <w:pPr>
        <w:pStyle w:val="ListParagraph"/>
        <w:numPr>
          <w:ilvl w:val="0"/>
          <w:numId w:val="15"/>
        </w:numPr>
        <w:spacing w:after="0" w:line="276" w:lineRule="auto"/>
        <w:ind w:left="900"/>
        <w:contextualSpacing w:val="0"/>
        <w:jc w:val="both"/>
        <w:rPr>
          <w:rFonts w:ascii="Times New Roman" w:eastAsia="Times New Roman" w:hAnsi="Times New Roman"/>
          <w:sz w:val="24"/>
        </w:rPr>
      </w:pPr>
    </w:p>
    <w:p w14:paraId="03D593CF" w14:textId="09D3A92D" w:rsidR="00B90205" w:rsidRPr="00651D95" w:rsidRDefault="00C801F7" w:rsidP="00023CE1">
      <w:pPr>
        <w:pStyle w:val="ListParagraph"/>
        <w:numPr>
          <w:ilvl w:val="0"/>
          <w:numId w:val="15"/>
        </w:numPr>
        <w:spacing w:after="0" w:line="276" w:lineRule="auto"/>
        <w:ind w:left="900"/>
        <w:contextualSpacing w:val="0"/>
        <w:jc w:val="both"/>
        <w:rPr>
          <w:rFonts w:ascii="Times New Roman" w:eastAsia="Times New Roman" w:hAnsi="Times New Roman"/>
          <w:sz w:val="24"/>
        </w:rPr>
      </w:pPr>
      <w:r>
        <w:rPr>
          <w:rFonts w:ascii="Times New Roman" w:eastAsia="Times New Roman" w:hAnsi="Times New Roman"/>
          <w:sz w:val="24"/>
        </w:rPr>
        <w:t>EPE will c</w:t>
      </w:r>
      <w:r w:rsidR="00651D95" w:rsidRPr="00651D95">
        <w:rPr>
          <w:rFonts w:ascii="Times New Roman" w:eastAsia="Times New Roman" w:hAnsi="Times New Roman"/>
          <w:sz w:val="24"/>
        </w:rPr>
        <w:t>ontinue to c</w:t>
      </w:r>
      <w:r w:rsidR="00B90205" w:rsidRPr="00651D95">
        <w:rPr>
          <w:rFonts w:ascii="Times New Roman" w:eastAsia="Times New Roman" w:hAnsi="Times New Roman"/>
          <w:sz w:val="24"/>
        </w:rPr>
        <w:t>onsider voluntary customer programs for renewable energy.</w:t>
      </w:r>
    </w:p>
    <w:p w14:paraId="33940ED1" w14:textId="77777777" w:rsidR="00322646" w:rsidRPr="00CB2CB5" w:rsidRDefault="00322646" w:rsidP="008759DE">
      <w:pPr>
        <w:spacing w:line="276" w:lineRule="auto"/>
        <w:rPr>
          <w:rFonts w:eastAsia="Times New Roman"/>
          <w:b/>
        </w:rPr>
      </w:pPr>
    </w:p>
    <w:p w14:paraId="52093E9E" w14:textId="77777777" w:rsidR="00AD06CC" w:rsidRPr="00CB2CB5" w:rsidRDefault="00AD06CC" w:rsidP="008C64D1">
      <w:pPr>
        <w:pStyle w:val="ListParagraph"/>
        <w:numPr>
          <w:ilvl w:val="0"/>
          <w:numId w:val="25"/>
        </w:numPr>
        <w:spacing w:line="276" w:lineRule="auto"/>
        <w:rPr>
          <w:rFonts w:eastAsia="Times New Roman"/>
          <w:b/>
        </w:rPr>
      </w:pPr>
      <w:r w:rsidRPr="00CB2CB5">
        <w:rPr>
          <w:rFonts w:ascii="Times New Roman" w:eastAsia="Times New Roman" w:hAnsi="Times New Roman"/>
          <w:b/>
          <w:sz w:val="24"/>
        </w:rPr>
        <w:t>Regulatory Requirements</w:t>
      </w:r>
    </w:p>
    <w:p w14:paraId="47B4134E" w14:textId="6D9969D8" w:rsidR="00AD06CC" w:rsidRDefault="00AD06CC" w:rsidP="008C64D1">
      <w:pPr>
        <w:spacing w:line="276" w:lineRule="auto"/>
        <w:ind w:left="360"/>
        <w:rPr>
          <w:rFonts w:eastAsia="Times New Roman"/>
        </w:rPr>
      </w:pPr>
      <w:r w:rsidRPr="00CB2CB5">
        <w:rPr>
          <w:rFonts w:eastAsia="Times New Roman"/>
        </w:rPr>
        <w:t>The IRP’s Four-Year Action Plan does not supersede any other regulatory requirements set forth in applicable statutes, rules</w:t>
      </w:r>
      <w:r w:rsidR="00A12C33" w:rsidRPr="00CB2CB5">
        <w:rPr>
          <w:rFonts w:eastAsia="Times New Roman"/>
        </w:rPr>
        <w:t>,</w:t>
      </w:r>
      <w:r w:rsidRPr="00CB2CB5">
        <w:rPr>
          <w:rFonts w:eastAsia="Times New Roman"/>
        </w:rPr>
        <w:t xml:space="preserve"> or orders.</w:t>
      </w:r>
    </w:p>
    <w:p w14:paraId="317E7F10" w14:textId="5CDD5038" w:rsidR="008A5446" w:rsidRDefault="008A5446" w:rsidP="008C64D1">
      <w:pPr>
        <w:spacing w:line="276" w:lineRule="auto"/>
        <w:ind w:left="360"/>
        <w:rPr>
          <w:rFonts w:eastAsia="Times New Roman"/>
        </w:rPr>
      </w:pPr>
    </w:p>
    <w:p w14:paraId="315B5228" w14:textId="176B8BE5" w:rsidR="008A5446" w:rsidRDefault="008A5446" w:rsidP="008C64D1">
      <w:pPr>
        <w:spacing w:line="276" w:lineRule="auto"/>
        <w:ind w:left="360"/>
        <w:rPr>
          <w:rFonts w:eastAsia="Times New Roman"/>
        </w:rPr>
      </w:pPr>
    </w:p>
    <w:p w14:paraId="13E28EFC" w14:textId="75941543" w:rsidR="008A5446" w:rsidRDefault="008A5446" w:rsidP="008C64D1">
      <w:pPr>
        <w:spacing w:line="276" w:lineRule="auto"/>
        <w:ind w:left="360"/>
        <w:rPr>
          <w:rFonts w:eastAsia="Times New Roman"/>
        </w:rPr>
      </w:pPr>
    </w:p>
    <w:p w14:paraId="4D00A2A0" w14:textId="2C6BB48F" w:rsidR="008A5446" w:rsidRDefault="008A5446" w:rsidP="008C64D1">
      <w:pPr>
        <w:spacing w:line="276" w:lineRule="auto"/>
        <w:ind w:left="360"/>
        <w:rPr>
          <w:rFonts w:eastAsia="Times New Roman"/>
        </w:rPr>
      </w:pPr>
    </w:p>
    <w:p w14:paraId="3AFAA306" w14:textId="77777777" w:rsidR="008A5446" w:rsidRPr="00CB2CB5" w:rsidRDefault="008A5446" w:rsidP="008C64D1">
      <w:pPr>
        <w:spacing w:line="276" w:lineRule="auto"/>
        <w:ind w:left="360"/>
        <w:rPr>
          <w:rFonts w:eastAsia="Times New Roman"/>
        </w:rPr>
      </w:pPr>
    </w:p>
    <w:p w14:paraId="6255845B" w14:textId="77777777" w:rsidR="00AD06CC" w:rsidRPr="00CB2CB5" w:rsidRDefault="00AD06CC" w:rsidP="008C64D1">
      <w:pPr>
        <w:spacing w:line="276" w:lineRule="auto"/>
        <w:ind w:left="360"/>
        <w:rPr>
          <w:rFonts w:eastAsia="Times New Roman"/>
        </w:rPr>
      </w:pPr>
    </w:p>
    <w:p w14:paraId="05C37BEA" w14:textId="77777777" w:rsidR="003C0EF8" w:rsidRPr="00CB2CB5" w:rsidRDefault="00451347" w:rsidP="008759DE">
      <w:pPr>
        <w:pStyle w:val="Heading1"/>
        <w:keepNext/>
        <w:keepLines/>
        <w:widowControl/>
        <w:numPr>
          <w:ilvl w:val="0"/>
          <w:numId w:val="23"/>
        </w:numPr>
        <w:tabs>
          <w:tab w:val="left" w:pos="540"/>
        </w:tabs>
        <w:autoSpaceDE/>
        <w:autoSpaceDN/>
        <w:spacing w:before="0" w:line="276" w:lineRule="auto"/>
        <w:ind w:left="0" w:firstLine="0"/>
        <w:jc w:val="both"/>
        <w:rPr>
          <w:b w:val="0"/>
        </w:rPr>
      </w:pPr>
      <w:bookmarkStart w:id="4" w:name="_Toc534190288"/>
      <w:r w:rsidRPr="00CB2CB5">
        <w:lastRenderedPageBreak/>
        <w:t>IRP PLANNING OVERVIEW</w:t>
      </w:r>
      <w:bookmarkEnd w:id="4"/>
      <w:r w:rsidR="003C0EF8" w:rsidRPr="00CB2CB5">
        <w:rPr>
          <w:b w:val="0"/>
        </w:rPr>
        <w:t xml:space="preserve"> </w:t>
      </w:r>
    </w:p>
    <w:p w14:paraId="37758637" w14:textId="77777777" w:rsidR="003C12C8" w:rsidRPr="00CB2CB5" w:rsidRDefault="003C12C8" w:rsidP="008759DE">
      <w:pPr>
        <w:spacing w:line="276" w:lineRule="auto"/>
        <w:rPr>
          <w:rFonts w:eastAsia="Times New Roman"/>
          <w:b/>
        </w:rPr>
      </w:pPr>
    </w:p>
    <w:p w14:paraId="32AACD63" w14:textId="77777777" w:rsidR="003C12C8" w:rsidRPr="00CB2CB5" w:rsidRDefault="008068C1" w:rsidP="008759DE">
      <w:pPr>
        <w:pStyle w:val="ListParagraph"/>
        <w:tabs>
          <w:tab w:val="left" w:pos="1080"/>
        </w:tabs>
        <w:spacing w:after="0" w:line="276" w:lineRule="auto"/>
        <w:ind w:left="0"/>
        <w:contextualSpacing w:val="0"/>
        <w:jc w:val="both"/>
        <w:rPr>
          <w:rFonts w:ascii="Times New Roman" w:eastAsia="Times New Roman" w:hAnsi="Times New Roman"/>
          <w:sz w:val="24"/>
        </w:rPr>
      </w:pPr>
      <w:r w:rsidRPr="00CB2CB5">
        <w:rPr>
          <w:rFonts w:ascii="Times New Roman" w:eastAsia="Times New Roman" w:hAnsi="Times New Roman"/>
          <w:sz w:val="24"/>
        </w:rPr>
        <w:t>The</w:t>
      </w:r>
      <w:r w:rsidR="003C12C8" w:rsidRPr="00CB2CB5">
        <w:rPr>
          <w:rFonts w:ascii="Times New Roman" w:eastAsia="Times New Roman" w:hAnsi="Times New Roman"/>
          <w:sz w:val="24"/>
        </w:rPr>
        <w:t xml:space="preserve"> </w:t>
      </w:r>
      <w:r w:rsidR="00460F03" w:rsidRPr="00CB2CB5">
        <w:rPr>
          <w:rFonts w:ascii="Times New Roman" w:eastAsia="Times New Roman" w:hAnsi="Times New Roman"/>
          <w:sz w:val="24"/>
        </w:rPr>
        <w:t>Plan</w:t>
      </w:r>
      <w:r w:rsidR="003C12C8" w:rsidRPr="00CB2CB5">
        <w:rPr>
          <w:rFonts w:ascii="Times New Roman" w:eastAsia="Times New Roman" w:hAnsi="Times New Roman"/>
          <w:sz w:val="24"/>
        </w:rPr>
        <w:t xml:space="preserve"> was </w:t>
      </w:r>
      <w:r w:rsidR="00670B60" w:rsidRPr="00CB2CB5">
        <w:rPr>
          <w:rFonts w:ascii="Times New Roman" w:eastAsia="Times New Roman" w:hAnsi="Times New Roman"/>
          <w:sz w:val="24"/>
        </w:rPr>
        <w:t xml:space="preserve">developed </w:t>
      </w:r>
      <w:r w:rsidR="003C12C8" w:rsidRPr="00CB2CB5">
        <w:rPr>
          <w:rFonts w:ascii="Times New Roman" w:eastAsia="Times New Roman" w:hAnsi="Times New Roman"/>
          <w:sz w:val="24"/>
        </w:rPr>
        <w:t xml:space="preserve">pursuant to the requirements of the IRP Rule. </w:t>
      </w:r>
      <w:r w:rsidR="00744C9F" w:rsidRPr="00CB2CB5">
        <w:rPr>
          <w:rFonts w:ascii="Times New Roman" w:eastAsia="Times New Roman" w:hAnsi="Times New Roman"/>
          <w:sz w:val="24"/>
        </w:rPr>
        <w:t xml:space="preserve"> </w:t>
      </w:r>
      <w:r w:rsidR="00670B60" w:rsidRPr="00CB2CB5">
        <w:rPr>
          <w:rFonts w:ascii="Times New Roman" w:eastAsia="Times New Roman" w:hAnsi="Times New Roman"/>
          <w:sz w:val="24"/>
        </w:rPr>
        <w:t>The Planning Process</w:t>
      </w:r>
      <w:r w:rsidR="008D40AA" w:rsidRPr="00CB2CB5">
        <w:rPr>
          <w:rFonts w:ascii="Times New Roman" w:eastAsia="Times New Roman" w:hAnsi="Times New Roman"/>
          <w:sz w:val="24"/>
        </w:rPr>
        <w:t xml:space="preserve"> </w:t>
      </w:r>
      <w:r w:rsidR="00983BB5" w:rsidRPr="00CB2CB5">
        <w:rPr>
          <w:rFonts w:ascii="Times New Roman" w:eastAsia="Times New Roman" w:hAnsi="Times New Roman"/>
          <w:sz w:val="24"/>
        </w:rPr>
        <w:t>took into consideration</w:t>
      </w:r>
      <w:r w:rsidR="001F31A6" w:rsidRPr="00CB2CB5">
        <w:rPr>
          <w:rFonts w:ascii="Times New Roman" w:eastAsia="Times New Roman" w:hAnsi="Times New Roman"/>
          <w:sz w:val="24"/>
        </w:rPr>
        <w:t xml:space="preserve"> the following key objectives:</w:t>
      </w:r>
    </w:p>
    <w:p w14:paraId="5D962DE6" w14:textId="77777777" w:rsidR="003C12C8" w:rsidRPr="00CB2CB5" w:rsidRDefault="003C12C8" w:rsidP="008759DE">
      <w:pPr>
        <w:pStyle w:val="ListParagraph"/>
        <w:spacing w:after="0" w:line="276" w:lineRule="auto"/>
        <w:ind w:left="540" w:hanging="540"/>
        <w:contextualSpacing w:val="0"/>
        <w:jc w:val="both"/>
        <w:rPr>
          <w:rFonts w:ascii="Times New Roman" w:eastAsia="Times New Roman" w:hAnsi="Times New Roman"/>
          <w:sz w:val="24"/>
        </w:rPr>
      </w:pPr>
    </w:p>
    <w:p w14:paraId="656BAFB6" w14:textId="1757C615" w:rsidR="00744C9F" w:rsidRPr="00CB2CB5" w:rsidRDefault="00651D95" w:rsidP="008759DE">
      <w:pPr>
        <w:pStyle w:val="ListParagraph"/>
        <w:numPr>
          <w:ilvl w:val="0"/>
          <w:numId w:val="15"/>
        </w:numPr>
        <w:spacing w:after="0" w:line="276" w:lineRule="auto"/>
        <w:ind w:left="360"/>
        <w:contextualSpacing w:val="0"/>
        <w:jc w:val="both"/>
        <w:rPr>
          <w:rFonts w:ascii="Times New Roman" w:eastAsia="Times New Roman" w:hAnsi="Times New Roman"/>
          <w:sz w:val="24"/>
        </w:rPr>
      </w:pPr>
      <w:r>
        <w:rPr>
          <w:rFonts w:ascii="Times New Roman" w:eastAsia="Times New Roman" w:hAnsi="Times New Roman"/>
          <w:sz w:val="24"/>
        </w:rPr>
        <w:t>identify</w:t>
      </w:r>
      <w:r w:rsidRPr="00CB2CB5">
        <w:rPr>
          <w:rFonts w:ascii="Times New Roman" w:eastAsia="Times New Roman" w:hAnsi="Times New Roman"/>
          <w:sz w:val="24"/>
        </w:rPr>
        <w:t xml:space="preserve"> </w:t>
      </w:r>
      <w:r w:rsidR="004C7D0D" w:rsidRPr="00CB2CB5">
        <w:rPr>
          <w:rFonts w:ascii="Times New Roman" w:eastAsia="Times New Roman" w:hAnsi="Times New Roman"/>
          <w:sz w:val="24"/>
        </w:rPr>
        <w:t>the most cost</w:t>
      </w:r>
      <w:r w:rsidR="00C66A37" w:rsidRPr="00CB2CB5">
        <w:rPr>
          <w:rFonts w:ascii="Times New Roman" w:eastAsia="Times New Roman" w:hAnsi="Times New Roman"/>
          <w:sz w:val="24"/>
        </w:rPr>
        <w:t>-</w:t>
      </w:r>
      <w:r w:rsidR="004C7D0D" w:rsidRPr="00CB2CB5">
        <w:rPr>
          <w:rFonts w:ascii="Times New Roman" w:eastAsia="Times New Roman" w:hAnsi="Times New Roman"/>
          <w:sz w:val="24"/>
        </w:rPr>
        <w:t>effective portfolio of resources</w:t>
      </w:r>
      <w:r w:rsidR="002811F8">
        <w:rPr>
          <w:rFonts w:ascii="Times New Roman" w:eastAsia="Times New Roman" w:hAnsi="Times New Roman"/>
          <w:sz w:val="24"/>
        </w:rPr>
        <w:t xml:space="preserve"> that best meets </w:t>
      </w:r>
      <w:r>
        <w:rPr>
          <w:rFonts w:ascii="Times New Roman" w:eastAsia="Times New Roman" w:hAnsi="Times New Roman"/>
          <w:sz w:val="24"/>
        </w:rPr>
        <w:t>c</w:t>
      </w:r>
      <w:r w:rsidR="002811F8">
        <w:rPr>
          <w:rFonts w:ascii="Times New Roman" w:eastAsia="Times New Roman" w:hAnsi="Times New Roman"/>
          <w:sz w:val="24"/>
        </w:rPr>
        <w:t>ustomer needs</w:t>
      </w:r>
      <w:r w:rsidR="00644AED">
        <w:rPr>
          <w:rFonts w:ascii="Times New Roman" w:eastAsia="Times New Roman" w:hAnsi="Times New Roman"/>
          <w:sz w:val="24"/>
        </w:rPr>
        <w:t xml:space="preserve"> for </w:t>
      </w:r>
      <w:r w:rsidR="00891020">
        <w:rPr>
          <w:rFonts w:ascii="Times New Roman" w:eastAsia="Times New Roman" w:hAnsi="Times New Roman"/>
          <w:sz w:val="24"/>
        </w:rPr>
        <w:t xml:space="preserve">the next </w:t>
      </w:r>
      <w:r w:rsidR="00A13E0F">
        <w:rPr>
          <w:rFonts w:ascii="Times New Roman" w:eastAsia="Times New Roman" w:hAnsi="Times New Roman"/>
          <w:sz w:val="24"/>
        </w:rPr>
        <w:t>twenty</w:t>
      </w:r>
      <w:r w:rsidR="00891020">
        <w:rPr>
          <w:rFonts w:ascii="Times New Roman" w:eastAsia="Times New Roman" w:hAnsi="Times New Roman"/>
          <w:sz w:val="24"/>
        </w:rPr>
        <w:t xml:space="preserve"> years</w:t>
      </w:r>
      <w:r w:rsidR="00644AED">
        <w:rPr>
          <w:rFonts w:ascii="Times New Roman" w:eastAsia="Times New Roman" w:hAnsi="Times New Roman"/>
          <w:sz w:val="24"/>
        </w:rPr>
        <w:t>,</w:t>
      </w:r>
    </w:p>
    <w:p w14:paraId="6F40CD2E" w14:textId="77777777" w:rsidR="00C66A37" w:rsidRPr="00CB2CB5" w:rsidRDefault="00C66A37" w:rsidP="00C66A37">
      <w:pPr>
        <w:pStyle w:val="ListParagraph"/>
        <w:spacing w:after="0" w:line="276" w:lineRule="auto"/>
        <w:ind w:left="360"/>
        <w:contextualSpacing w:val="0"/>
        <w:jc w:val="both"/>
        <w:rPr>
          <w:rFonts w:ascii="Times New Roman" w:eastAsia="Times New Roman" w:hAnsi="Times New Roman"/>
          <w:sz w:val="24"/>
        </w:rPr>
      </w:pPr>
    </w:p>
    <w:p w14:paraId="240C456A" w14:textId="6A9AB461" w:rsidR="008D40AA" w:rsidRPr="00CB2CB5" w:rsidRDefault="00651D95" w:rsidP="008759DE">
      <w:pPr>
        <w:pStyle w:val="ListParagraph"/>
        <w:numPr>
          <w:ilvl w:val="0"/>
          <w:numId w:val="15"/>
        </w:numPr>
        <w:spacing w:after="0" w:line="276" w:lineRule="auto"/>
        <w:ind w:left="360"/>
        <w:contextualSpacing w:val="0"/>
        <w:jc w:val="both"/>
        <w:rPr>
          <w:rFonts w:ascii="Times New Roman" w:eastAsia="Times New Roman" w:hAnsi="Times New Roman"/>
          <w:sz w:val="24"/>
        </w:rPr>
      </w:pPr>
      <w:r>
        <w:rPr>
          <w:rFonts w:ascii="Times New Roman" w:eastAsia="Times New Roman" w:hAnsi="Times New Roman"/>
          <w:sz w:val="24"/>
        </w:rPr>
        <w:t>consider</w:t>
      </w:r>
      <w:r w:rsidRPr="00CB2CB5">
        <w:rPr>
          <w:rFonts w:ascii="Times New Roman" w:eastAsia="Times New Roman" w:hAnsi="Times New Roman"/>
          <w:sz w:val="24"/>
        </w:rPr>
        <w:t xml:space="preserve"> </w:t>
      </w:r>
      <w:r w:rsidR="003C12C8" w:rsidRPr="00CB2CB5">
        <w:rPr>
          <w:rFonts w:ascii="Times New Roman" w:eastAsia="Times New Roman" w:hAnsi="Times New Roman"/>
          <w:sz w:val="24"/>
        </w:rPr>
        <w:t xml:space="preserve">various resource options, including supply-side and demand-side options, while taking into consideration </w:t>
      </w:r>
      <w:r w:rsidR="00891020">
        <w:rPr>
          <w:rFonts w:ascii="Times New Roman" w:eastAsia="Times New Roman" w:hAnsi="Times New Roman"/>
          <w:sz w:val="24"/>
        </w:rPr>
        <w:t>statutory</w:t>
      </w:r>
      <w:r w:rsidR="00644AED">
        <w:rPr>
          <w:rFonts w:ascii="Times New Roman" w:eastAsia="Times New Roman" w:hAnsi="Times New Roman"/>
          <w:sz w:val="24"/>
        </w:rPr>
        <w:t xml:space="preserve"> requirements, </w:t>
      </w:r>
      <w:r w:rsidR="00600B05" w:rsidRPr="00CB2CB5">
        <w:rPr>
          <w:rFonts w:ascii="Times New Roman" w:eastAsia="Times New Roman" w:hAnsi="Times New Roman"/>
          <w:sz w:val="24"/>
        </w:rPr>
        <w:t xml:space="preserve">environmental </w:t>
      </w:r>
      <w:r w:rsidR="00644AED">
        <w:rPr>
          <w:rFonts w:ascii="Times New Roman" w:eastAsia="Times New Roman" w:hAnsi="Times New Roman"/>
          <w:sz w:val="24"/>
        </w:rPr>
        <w:t>sustainability</w:t>
      </w:r>
      <w:r w:rsidR="00600B05" w:rsidRPr="00CB2CB5">
        <w:rPr>
          <w:rFonts w:ascii="Times New Roman" w:eastAsia="Times New Roman" w:hAnsi="Times New Roman"/>
          <w:sz w:val="24"/>
        </w:rPr>
        <w:t xml:space="preserve">, </w:t>
      </w:r>
      <w:r w:rsidR="003C12C8" w:rsidRPr="00CB2CB5">
        <w:rPr>
          <w:rFonts w:ascii="Times New Roman" w:eastAsia="Times New Roman" w:hAnsi="Times New Roman"/>
          <w:sz w:val="24"/>
        </w:rPr>
        <w:t>reliability</w:t>
      </w:r>
      <w:r w:rsidR="00600B05" w:rsidRPr="00CB2CB5">
        <w:rPr>
          <w:rFonts w:ascii="Times New Roman" w:eastAsia="Times New Roman" w:hAnsi="Times New Roman"/>
          <w:sz w:val="24"/>
        </w:rPr>
        <w:t>,</w:t>
      </w:r>
      <w:r w:rsidR="003C12C8" w:rsidRPr="00CB2CB5">
        <w:rPr>
          <w:rFonts w:ascii="Times New Roman" w:eastAsia="Times New Roman" w:hAnsi="Times New Roman"/>
          <w:sz w:val="24"/>
        </w:rPr>
        <w:t xml:space="preserve"> risk</w:t>
      </w:r>
      <w:r w:rsidR="00D778B6">
        <w:rPr>
          <w:rFonts w:ascii="Times New Roman" w:eastAsia="Times New Roman" w:hAnsi="Times New Roman"/>
          <w:sz w:val="24"/>
        </w:rPr>
        <w:t>;</w:t>
      </w:r>
      <w:r w:rsidR="00983BB5" w:rsidRPr="00CB2CB5">
        <w:rPr>
          <w:rFonts w:ascii="Times New Roman" w:eastAsia="Times New Roman" w:hAnsi="Times New Roman"/>
          <w:sz w:val="24"/>
        </w:rPr>
        <w:t xml:space="preserve"> and</w:t>
      </w:r>
      <w:r w:rsidR="00D778B6">
        <w:rPr>
          <w:rFonts w:ascii="Times New Roman" w:eastAsia="Times New Roman" w:hAnsi="Times New Roman"/>
          <w:sz w:val="24"/>
        </w:rPr>
        <w:t>,</w:t>
      </w:r>
    </w:p>
    <w:p w14:paraId="05CFB5F9" w14:textId="77777777" w:rsidR="00C66A37" w:rsidRPr="00CB2CB5" w:rsidRDefault="00C66A37" w:rsidP="00C66A37">
      <w:pPr>
        <w:pStyle w:val="ListParagraph"/>
        <w:spacing w:after="0" w:line="276" w:lineRule="auto"/>
        <w:ind w:left="360"/>
        <w:contextualSpacing w:val="0"/>
        <w:jc w:val="both"/>
        <w:rPr>
          <w:rFonts w:ascii="Times New Roman" w:eastAsia="Times New Roman" w:hAnsi="Times New Roman"/>
          <w:sz w:val="24"/>
        </w:rPr>
      </w:pPr>
    </w:p>
    <w:p w14:paraId="0C84C95B" w14:textId="65FA0E31" w:rsidR="00065B8C" w:rsidRPr="00CB2CB5" w:rsidRDefault="00651D95" w:rsidP="008759DE">
      <w:pPr>
        <w:pStyle w:val="ListParagraph"/>
        <w:numPr>
          <w:ilvl w:val="0"/>
          <w:numId w:val="15"/>
        </w:numPr>
        <w:spacing w:after="0" w:line="276" w:lineRule="auto"/>
        <w:ind w:left="360"/>
        <w:contextualSpacing w:val="0"/>
        <w:jc w:val="both"/>
        <w:rPr>
          <w:rFonts w:ascii="Times New Roman" w:eastAsia="Times New Roman" w:hAnsi="Times New Roman"/>
          <w:sz w:val="24"/>
        </w:rPr>
      </w:pPr>
      <w:r>
        <w:rPr>
          <w:rFonts w:ascii="Times New Roman" w:eastAsia="Times New Roman" w:hAnsi="Times New Roman"/>
          <w:sz w:val="24"/>
        </w:rPr>
        <w:t xml:space="preserve">partner </w:t>
      </w:r>
      <w:r w:rsidR="00644AED">
        <w:rPr>
          <w:rFonts w:ascii="Times New Roman" w:eastAsia="Times New Roman" w:hAnsi="Times New Roman"/>
          <w:sz w:val="24"/>
        </w:rPr>
        <w:t>up with customers via the</w:t>
      </w:r>
      <w:r w:rsidR="008D40AA" w:rsidRPr="00CB2CB5">
        <w:rPr>
          <w:rFonts w:ascii="Times New Roman" w:eastAsia="Times New Roman" w:hAnsi="Times New Roman"/>
          <w:sz w:val="24"/>
        </w:rPr>
        <w:t xml:space="preserve"> </w:t>
      </w:r>
      <w:r w:rsidR="00471256" w:rsidRPr="00CB2CB5">
        <w:rPr>
          <w:rFonts w:ascii="Times New Roman" w:eastAsia="Times New Roman" w:hAnsi="Times New Roman"/>
          <w:sz w:val="24"/>
        </w:rPr>
        <w:t xml:space="preserve">Public Process </w:t>
      </w:r>
      <w:r w:rsidR="008D40AA" w:rsidRPr="00CB2CB5">
        <w:rPr>
          <w:rFonts w:ascii="Times New Roman" w:eastAsia="Times New Roman" w:hAnsi="Times New Roman"/>
          <w:sz w:val="24"/>
        </w:rPr>
        <w:t xml:space="preserve">to </w:t>
      </w:r>
      <w:r w:rsidR="00471256" w:rsidRPr="00CB2CB5">
        <w:rPr>
          <w:rFonts w:ascii="Times New Roman" w:eastAsia="Times New Roman" w:hAnsi="Times New Roman"/>
          <w:sz w:val="24"/>
        </w:rPr>
        <w:t xml:space="preserve">provide information to and receive inputs </w:t>
      </w:r>
      <w:r w:rsidR="00644AED">
        <w:rPr>
          <w:rFonts w:ascii="Times New Roman" w:eastAsia="Times New Roman" w:hAnsi="Times New Roman"/>
          <w:sz w:val="24"/>
        </w:rPr>
        <w:t xml:space="preserve">and recommendations throughout the </w:t>
      </w:r>
      <w:r w:rsidR="00D52C3A" w:rsidRPr="00CB2CB5">
        <w:rPr>
          <w:rFonts w:ascii="Times New Roman" w:eastAsia="Times New Roman" w:hAnsi="Times New Roman"/>
          <w:sz w:val="24"/>
        </w:rPr>
        <w:t>Planning Process</w:t>
      </w:r>
      <w:r w:rsidR="00065B8C" w:rsidRPr="00CB2CB5">
        <w:rPr>
          <w:rFonts w:ascii="Times New Roman" w:eastAsia="Times New Roman" w:hAnsi="Times New Roman"/>
          <w:sz w:val="24"/>
        </w:rPr>
        <w:t>.</w:t>
      </w:r>
    </w:p>
    <w:p w14:paraId="5D2D6EDD" w14:textId="77777777" w:rsidR="003C12C8" w:rsidRPr="00CB2CB5" w:rsidRDefault="008D40AA" w:rsidP="008759DE">
      <w:pPr>
        <w:spacing w:line="276" w:lineRule="auto"/>
        <w:rPr>
          <w:rFonts w:eastAsia="Times New Roman"/>
        </w:rPr>
      </w:pPr>
      <w:r w:rsidRPr="00CB2CB5">
        <w:rPr>
          <w:rFonts w:eastAsia="Times New Roman"/>
        </w:rPr>
        <w:t xml:space="preserve"> </w:t>
      </w:r>
    </w:p>
    <w:p w14:paraId="33030714" w14:textId="302DD168" w:rsidR="003C12C8" w:rsidRPr="00CB2CB5" w:rsidRDefault="00D52C3A" w:rsidP="008759DE">
      <w:pPr>
        <w:pStyle w:val="ListParagraph"/>
        <w:keepNext/>
        <w:keepLines/>
        <w:tabs>
          <w:tab w:val="left" w:pos="1080"/>
        </w:tabs>
        <w:spacing w:after="0" w:line="276" w:lineRule="auto"/>
        <w:ind w:left="0"/>
        <w:contextualSpacing w:val="0"/>
        <w:jc w:val="both"/>
        <w:rPr>
          <w:rFonts w:ascii="Times New Roman" w:eastAsia="Times New Roman" w:hAnsi="Times New Roman"/>
          <w:sz w:val="24"/>
        </w:rPr>
      </w:pPr>
      <w:r w:rsidRPr="00CB2CB5">
        <w:rPr>
          <w:rFonts w:ascii="Times New Roman" w:eastAsia="Times New Roman" w:hAnsi="Times New Roman"/>
          <w:sz w:val="24"/>
        </w:rPr>
        <w:t>The</w:t>
      </w:r>
      <w:r w:rsidR="00670B60" w:rsidRPr="00CB2CB5">
        <w:rPr>
          <w:rFonts w:ascii="Times New Roman" w:eastAsia="Times New Roman" w:hAnsi="Times New Roman"/>
          <w:sz w:val="24"/>
        </w:rPr>
        <w:t xml:space="preserve"> Planning Process can be described as the method </w:t>
      </w:r>
      <w:r w:rsidR="003C12C8" w:rsidRPr="00CB2CB5">
        <w:rPr>
          <w:rFonts w:ascii="Times New Roman" w:eastAsia="Times New Roman" w:hAnsi="Times New Roman"/>
          <w:sz w:val="24"/>
        </w:rPr>
        <w:t xml:space="preserve">to develop </w:t>
      </w:r>
      <w:r w:rsidR="00597E42" w:rsidRPr="00CB2CB5">
        <w:rPr>
          <w:rFonts w:ascii="Times New Roman" w:eastAsia="Times New Roman" w:hAnsi="Times New Roman"/>
          <w:sz w:val="24"/>
        </w:rPr>
        <w:t>the most cost</w:t>
      </w:r>
      <w:r w:rsidR="00C24393">
        <w:rPr>
          <w:rFonts w:ascii="Times New Roman" w:eastAsia="Times New Roman" w:hAnsi="Times New Roman"/>
          <w:sz w:val="24"/>
        </w:rPr>
        <w:t>-</w:t>
      </w:r>
      <w:r w:rsidR="00597E42" w:rsidRPr="00CB2CB5">
        <w:rPr>
          <w:rFonts w:ascii="Times New Roman" w:eastAsia="Times New Roman" w:hAnsi="Times New Roman"/>
          <w:sz w:val="24"/>
        </w:rPr>
        <w:t xml:space="preserve">effective </w:t>
      </w:r>
      <w:r w:rsidR="003C12C8" w:rsidRPr="00CB2CB5">
        <w:rPr>
          <w:rFonts w:ascii="Times New Roman" w:eastAsia="Times New Roman" w:hAnsi="Times New Roman"/>
          <w:sz w:val="24"/>
        </w:rPr>
        <w:t xml:space="preserve">integrated resource portfolio </w:t>
      </w:r>
      <w:r w:rsidR="00661BF6" w:rsidRPr="00CB2CB5">
        <w:rPr>
          <w:rFonts w:ascii="Times New Roman" w:eastAsia="Times New Roman" w:hAnsi="Times New Roman"/>
          <w:sz w:val="24"/>
        </w:rPr>
        <w:t>to</w:t>
      </w:r>
      <w:r w:rsidR="003C12C8" w:rsidRPr="00CB2CB5">
        <w:rPr>
          <w:rFonts w:ascii="Times New Roman" w:eastAsia="Times New Roman" w:hAnsi="Times New Roman"/>
          <w:sz w:val="24"/>
        </w:rPr>
        <w:t xml:space="preserve"> </w:t>
      </w:r>
      <w:r w:rsidR="00597E42" w:rsidRPr="00CB2CB5">
        <w:rPr>
          <w:rFonts w:ascii="Times New Roman" w:eastAsia="Times New Roman" w:hAnsi="Times New Roman"/>
          <w:sz w:val="24"/>
        </w:rPr>
        <w:t>supply</w:t>
      </w:r>
      <w:r w:rsidR="002740B0" w:rsidRPr="00CB2CB5">
        <w:rPr>
          <w:rFonts w:ascii="Times New Roman" w:eastAsia="Times New Roman" w:hAnsi="Times New Roman"/>
          <w:sz w:val="24"/>
        </w:rPr>
        <w:t xml:space="preserve"> </w:t>
      </w:r>
      <w:r w:rsidR="003C12C8" w:rsidRPr="00CB2CB5">
        <w:rPr>
          <w:rFonts w:ascii="Times New Roman" w:eastAsia="Times New Roman" w:hAnsi="Times New Roman"/>
          <w:sz w:val="24"/>
        </w:rPr>
        <w:t>safe, reliabl</w:t>
      </w:r>
      <w:r w:rsidR="002740B0" w:rsidRPr="00CB2CB5">
        <w:rPr>
          <w:rFonts w:ascii="Times New Roman" w:eastAsia="Times New Roman" w:hAnsi="Times New Roman"/>
          <w:sz w:val="24"/>
        </w:rPr>
        <w:t>e</w:t>
      </w:r>
      <w:r w:rsidR="003C12C8" w:rsidRPr="00CB2CB5">
        <w:rPr>
          <w:rFonts w:ascii="Times New Roman" w:eastAsia="Times New Roman" w:hAnsi="Times New Roman"/>
          <w:sz w:val="24"/>
        </w:rPr>
        <w:t xml:space="preserve">, </w:t>
      </w:r>
      <w:r w:rsidR="00727B69" w:rsidRPr="00CB2CB5">
        <w:rPr>
          <w:rFonts w:ascii="Times New Roman" w:eastAsia="Times New Roman" w:hAnsi="Times New Roman"/>
          <w:sz w:val="24"/>
        </w:rPr>
        <w:t xml:space="preserve">and </w:t>
      </w:r>
      <w:r w:rsidR="003C12C8" w:rsidRPr="00CB2CB5">
        <w:rPr>
          <w:rFonts w:ascii="Times New Roman" w:eastAsia="Times New Roman" w:hAnsi="Times New Roman"/>
          <w:sz w:val="24"/>
        </w:rPr>
        <w:t>environmentally conscientious</w:t>
      </w:r>
      <w:r w:rsidR="00597E42" w:rsidRPr="00CB2CB5">
        <w:rPr>
          <w:rFonts w:ascii="Times New Roman" w:eastAsia="Times New Roman" w:hAnsi="Times New Roman"/>
          <w:sz w:val="24"/>
        </w:rPr>
        <w:t xml:space="preserve"> energy</w:t>
      </w:r>
      <w:r w:rsidR="002740B0" w:rsidRPr="00CB2CB5">
        <w:rPr>
          <w:rFonts w:ascii="Times New Roman" w:eastAsia="Times New Roman" w:hAnsi="Times New Roman"/>
          <w:sz w:val="24"/>
        </w:rPr>
        <w:t xml:space="preserve"> to meet the needs </w:t>
      </w:r>
      <w:r w:rsidR="003C12C8" w:rsidRPr="00CB2CB5">
        <w:rPr>
          <w:rFonts w:ascii="Times New Roman" w:eastAsia="Times New Roman" w:hAnsi="Times New Roman"/>
          <w:sz w:val="24"/>
        </w:rPr>
        <w:t>of EPE</w:t>
      </w:r>
      <w:r w:rsidR="00B81EE4" w:rsidRPr="00CB2CB5">
        <w:rPr>
          <w:rFonts w:ascii="Times New Roman" w:eastAsia="Times New Roman" w:hAnsi="Times New Roman"/>
          <w:sz w:val="24"/>
        </w:rPr>
        <w:t>'</w:t>
      </w:r>
      <w:r w:rsidR="003C12C8" w:rsidRPr="00CB2CB5">
        <w:rPr>
          <w:rFonts w:ascii="Times New Roman" w:eastAsia="Times New Roman" w:hAnsi="Times New Roman"/>
          <w:sz w:val="24"/>
        </w:rPr>
        <w:t xml:space="preserve">s customers for the next twenty years.  </w:t>
      </w:r>
      <w:r w:rsidR="00437925" w:rsidRPr="00CB2CB5">
        <w:rPr>
          <w:rFonts w:ascii="Times New Roman" w:eastAsia="Times New Roman" w:hAnsi="Times New Roman"/>
          <w:sz w:val="24"/>
        </w:rPr>
        <w:t>T</w:t>
      </w:r>
      <w:r w:rsidR="003C12C8" w:rsidRPr="00CB2CB5">
        <w:rPr>
          <w:rFonts w:ascii="Times New Roman" w:eastAsia="Times New Roman" w:hAnsi="Times New Roman"/>
          <w:sz w:val="24"/>
        </w:rPr>
        <w:t xml:space="preserve">he purpose of the </w:t>
      </w:r>
      <w:r w:rsidR="00437925" w:rsidRPr="00CB2CB5">
        <w:rPr>
          <w:rFonts w:ascii="Times New Roman" w:eastAsia="Times New Roman" w:hAnsi="Times New Roman"/>
          <w:sz w:val="24"/>
        </w:rPr>
        <w:t xml:space="preserve">IRP </w:t>
      </w:r>
      <w:r w:rsidR="003C12C8" w:rsidRPr="00CB2CB5">
        <w:rPr>
          <w:rFonts w:ascii="Times New Roman" w:eastAsia="Times New Roman" w:hAnsi="Times New Roman"/>
          <w:sz w:val="24"/>
        </w:rPr>
        <w:t>Rule</w:t>
      </w:r>
      <w:r w:rsidR="00437925" w:rsidRPr="00CB2CB5">
        <w:rPr>
          <w:rFonts w:ascii="Times New Roman" w:eastAsia="Times New Roman" w:hAnsi="Times New Roman"/>
          <w:sz w:val="24"/>
        </w:rPr>
        <w:t xml:space="preserve"> is</w:t>
      </w:r>
      <w:r w:rsidR="003C12C8" w:rsidRPr="00CB2CB5">
        <w:rPr>
          <w:rFonts w:ascii="Times New Roman" w:eastAsia="Times New Roman" w:hAnsi="Times New Roman"/>
          <w:sz w:val="24"/>
        </w:rPr>
        <w:t>:</w:t>
      </w:r>
    </w:p>
    <w:p w14:paraId="1633483C" w14:textId="77777777" w:rsidR="003C12C8" w:rsidRPr="00CB2CB5" w:rsidRDefault="003C12C8" w:rsidP="008759DE">
      <w:pPr>
        <w:pStyle w:val="ListParagraph"/>
        <w:keepNext/>
        <w:keepLines/>
        <w:spacing w:after="0" w:line="276" w:lineRule="auto"/>
        <w:ind w:left="0"/>
        <w:contextualSpacing w:val="0"/>
        <w:jc w:val="both"/>
        <w:rPr>
          <w:rFonts w:ascii="Times New Roman" w:eastAsia="Times New Roman" w:hAnsi="Times New Roman"/>
          <w:sz w:val="24"/>
        </w:rPr>
      </w:pPr>
    </w:p>
    <w:p w14:paraId="4866E197" w14:textId="77777777" w:rsidR="003C12C8" w:rsidRPr="00CB2CB5" w:rsidRDefault="00EB31CB" w:rsidP="008759DE">
      <w:pPr>
        <w:pStyle w:val="ListParagraph"/>
        <w:keepNext/>
        <w:keepLines/>
        <w:spacing w:after="0" w:line="276" w:lineRule="auto"/>
        <w:ind w:left="1080" w:right="1170"/>
        <w:contextualSpacing w:val="0"/>
        <w:jc w:val="both"/>
        <w:rPr>
          <w:rFonts w:ascii="Times New Roman" w:eastAsia="Times New Roman" w:hAnsi="Times New Roman"/>
          <w:i/>
          <w:sz w:val="24"/>
        </w:rPr>
      </w:pPr>
      <w:r w:rsidRPr="00CB2CB5">
        <w:rPr>
          <w:rFonts w:ascii="Times New Roman" w:eastAsia="Times New Roman" w:hAnsi="Times New Roman"/>
          <w:i/>
          <w:sz w:val="24"/>
        </w:rPr>
        <w:t>"</w:t>
      </w:r>
      <w:r w:rsidR="003C12C8" w:rsidRPr="00CB2CB5">
        <w:rPr>
          <w:rFonts w:ascii="Times New Roman" w:eastAsia="Times New Roman" w:hAnsi="Times New Roman"/>
          <w:i/>
          <w:sz w:val="24"/>
        </w:rPr>
        <w:t>…</w:t>
      </w:r>
      <w:r w:rsidR="00C66A37" w:rsidRPr="00CB2CB5">
        <w:rPr>
          <w:rFonts w:ascii="Times New Roman" w:hAnsi="Times New Roman"/>
          <w:i/>
          <w:sz w:val="24"/>
        </w:rPr>
        <w:t>to identify the most cost-</w:t>
      </w:r>
      <w:r w:rsidR="003C12C8" w:rsidRPr="00CB2CB5">
        <w:rPr>
          <w:rFonts w:ascii="Times New Roman" w:hAnsi="Times New Roman"/>
          <w:i/>
          <w:sz w:val="24"/>
        </w:rPr>
        <w:t>effective portfolio of resources to supply the energy needs of customers.  For resources whose costs and service quality are equivalent, the utility should prefer resources that minimize environmental impacts.</w:t>
      </w:r>
      <w:r w:rsidRPr="00CB2CB5">
        <w:rPr>
          <w:rFonts w:ascii="Times New Roman" w:hAnsi="Times New Roman"/>
          <w:i/>
          <w:sz w:val="24"/>
        </w:rPr>
        <w:t>"</w:t>
      </w:r>
    </w:p>
    <w:p w14:paraId="2DE935BF" w14:textId="77777777" w:rsidR="003C12C8" w:rsidRPr="00CB2CB5" w:rsidRDefault="003C12C8" w:rsidP="00192CA0">
      <w:pPr>
        <w:pStyle w:val="ListParagraph"/>
        <w:spacing w:after="0" w:line="276" w:lineRule="auto"/>
        <w:ind w:left="0"/>
        <w:contextualSpacing w:val="0"/>
        <w:jc w:val="both"/>
        <w:rPr>
          <w:rFonts w:ascii="Times New Roman" w:eastAsia="Times New Roman" w:hAnsi="Times New Roman"/>
          <w:sz w:val="24"/>
        </w:rPr>
      </w:pPr>
    </w:p>
    <w:p w14:paraId="66BFBCB2" w14:textId="77777777" w:rsidR="003C12C8" w:rsidRPr="00CB2CB5" w:rsidRDefault="003C12C8" w:rsidP="00192CA0">
      <w:pPr>
        <w:pStyle w:val="ListParagraph"/>
        <w:keepNext/>
        <w:keepLines/>
        <w:tabs>
          <w:tab w:val="left" w:pos="1080"/>
        </w:tabs>
        <w:spacing w:after="0" w:line="276" w:lineRule="auto"/>
        <w:ind w:left="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Section 10 of the </w:t>
      </w:r>
      <w:proofErr w:type="spellStart"/>
      <w:r w:rsidRPr="00CB2CB5">
        <w:rPr>
          <w:rFonts w:ascii="Times New Roman" w:eastAsia="Times New Roman" w:hAnsi="Times New Roman"/>
          <w:sz w:val="24"/>
        </w:rPr>
        <w:t>EUEA</w:t>
      </w:r>
      <w:proofErr w:type="spellEnd"/>
      <w:r w:rsidRPr="00CB2CB5">
        <w:rPr>
          <w:rFonts w:ascii="Times New Roman" w:eastAsia="Times New Roman" w:hAnsi="Times New Roman"/>
          <w:sz w:val="24"/>
        </w:rPr>
        <w:t xml:space="preserve"> calls for the periodic filing of an IRP with the Comm</w:t>
      </w:r>
      <w:r w:rsidR="00A94DF7" w:rsidRPr="00CB2CB5">
        <w:rPr>
          <w:rFonts w:ascii="Times New Roman" w:eastAsia="Times New Roman" w:hAnsi="Times New Roman"/>
          <w:sz w:val="24"/>
        </w:rPr>
        <w:t xml:space="preserve">ission. </w:t>
      </w:r>
      <w:r w:rsidR="000F3C43" w:rsidRPr="00CB2CB5">
        <w:rPr>
          <w:rFonts w:ascii="Times New Roman" w:eastAsia="Times New Roman" w:hAnsi="Times New Roman"/>
          <w:sz w:val="24"/>
        </w:rPr>
        <w:t xml:space="preserve"> </w:t>
      </w:r>
      <w:r w:rsidR="00A94DF7" w:rsidRPr="00CB2CB5">
        <w:rPr>
          <w:rFonts w:ascii="Times New Roman" w:eastAsia="Times New Roman" w:hAnsi="Times New Roman"/>
          <w:sz w:val="24"/>
        </w:rPr>
        <w:t>The</w:t>
      </w:r>
      <w:r w:rsidR="00437925" w:rsidRPr="00CB2CB5">
        <w:rPr>
          <w:rFonts w:ascii="Times New Roman" w:eastAsia="Times New Roman" w:hAnsi="Times New Roman"/>
          <w:sz w:val="24"/>
        </w:rPr>
        <w:t xml:space="preserve"> </w:t>
      </w:r>
      <w:r w:rsidRPr="00CB2CB5">
        <w:rPr>
          <w:rFonts w:ascii="Times New Roman" w:eastAsia="Times New Roman" w:hAnsi="Times New Roman"/>
          <w:sz w:val="24"/>
        </w:rPr>
        <w:t>IRP Rule requires that the following information be included in a</w:t>
      </w:r>
      <w:r w:rsidR="00437925" w:rsidRPr="00CB2CB5">
        <w:rPr>
          <w:rFonts w:ascii="Times New Roman" w:eastAsia="Times New Roman" w:hAnsi="Times New Roman"/>
          <w:sz w:val="24"/>
        </w:rPr>
        <w:t>n electric</w:t>
      </w:r>
      <w:r w:rsidRPr="00CB2CB5">
        <w:rPr>
          <w:rFonts w:ascii="Times New Roman" w:eastAsia="Times New Roman" w:hAnsi="Times New Roman"/>
          <w:sz w:val="24"/>
        </w:rPr>
        <w:t xml:space="preserve"> utility's IRP:</w:t>
      </w:r>
    </w:p>
    <w:p w14:paraId="64B6F079" w14:textId="77777777" w:rsidR="003635C0" w:rsidRPr="00CB2CB5" w:rsidRDefault="003635C0" w:rsidP="00192CA0">
      <w:pPr>
        <w:pStyle w:val="ListParagraph"/>
        <w:keepNext/>
        <w:keepLines/>
        <w:tabs>
          <w:tab w:val="left" w:pos="1080"/>
        </w:tabs>
        <w:spacing w:after="0" w:line="276" w:lineRule="auto"/>
        <w:ind w:left="0"/>
        <w:contextualSpacing w:val="0"/>
        <w:jc w:val="both"/>
        <w:rPr>
          <w:rFonts w:ascii="Times New Roman" w:eastAsia="Times New Roman" w:hAnsi="Times New Roman"/>
          <w:sz w:val="24"/>
        </w:rPr>
      </w:pPr>
    </w:p>
    <w:p w14:paraId="59343CCE" w14:textId="77777777" w:rsidR="003C12C8" w:rsidRPr="00CB2CB5" w:rsidRDefault="00422601"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a d</w:t>
      </w:r>
      <w:r w:rsidR="003C12C8" w:rsidRPr="00CB2CB5">
        <w:rPr>
          <w:rFonts w:ascii="Times New Roman" w:eastAsia="Times New Roman" w:hAnsi="Times New Roman"/>
          <w:sz w:val="24"/>
        </w:rPr>
        <w:t>escription of existing electric supply-side and demand-side resources</w:t>
      </w:r>
      <w:r w:rsidR="00670B60" w:rsidRPr="00CB2CB5">
        <w:rPr>
          <w:rFonts w:ascii="Times New Roman" w:eastAsia="Times New Roman" w:hAnsi="Times New Roman"/>
          <w:sz w:val="24"/>
        </w:rPr>
        <w:t>,</w:t>
      </w:r>
    </w:p>
    <w:p w14:paraId="440D856D" w14:textId="77777777" w:rsidR="003C12C8" w:rsidRPr="00CB2CB5" w:rsidRDefault="00422601"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a c</w:t>
      </w:r>
      <w:r w:rsidR="003C12C8" w:rsidRPr="00CB2CB5">
        <w:rPr>
          <w:rFonts w:ascii="Times New Roman" w:eastAsia="Times New Roman" w:hAnsi="Times New Roman"/>
          <w:sz w:val="24"/>
        </w:rPr>
        <w:t xml:space="preserve">urrent load forecast as described in this </w:t>
      </w:r>
      <w:r w:rsidR="00505BC3" w:rsidRPr="00CB2CB5">
        <w:rPr>
          <w:rFonts w:ascii="Times New Roman" w:eastAsia="Times New Roman" w:hAnsi="Times New Roman"/>
          <w:sz w:val="24"/>
        </w:rPr>
        <w:t>R</w:t>
      </w:r>
      <w:r w:rsidR="003C12C8" w:rsidRPr="00CB2CB5">
        <w:rPr>
          <w:rFonts w:ascii="Times New Roman" w:eastAsia="Times New Roman" w:hAnsi="Times New Roman"/>
          <w:sz w:val="24"/>
        </w:rPr>
        <w:t>ule</w:t>
      </w:r>
      <w:r w:rsidR="00670B60" w:rsidRPr="00CB2CB5">
        <w:rPr>
          <w:rFonts w:ascii="Times New Roman" w:eastAsia="Times New Roman" w:hAnsi="Times New Roman"/>
          <w:sz w:val="24"/>
        </w:rPr>
        <w:t>,</w:t>
      </w:r>
    </w:p>
    <w:p w14:paraId="55C4713A" w14:textId="77777777" w:rsidR="003C12C8" w:rsidRPr="00CB2CB5" w:rsidRDefault="00422601"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a l</w:t>
      </w:r>
      <w:r w:rsidR="003C12C8" w:rsidRPr="00CB2CB5">
        <w:rPr>
          <w:rFonts w:ascii="Times New Roman" w:eastAsia="Times New Roman" w:hAnsi="Times New Roman"/>
          <w:sz w:val="24"/>
        </w:rPr>
        <w:t>oad and resources table</w:t>
      </w:r>
      <w:r w:rsidR="00670B60" w:rsidRPr="00CB2CB5">
        <w:rPr>
          <w:rFonts w:ascii="Times New Roman" w:eastAsia="Times New Roman" w:hAnsi="Times New Roman"/>
          <w:sz w:val="24"/>
        </w:rPr>
        <w:t>,</w:t>
      </w:r>
    </w:p>
    <w:p w14:paraId="6C38949C" w14:textId="77777777" w:rsidR="003C12C8" w:rsidRPr="00CB2CB5" w:rsidRDefault="00422601"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the i</w:t>
      </w:r>
      <w:r w:rsidR="003C12C8" w:rsidRPr="00CB2CB5">
        <w:rPr>
          <w:rFonts w:ascii="Times New Roman" w:eastAsia="Times New Roman" w:hAnsi="Times New Roman"/>
          <w:sz w:val="24"/>
        </w:rPr>
        <w:t>dentification of resource options</w:t>
      </w:r>
      <w:r w:rsidR="00670B60" w:rsidRPr="00CB2CB5">
        <w:rPr>
          <w:rFonts w:ascii="Times New Roman" w:eastAsia="Times New Roman" w:hAnsi="Times New Roman"/>
          <w:sz w:val="24"/>
        </w:rPr>
        <w:t>,</w:t>
      </w:r>
    </w:p>
    <w:p w14:paraId="51AA1D02" w14:textId="77777777" w:rsidR="003C12C8" w:rsidRPr="00CB2CB5" w:rsidRDefault="00422601"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a d</w:t>
      </w:r>
      <w:r w:rsidR="003C12C8" w:rsidRPr="00CB2CB5">
        <w:rPr>
          <w:rFonts w:ascii="Times New Roman" w:eastAsia="Times New Roman" w:hAnsi="Times New Roman"/>
          <w:sz w:val="24"/>
        </w:rPr>
        <w:t>escription of the resource and fuel diversity</w:t>
      </w:r>
      <w:r w:rsidR="00670B60" w:rsidRPr="00CB2CB5">
        <w:rPr>
          <w:rFonts w:ascii="Times New Roman" w:eastAsia="Times New Roman" w:hAnsi="Times New Roman"/>
          <w:sz w:val="24"/>
        </w:rPr>
        <w:t>,</w:t>
      </w:r>
    </w:p>
    <w:p w14:paraId="0627A4C8" w14:textId="77777777" w:rsidR="003C12C8" w:rsidRPr="00CB2CB5" w:rsidRDefault="001F130E"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the i</w:t>
      </w:r>
      <w:r w:rsidR="003C12C8" w:rsidRPr="00CB2CB5">
        <w:rPr>
          <w:rFonts w:ascii="Times New Roman" w:eastAsia="Times New Roman" w:hAnsi="Times New Roman"/>
          <w:sz w:val="24"/>
        </w:rPr>
        <w:t>dentification of critical facilities susceptible to supply-source or other failures</w:t>
      </w:r>
      <w:r w:rsidR="00670B60" w:rsidRPr="00CB2CB5">
        <w:rPr>
          <w:rFonts w:ascii="Times New Roman" w:eastAsia="Times New Roman" w:hAnsi="Times New Roman"/>
          <w:sz w:val="24"/>
        </w:rPr>
        <w:t>,</w:t>
      </w:r>
    </w:p>
    <w:p w14:paraId="39E931F9" w14:textId="77777777" w:rsidR="003C12C8" w:rsidRPr="00CB2CB5" w:rsidRDefault="001F130E"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the d</w:t>
      </w:r>
      <w:r w:rsidR="00C66A37" w:rsidRPr="00CB2CB5">
        <w:rPr>
          <w:rFonts w:ascii="Times New Roman" w:eastAsia="Times New Roman" w:hAnsi="Times New Roman"/>
          <w:sz w:val="24"/>
        </w:rPr>
        <w:t>etermination of the most cost-</w:t>
      </w:r>
      <w:r w:rsidR="003C12C8" w:rsidRPr="00CB2CB5">
        <w:rPr>
          <w:rFonts w:ascii="Times New Roman" w:eastAsia="Times New Roman" w:hAnsi="Times New Roman"/>
          <w:sz w:val="24"/>
        </w:rPr>
        <w:t>effective resource portfolio and alternative portfolios</w:t>
      </w:r>
      <w:r w:rsidR="00670B60" w:rsidRPr="00CB2CB5">
        <w:rPr>
          <w:rFonts w:ascii="Times New Roman" w:eastAsia="Times New Roman" w:hAnsi="Times New Roman"/>
          <w:sz w:val="24"/>
        </w:rPr>
        <w:t>,</w:t>
      </w:r>
    </w:p>
    <w:p w14:paraId="422EE277" w14:textId="77777777" w:rsidR="003C12C8" w:rsidRPr="00CB2CB5" w:rsidRDefault="001F130E"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a d</w:t>
      </w:r>
      <w:r w:rsidR="003C12C8" w:rsidRPr="00CB2CB5">
        <w:rPr>
          <w:rFonts w:ascii="Times New Roman" w:eastAsia="Times New Roman" w:hAnsi="Times New Roman"/>
          <w:sz w:val="24"/>
        </w:rPr>
        <w:t xml:space="preserve">escription of </w:t>
      </w:r>
      <w:r w:rsidR="00C2233E" w:rsidRPr="00CB2CB5">
        <w:rPr>
          <w:rFonts w:ascii="Times New Roman" w:eastAsia="Times New Roman" w:hAnsi="Times New Roman"/>
          <w:sz w:val="24"/>
        </w:rPr>
        <w:t>the P</w:t>
      </w:r>
      <w:r w:rsidR="003C12C8" w:rsidRPr="00CB2CB5">
        <w:rPr>
          <w:rFonts w:ascii="Times New Roman" w:eastAsia="Times New Roman" w:hAnsi="Times New Roman"/>
          <w:sz w:val="24"/>
        </w:rPr>
        <w:t xml:space="preserve">ublic </w:t>
      </w:r>
      <w:r w:rsidR="00C2233E" w:rsidRPr="00CB2CB5">
        <w:rPr>
          <w:rFonts w:ascii="Times New Roman" w:eastAsia="Times New Roman" w:hAnsi="Times New Roman"/>
          <w:sz w:val="24"/>
        </w:rPr>
        <w:t>P</w:t>
      </w:r>
      <w:r w:rsidR="003C12C8" w:rsidRPr="00CB2CB5">
        <w:rPr>
          <w:rFonts w:ascii="Times New Roman" w:eastAsia="Times New Roman" w:hAnsi="Times New Roman"/>
          <w:sz w:val="24"/>
        </w:rPr>
        <w:t>rocess</w:t>
      </w:r>
      <w:r w:rsidR="00670B60" w:rsidRPr="00CB2CB5">
        <w:rPr>
          <w:rFonts w:ascii="Times New Roman" w:eastAsia="Times New Roman" w:hAnsi="Times New Roman"/>
          <w:sz w:val="24"/>
        </w:rPr>
        <w:t>,</w:t>
      </w:r>
    </w:p>
    <w:p w14:paraId="1BB2D43D" w14:textId="77777777" w:rsidR="003C12C8" w:rsidRPr="00CB2CB5" w:rsidRDefault="001F130E"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an a</w:t>
      </w:r>
      <w:r w:rsidR="003C12C8" w:rsidRPr="00CB2CB5">
        <w:rPr>
          <w:rFonts w:ascii="Times New Roman" w:eastAsia="Times New Roman" w:hAnsi="Times New Roman"/>
          <w:sz w:val="24"/>
        </w:rPr>
        <w:t>ction plan</w:t>
      </w:r>
      <w:r w:rsidR="00670B60" w:rsidRPr="00CB2CB5">
        <w:rPr>
          <w:rFonts w:ascii="Times New Roman" w:eastAsia="Times New Roman" w:hAnsi="Times New Roman"/>
          <w:sz w:val="24"/>
        </w:rPr>
        <w:t>,</w:t>
      </w:r>
      <w:r w:rsidR="003C12C8" w:rsidRPr="00CB2CB5">
        <w:rPr>
          <w:rFonts w:ascii="Times New Roman" w:eastAsia="Times New Roman" w:hAnsi="Times New Roman"/>
          <w:sz w:val="24"/>
        </w:rPr>
        <w:t xml:space="preserve"> and</w:t>
      </w:r>
    </w:p>
    <w:p w14:paraId="3684D5F1" w14:textId="77777777" w:rsidR="003C12C8" w:rsidRPr="00CB2CB5" w:rsidRDefault="001F130E" w:rsidP="00192CA0">
      <w:pPr>
        <w:pStyle w:val="ListParagraph"/>
        <w:numPr>
          <w:ilvl w:val="0"/>
          <w:numId w:val="16"/>
        </w:numPr>
        <w:spacing w:after="0" w:line="276" w:lineRule="auto"/>
        <w:ind w:left="360"/>
        <w:contextualSpacing w:val="0"/>
        <w:jc w:val="both"/>
        <w:rPr>
          <w:rFonts w:ascii="Times New Roman" w:eastAsia="Times New Roman" w:hAnsi="Times New Roman"/>
          <w:sz w:val="24"/>
        </w:rPr>
      </w:pPr>
      <w:r w:rsidRPr="00CB2CB5">
        <w:rPr>
          <w:rFonts w:ascii="Times New Roman" w:eastAsia="Times New Roman" w:hAnsi="Times New Roman"/>
          <w:sz w:val="24"/>
        </w:rPr>
        <w:t>o</w:t>
      </w:r>
      <w:r w:rsidR="003C12C8" w:rsidRPr="00CB2CB5">
        <w:rPr>
          <w:rFonts w:ascii="Times New Roman" w:eastAsia="Times New Roman" w:hAnsi="Times New Roman"/>
          <w:sz w:val="24"/>
        </w:rPr>
        <w:t xml:space="preserve">ther information that the utility finds may aid the </w:t>
      </w:r>
      <w:r w:rsidR="00657A6A" w:rsidRPr="00CB2CB5">
        <w:rPr>
          <w:rFonts w:ascii="Times New Roman" w:eastAsia="Times New Roman" w:hAnsi="Times New Roman"/>
          <w:sz w:val="24"/>
        </w:rPr>
        <w:t>C</w:t>
      </w:r>
      <w:r w:rsidR="003C12C8" w:rsidRPr="00CB2CB5">
        <w:rPr>
          <w:rFonts w:ascii="Times New Roman" w:eastAsia="Times New Roman" w:hAnsi="Times New Roman"/>
          <w:sz w:val="24"/>
        </w:rPr>
        <w:t>ommission in reviewing the</w:t>
      </w:r>
      <w:r w:rsidR="007A5098" w:rsidRPr="00CB2CB5">
        <w:rPr>
          <w:rFonts w:ascii="Times New Roman" w:eastAsia="Times New Roman" w:hAnsi="Times New Roman"/>
          <w:sz w:val="24"/>
        </w:rPr>
        <w:t xml:space="preserve"> </w:t>
      </w:r>
      <w:r w:rsidR="003C12C8" w:rsidRPr="00CB2CB5">
        <w:rPr>
          <w:rFonts w:ascii="Times New Roman" w:eastAsia="Times New Roman" w:hAnsi="Times New Roman"/>
          <w:sz w:val="24"/>
        </w:rPr>
        <w:t>utility's planning processes.</w:t>
      </w:r>
    </w:p>
    <w:p w14:paraId="211057B8" w14:textId="77777777" w:rsidR="003C12C8" w:rsidRPr="00CB2CB5" w:rsidRDefault="003C12C8" w:rsidP="00192CA0">
      <w:pPr>
        <w:pStyle w:val="ListParagraph"/>
        <w:tabs>
          <w:tab w:val="left" w:pos="1080"/>
        </w:tabs>
        <w:spacing w:after="0" w:line="276" w:lineRule="auto"/>
        <w:ind w:left="0"/>
        <w:contextualSpacing w:val="0"/>
        <w:jc w:val="both"/>
        <w:rPr>
          <w:rFonts w:ascii="Times New Roman" w:eastAsia="Times New Roman" w:hAnsi="Times New Roman"/>
          <w:sz w:val="24"/>
        </w:rPr>
      </w:pPr>
    </w:p>
    <w:p w14:paraId="0B01E72B" w14:textId="796B04E0" w:rsidR="003C12C8" w:rsidRPr="00CB2CB5" w:rsidRDefault="00437925" w:rsidP="00192CA0">
      <w:pPr>
        <w:pStyle w:val="ListParagraph"/>
        <w:spacing w:after="0" w:line="276" w:lineRule="auto"/>
        <w:ind w:left="0"/>
        <w:contextualSpacing w:val="0"/>
        <w:jc w:val="both"/>
        <w:rPr>
          <w:rFonts w:ascii="Times New Roman" w:eastAsia="Times New Roman" w:hAnsi="Times New Roman"/>
          <w:sz w:val="24"/>
        </w:rPr>
      </w:pPr>
      <w:r w:rsidRPr="00CB2CB5">
        <w:rPr>
          <w:rFonts w:ascii="Times New Roman" w:eastAsia="Times New Roman" w:hAnsi="Times New Roman"/>
          <w:sz w:val="24"/>
        </w:rPr>
        <w:lastRenderedPageBreak/>
        <w:t>Statutory e</w:t>
      </w:r>
      <w:r w:rsidR="002740B0" w:rsidRPr="00CB2CB5">
        <w:rPr>
          <w:rFonts w:ascii="Times New Roman" w:eastAsia="Times New Roman" w:hAnsi="Times New Roman"/>
          <w:sz w:val="24"/>
        </w:rPr>
        <w:t xml:space="preserve">nergy efficiency </w:t>
      </w:r>
      <w:r w:rsidR="0049146A">
        <w:rPr>
          <w:rFonts w:ascii="Times New Roman" w:eastAsia="Times New Roman" w:hAnsi="Times New Roman"/>
          <w:sz w:val="24"/>
        </w:rPr>
        <w:t xml:space="preserve">and load management </w:t>
      </w:r>
      <w:r w:rsidR="002740B0" w:rsidRPr="00CB2CB5">
        <w:rPr>
          <w:rFonts w:ascii="Times New Roman" w:eastAsia="Times New Roman" w:hAnsi="Times New Roman"/>
          <w:sz w:val="24"/>
        </w:rPr>
        <w:t xml:space="preserve">goals and renewable energy </w:t>
      </w:r>
      <w:r w:rsidR="00AE6D11" w:rsidRPr="00CB2CB5">
        <w:rPr>
          <w:rFonts w:ascii="Times New Roman" w:eastAsia="Times New Roman" w:hAnsi="Times New Roman"/>
          <w:sz w:val="24"/>
        </w:rPr>
        <w:t>standards</w:t>
      </w:r>
      <w:r w:rsidR="002740B0" w:rsidRPr="00CB2CB5">
        <w:rPr>
          <w:rFonts w:ascii="Times New Roman" w:eastAsia="Times New Roman" w:hAnsi="Times New Roman"/>
          <w:sz w:val="24"/>
        </w:rPr>
        <w:t xml:space="preserve"> are incorporated into </w:t>
      </w:r>
      <w:r w:rsidR="00670B60" w:rsidRPr="00CB2CB5">
        <w:rPr>
          <w:rFonts w:ascii="Times New Roman" w:eastAsia="Times New Roman" w:hAnsi="Times New Roman"/>
          <w:sz w:val="24"/>
        </w:rPr>
        <w:t>the Planning Process</w:t>
      </w:r>
      <w:r w:rsidR="002740B0" w:rsidRPr="00CB2CB5">
        <w:rPr>
          <w:rFonts w:ascii="Times New Roman" w:eastAsia="Times New Roman" w:hAnsi="Times New Roman"/>
          <w:sz w:val="24"/>
        </w:rPr>
        <w:t>.</w:t>
      </w:r>
      <w:r w:rsidR="00146C45" w:rsidRPr="00CB2CB5">
        <w:rPr>
          <w:rFonts w:ascii="Times New Roman" w:eastAsia="Times New Roman" w:hAnsi="Times New Roman"/>
          <w:sz w:val="24"/>
        </w:rPr>
        <w:t xml:space="preserve"> </w:t>
      </w:r>
      <w:r w:rsidR="002740B0" w:rsidRPr="00CB2CB5">
        <w:rPr>
          <w:rFonts w:ascii="Times New Roman" w:eastAsia="Times New Roman" w:hAnsi="Times New Roman"/>
          <w:sz w:val="24"/>
        </w:rPr>
        <w:t xml:space="preserve"> </w:t>
      </w:r>
      <w:r w:rsidR="00670B60" w:rsidRPr="00CB2CB5">
        <w:rPr>
          <w:rFonts w:ascii="Times New Roman" w:eastAsia="Times New Roman" w:hAnsi="Times New Roman"/>
          <w:sz w:val="24"/>
        </w:rPr>
        <w:t xml:space="preserve">EPE evaluated </w:t>
      </w:r>
      <w:r w:rsidR="004C7D0D" w:rsidRPr="00CB2CB5">
        <w:rPr>
          <w:rFonts w:ascii="Times New Roman" w:eastAsia="Times New Roman" w:hAnsi="Times New Roman"/>
          <w:sz w:val="24"/>
        </w:rPr>
        <w:t>renewable</w:t>
      </w:r>
      <w:r w:rsidR="00463AC9">
        <w:rPr>
          <w:rFonts w:ascii="Times New Roman" w:eastAsia="Times New Roman" w:hAnsi="Times New Roman"/>
          <w:sz w:val="24"/>
        </w:rPr>
        <w:t xml:space="preserve"> energy resources</w:t>
      </w:r>
      <w:r w:rsidR="00654785">
        <w:rPr>
          <w:rFonts w:ascii="Times New Roman" w:eastAsia="Times New Roman" w:hAnsi="Times New Roman"/>
          <w:sz w:val="24"/>
        </w:rPr>
        <w:t>,</w:t>
      </w:r>
      <w:r w:rsidR="004C7D0D" w:rsidRPr="00CB2CB5">
        <w:rPr>
          <w:rFonts w:ascii="Times New Roman" w:eastAsia="Times New Roman" w:hAnsi="Times New Roman"/>
          <w:sz w:val="24"/>
        </w:rPr>
        <w:t xml:space="preserve"> </w:t>
      </w:r>
      <w:r w:rsidR="00AE6D11" w:rsidRPr="00CB2CB5">
        <w:rPr>
          <w:rFonts w:ascii="Times New Roman" w:eastAsia="Times New Roman" w:hAnsi="Times New Roman"/>
          <w:sz w:val="24"/>
        </w:rPr>
        <w:t>energy efficiency</w:t>
      </w:r>
      <w:r w:rsidR="00463AC9">
        <w:rPr>
          <w:rFonts w:ascii="Times New Roman" w:eastAsia="Times New Roman" w:hAnsi="Times New Roman"/>
          <w:sz w:val="24"/>
        </w:rPr>
        <w:t>,</w:t>
      </w:r>
      <w:r w:rsidR="00AE6D11" w:rsidRPr="00CB2CB5">
        <w:rPr>
          <w:rFonts w:ascii="Times New Roman" w:eastAsia="Times New Roman" w:hAnsi="Times New Roman"/>
          <w:sz w:val="24"/>
        </w:rPr>
        <w:t xml:space="preserve"> </w:t>
      </w:r>
      <w:r w:rsidR="00654785">
        <w:rPr>
          <w:rFonts w:ascii="Times New Roman" w:eastAsia="Times New Roman" w:hAnsi="Times New Roman"/>
          <w:sz w:val="24"/>
        </w:rPr>
        <w:t xml:space="preserve">and demand side management </w:t>
      </w:r>
      <w:r w:rsidR="004C7D0D" w:rsidRPr="00CB2CB5">
        <w:rPr>
          <w:rFonts w:ascii="Times New Roman" w:eastAsia="Times New Roman" w:hAnsi="Times New Roman"/>
          <w:sz w:val="24"/>
        </w:rPr>
        <w:t xml:space="preserve">resources </w:t>
      </w:r>
      <w:r w:rsidR="002E5E62">
        <w:rPr>
          <w:rFonts w:ascii="Times New Roman" w:eastAsia="Times New Roman" w:hAnsi="Times New Roman"/>
          <w:sz w:val="24"/>
        </w:rPr>
        <w:t>to meet the</w:t>
      </w:r>
      <w:r w:rsidR="00A94DF7" w:rsidRPr="00CB2CB5">
        <w:rPr>
          <w:rFonts w:ascii="Times New Roman" w:eastAsia="Times New Roman" w:hAnsi="Times New Roman"/>
          <w:sz w:val="24"/>
        </w:rPr>
        <w:t xml:space="preserve"> REA and </w:t>
      </w:r>
      <w:proofErr w:type="spellStart"/>
      <w:r w:rsidR="00A94DF7" w:rsidRPr="00CB2CB5">
        <w:rPr>
          <w:rFonts w:ascii="Times New Roman" w:eastAsia="Times New Roman" w:hAnsi="Times New Roman"/>
          <w:sz w:val="24"/>
        </w:rPr>
        <w:t>EUEA</w:t>
      </w:r>
      <w:proofErr w:type="spellEnd"/>
      <w:r w:rsidR="00A94DF7" w:rsidRPr="00CB2CB5">
        <w:rPr>
          <w:rFonts w:ascii="Times New Roman" w:eastAsia="Times New Roman" w:hAnsi="Times New Roman"/>
          <w:sz w:val="24"/>
        </w:rPr>
        <w:t xml:space="preserve"> requirements</w:t>
      </w:r>
      <w:r w:rsidR="00670B60" w:rsidRPr="00CB2CB5">
        <w:rPr>
          <w:rFonts w:ascii="Times New Roman" w:eastAsia="Times New Roman" w:hAnsi="Times New Roman"/>
          <w:sz w:val="24"/>
        </w:rPr>
        <w:t xml:space="preserve"> through the Planning Process</w:t>
      </w:r>
      <w:r w:rsidR="004C7D0D" w:rsidRPr="00CB2CB5">
        <w:rPr>
          <w:rFonts w:ascii="Times New Roman" w:eastAsia="Times New Roman" w:hAnsi="Times New Roman"/>
          <w:sz w:val="24"/>
        </w:rPr>
        <w:t xml:space="preserve">. </w:t>
      </w:r>
      <w:r w:rsidR="00146C45" w:rsidRPr="00CB2CB5">
        <w:rPr>
          <w:rFonts w:ascii="Times New Roman" w:eastAsia="Times New Roman" w:hAnsi="Times New Roman"/>
          <w:sz w:val="24"/>
        </w:rPr>
        <w:t xml:space="preserve"> </w:t>
      </w:r>
      <w:r w:rsidR="003C12C8" w:rsidRPr="00CB2CB5">
        <w:rPr>
          <w:rFonts w:ascii="Times New Roman" w:eastAsia="Times New Roman" w:hAnsi="Times New Roman"/>
          <w:sz w:val="24"/>
        </w:rPr>
        <w:t xml:space="preserve">For example, the </w:t>
      </w:r>
      <w:proofErr w:type="spellStart"/>
      <w:r w:rsidR="003C12C8" w:rsidRPr="00CB2CB5">
        <w:rPr>
          <w:rFonts w:ascii="Times New Roman" w:eastAsia="Times New Roman" w:hAnsi="Times New Roman"/>
          <w:sz w:val="24"/>
        </w:rPr>
        <w:t>EUEA</w:t>
      </w:r>
      <w:proofErr w:type="spellEnd"/>
      <w:r w:rsidR="003C12C8" w:rsidRPr="00CB2CB5">
        <w:rPr>
          <w:rFonts w:ascii="Times New Roman" w:eastAsia="Times New Roman" w:hAnsi="Times New Roman"/>
          <w:sz w:val="24"/>
        </w:rPr>
        <w:t xml:space="preserve"> establishes energy efficiency </w:t>
      </w:r>
      <w:r w:rsidR="00654785">
        <w:rPr>
          <w:rFonts w:ascii="Times New Roman" w:eastAsia="Times New Roman" w:hAnsi="Times New Roman"/>
          <w:sz w:val="24"/>
        </w:rPr>
        <w:t xml:space="preserve">and </w:t>
      </w:r>
      <w:r w:rsidR="00654785" w:rsidRPr="00654785">
        <w:rPr>
          <w:rFonts w:ascii="Times New Roman" w:eastAsia="Times New Roman" w:hAnsi="Times New Roman"/>
          <w:sz w:val="24"/>
        </w:rPr>
        <w:t xml:space="preserve">load management </w:t>
      </w:r>
      <w:r w:rsidR="003C12C8" w:rsidRPr="00CB2CB5">
        <w:rPr>
          <w:rFonts w:ascii="Times New Roman" w:eastAsia="Times New Roman" w:hAnsi="Times New Roman"/>
          <w:sz w:val="24"/>
        </w:rPr>
        <w:t xml:space="preserve">programs </w:t>
      </w:r>
      <w:r w:rsidR="002E5E62">
        <w:rPr>
          <w:rFonts w:ascii="Times New Roman" w:eastAsia="Times New Roman" w:hAnsi="Times New Roman"/>
          <w:sz w:val="24"/>
        </w:rPr>
        <w:t xml:space="preserve">that </w:t>
      </w:r>
      <w:r w:rsidR="003C12C8" w:rsidRPr="00CB2CB5">
        <w:rPr>
          <w:rFonts w:ascii="Times New Roman" w:eastAsia="Times New Roman" w:hAnsi="Times New Roman"/>
          <w:sz w:val="24"/>
        </w:rPr>
        <w:t>are approved by the Commission.</w:t>
      </w:r>
      <w:r w:rsidR="00146C45" w:rsidRPr="00CB2CB5">
        <w:rPr>
          <w:rFonts w:ascii="Times New Roman" w:eastAsia="Times New Roman" w:hAnsi="Times New Roman"/>
          <w:sz w:val="24"/>
        </w:rPr>
        <w:t xml:space="preserve"> </w:t>
      </w:r>
      <w:r w:rsidR="003C12C8" w:rsidRPr="00CB2CB5">
        <w:rPr>
          <w:rFonts w:ascii="Times New Roman" w:eastAsia="Times New Roman" w:hAnsi="Times New Roman"/>
          <w:sz w:val="24"/>
        </w:rPr>
        <w:t xml:space="preserve"> </w:t>
      </w:r>
      <w:r w:rsidR="0049146A" w:rsidRPr="0049146A">
        <w:rPr>
          <w:rFonts w:ascii="Times New Roman" w:eastAsia="Times New Roman" w:hAnsi="Times New Roman"/>
          <w:sz w:val="24"/>
        </w:rPr>
        <w:t xml:space="preserve">EPE’s </w:t>
      </w:r>
      <w:r w:rsidR="007E6AD9">
        <w:rPr>
          <w:rFonts w:ascii="Times New Roman" w:eastAsia="Times New Roman" w:hAnsi="Times New Roman"/>
          <w:sz w:val="24"/>
        </w:rPr>
        <w:t>statutory</w:t>
      </w:r>
      <w:r w:rsidR="0049146A" w:rsidRPr="0049146A">
        <w:rPr>
          <w:rFonts w:ascii="Times New Roman" w:eastAsia="Times New Roman" w:hAnsi="Times New Roman"/>
          <w:sz w:val="24"/>
        </w:rPr>
        <w:t xml:space="preserve"> goal is five percent of the 2020 retail sales by 2025.</w:t>
      </w:r>
      <w:r w:rsidR="00146C45" w:rsidRPr="00CB2CB5">
        <w:rPr>
          <w:rFonts w:ascii="Times New Roman" w:eastAsia="Times New Roman" w:hAnsi="Times New Roman"/>
          <w:sz w:val="24"/>
        </w:rPr>
        <w:t xml:space="preserve"> </w:t>
      </w:r>
      <w:r w:rsidR="003C12C8" w:rsidRPr="00CB2CB5">
        <w:rPr>
          <w:rFonts w:ascii="Times New Roman" w:eastAsia="Times New Roman" w:hAnsi="Times New Roman"/>
          <w:sz w:val="24"/>
        </w:rPr>
        <w:t>In addition</w:t>
      </w:r>
      <w:r w:rsidR="00A94DF7" w:rsidRPr="00CB2CB5">
        <w:rPr>
          <w:rFonts w:ascii="Times New Roman" w:eastAsia="Times New Roman" w:hAnsi="Times New Roman"/>
          <w:sz w:val="24"/>
        </w:rPr>
        <w:t>, t</w:t>
      </w:r>
      <w:r w:rsidR="003C12C8" w:rsidRPr="00CB2CB5">
        <w:rPr>
          <w:rFonts w:ascii="Times New Roman" w:eastAsia="Times New Roman" w:hAnsi="Times New Roman"/>
          <w:sz w:val="24"/>
        </w:rPr>
        <w:t xml:space="preserve">he REA establishes a </w:t>
      </w:r>
      <w:r w:rsidR="00AC15E9">
        <w:rPr>
          <w:rFonts w:ascii="Times New Roman" w:eastAsia="Times New Roman" w:hAnsi="Times New Roman"/>
          <w:sz w:val="24"/>
        </w:rPr>
        <w:t>renewable portfolio standard (“</w:t>
      </w:r>
      <w:r w:rsidR="00953F38">
        <w:rPr>
          <w:rFonts w:ascii="Times New Roman" w:eastAsia="Times New Roman" w:hAnsi="Times New Roman"/>
          <w:sz w:val="24"/>
        </w:rPr>
        <w:t>RPS</w:t>
      </w:r>
      <w:r w:rsidR="00AC15E9">
        <w:rPr>
          <w:rFonts w:ascii="Times New Roman" w:eastAsia="Times New Roman" w:hAnsi="Times New Roman"/>
          <w:sz w:val="24"/>
        </w:rPr>
        <w:t>”)</w:t>
      </w:r>
      <w:r w:rsidR="003C12C8" w:rsidRPr="00CB2CB5">
        <w:rPr>
          <w:rFonts w:ascii="Times New Roman" w:eastAsia="Times New Roman" w:hAnsi="Times New Roman"/>
          <w:sz w:val="24"/>
        </w:rPr>
        <w:t xml:space="preserve"> for EPE's New</w:t>
      </w:r>
      <w:r w:rsidR="007A5098" w:rsidRPr="00CB2CB5">
        <w:rPr>
          <w:rFonts w:ascii="Times New Roman" w:eastAsia="Times New Roman" w:hAnsi="Times New Roman"/>
          <w:sz w:val="24"/>
        </w:rPr>
        <w:t> </w:t>
      </w:r>
      <w:r w:rsidR="003C12C8" w:rsidRPr="00CB2CB5">
        <w:rPr>
          <w:rFonts w:ascii="Times New Roman" w:eastAsia="Times New Roman" w:hAnsi="Times New Roman"/>
          <w:sz w:val="24"/>
        </w:rPr>
        <w:t xml:space="preserve">Mexico jurisdiction, </w:t>
      </w:r>
      <w:r w:rsidR="00426325" w:rsidRPr="00CB2CB5">
        <w:rPr>
          <w:rFonts w:ascii="Times New Roman" w:eastAsia="Times New Roman" w:hAnsi="Times New Roman"/>
          <w:sz w:val="24"/>
        </w:rPr>
        <w:t xml:space="preserve">requiring an amount of renewable resources </w:t>
      </w:r>
      <w:r w:rsidR="003C12C8" w:rsidRPr="00CB2CB5">
        <w:rPr>
          <w:rFonts w:ascii="Times New Roman" w:eastAsia="Times New Roman" w:hAnsi="Times New Roman"/>
          <w:sz w:val="24"/>
        </w:rPr>
        <w:t>based on a percentage of EPE's annual New</w:t>
      </w:r>
      <w:r w:rsidR="00B81EE4" w:rsidRPr="00CB2CB5">
        <w:rPr>
          <w:rFonts w:ascii="Times New Roman" w:eastAsia="Times New Roman" w:hAnsi="Times New Roman"/>
          <w:sz w:val="24"/>
        </w:rPr>
        <w:t> </w:t>
      </w:r>
      <w:r w:rsidR="003C12C8" w:rsidRPr="00CB2CB5">
        <w:rPr>
          <w:rFonts w:ascii="Times New Roman" w:eastAsia="Times New Roman" w:hAnsi="Times New Roman"/>
          <w:sz w:val="24"/>
        </w:rPr>
        <w:t>Mexico retail energy sales</w:t>
      </w:r>
      <w:r w:rsidR="000777EA">
        <w:rPr>
          <w:rFonts w:ascii="Times New Roman" w:eastAsia="Times New Roman" w:hAnsi="Times New Roman"/>
          <w:sz w:val="24"/>
        </w:rPr>
        <w:t>.</w:t>
      </w:r>
      <w:r w:rsidR="00146C45" w:rsidRPr="00CB2CB5">
        <w:rPr>
          <w:rFonts w:ascii="Times New Roman" w:eastAsia="Times New Roman" w:hAnsi="Times New Roman"/>
          <w:sz w:val="24"/>
        </w:rPr>
        <w:t xml:space="preserve"> </w:t>
      </w:r>
      <w:r w:rsidR="003C12C8" w:rsidRPr="00CB2CB5">
        <w:rPr>
          <w:rFonts w:ascii="Times New Roman" w:eastAsia="Times New Roman" w:hAnsi="Times New Roman"/>
          <w:sz w:val="24"/>
        </w:rPr>
        <w:t xml:space="preserve"> </w:t>
      </w:r>
    </w:p>
    <w:p w14:paraId="630E0E5F" w14:textId="77777777" w:rsidR="003C12C8" w:rsidRPr="00CB2CB5" w:rsidRDefault="003C12C8" w:rsidP="008759DE">
      <w:pPr>
        <w:pStyle w:val="ListParagraph"/>
        <w:tabs>
          <w:tab w:val="left" w:pos="1080"/>
        </w:tabs>
        <w:spacing w:after="0" w:line="276" w:lineRule="auto"/>
        <w:ind w:left="0"/>
        <w:contextualSpacing w:val="0"/>
        <w:jc w:val="both"/>
        <w:rPr>
          <w:rFonts w:ascii="Times New Roman" w:eastAsia="Times New Roman" w:hAnsi="Times New Roman"/>
          <w:sz w:val="24"/>
        </w:rPr>
      </w:pPr>
    </w:p>
    <w:p w14:paraId="2D4A43BB" w14:textId="796F5C08" w:rsidR="00946E07" w:rsidRPr="00CB2CB5" w:rsidRDefault="003C12C8" w:rsidP="00192CA0">
      <w:pPr>
        <w:pStyle w:val="ListParagraph"/>
        <w:tabs>
          <w:tab w:val="left" w:pos="1080"/>
        </w:tabs>
        <w:spacing w:after="0" w:line="276" w:lineRule="auto"/>
        <w:ind w:left="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EPE </w:t>
      </w:r>
      <w:r w:rsidR="00651D95">
        <w:rPr>
          <w:rFonts w:ascii="Times New Roman" w:eastAsia="Times New Roman" w:hAnsi="Times New Roman"/>
          <w:sz w:val="24"/>
        </w:rPr>
        <w:t xml:space="preserve">is committing </w:t>
      </w:r>
      <w:r w:rsidRPr="00CB2CB5">
        <w:rPr>
          <w:rFonts w:ascii="Times New Roman" w:eastAsia="Times New Roman" w:hAnsi="Times New Roman"/>
          <w:sz w:val="24"/>
        </w:rPr>
        <w:t xml:space="preserve">a significant amount of time </w:t>
      </w:r>
      <w:r w:rsidR="00437925" w:rsidRPr="00CB2CB5">
        <w:rPr>
          <w:rFonts w:ascii="Times New Roman" w:eastAsia="Times New Roman" w:hAnsi="Times New Roman"/>
          <w:sz w:val="24"/>
        </w:rPr>
        <w:t xml:space="preserve">and resources </w:t>
      </w:r>
      <w:r w:rsidR="00751CA3" w:rsidRPr="00CB2CB5">
        <w:rPr>
          <w:rFonts w:ascii="Times New Roman" w:eastAsia="Times New Roman" w:hAnsi="Times New Roman"/>
          <w:sz w:val="24"/>
        </w:rPr>
        <w:t xml:space="preserve">to the </w:t>
      </w:r>
      <w:r w:rsidR="00471256" w:rsidRPr="00CB2CB5">
        <w:rPr>
          <w:rFonts w:ascii="Times New Roman" w:eastAsia="Times New Roman" w:hAnsi="Times New Roman"/>
          <w:sz w:val="24"/>
        </w:rPr>
        <w:t xml:space="preserve">Public </w:t>
      </w:r>
      <w:r w:rsidR="00751CA3" w:rsidRPr="00CB2CB5">
        <w:rPr>
          <w:rFonts w:ascii="Times New Roman" w:eastAsia="Times New Roman" w:hAnsi="Times New Roman"/>
          <w:sz w:val="24"/>
        </w:rPr>
        <w:t>Process.</w:t>
      </w:r>
      <w:r w:rsidRPr="00CB2CB5">
        <w:rPr>
          <w:rFonts w:ascii="Times New Roman" w:eastAsia="Times New Roman" w:hAnsi="Times New Roman"/>
          <w:sz w:val="24"/>
        </w:rPr>
        <w:t xml:space="preserve">  </w:t>
      </w:r>
      <w:r w:rsidR="00513E4B" w:rsidRPr="00CB2CB5">
        <w:rPr>
          <w:rFonts w:ascii="Times New Roman" w:eastAsia="Times New Roman" w:hAnsi="Times New Roman"/>
          <w:sz w:val="24"/>
        </w:rPr>
        <w:t xml:space="preserve">The </w:t>
      </w:r>
      <w:r w:rsidR="00751CA3" w:rsidRPr="00CB2CB5">
        <w:rPr>
          <w:rFonts w:ascii="Times New Roman" w:eastAsia="Times New Roman" w:hAnsi="Times New Roman"/>
          <w:sz w:val="24"/>
        </w:rPr>
        <w:t>Public Process</w:t>
      </w:r>
      <w:r w:rsidR="00513E4B" w:rsidRPr="00CB2CB5">
        <w:rPr>
          <w:rFonts w:ascii="Times New Roman" w:eastAsia="Times New Roman" w:hAnsi="Times New Roman"/>
          <w:sz w:val="24"/>
        </w:rPr>
        <w:t xml:space="preserve"> </w:t>
      </w:r>
      <w:r w:rsidR="00545F21">
        <w:rPr>
          <w:rFonts w:ascii="Times New Roman" w:eastAsia="Times New Roman" w:hAnsi="Times New Roman"/>
          <w:sz w:val="24"/>
        </w:rPr>
        <w:t>allows</w:t>
      </w:r>
      <w:r w:rsidR="00545F21" w:rsidRPr="00CB2CB5">
        <w:rPr>
          <w:rFonts w:ascii="Times New Roman" w:eastAsia="Times New Roman" w:hAnsi="Times New Roman"/>
          <w:sz w:val="24"/>
        </w:rPr>
        <w:t xml:space="preserve"> </w:t>
      </w:r>
      <w:r w:rsidR="00426325" w:rsidRPr="00CB2CB5">
        <w:rPr>
          <w:rFonts w:ascii="Times New Roman" w:eastAsia="Times New Roman" w:hAnsi="Times New Roman"/>
          <w:sz w:val="24"/>
        </w:rPr>
        <w:t>EPE to receive</w:t>
      </w:r>
      <w:r w:rsidR="00513E4B" w:rsidRPr="00CB2CB5">
        <w:rPr>
          <w:rFonts w:ascii="Times New Roman" w:eastAsia="Times New Roman" w:hAnsi="Times New Roman"/>
          <w:sz w:val="24"/>
        </w:rPr>
        <w:t xml:space="preserve"> valuable feedback and insight into what different members of the community value in EPE</w:t>
      </w:r>
      <w:r w:rsidR="00B81EE4" w:rsidRPr="00CB2CB5">
        <w:rPr>
          <w:rFonts w:ascii="Times New Roman" w:eastAsia="Times New Roman" w:hAnsi="Times New Roman"/>
          <w:sz w:val="24"/>
        </w:rPr>
        <w:t>'</w:t>
      </w:r>
      <w:r w:rsidR="00513E4B" w:rsidRPr="00CB2CB5">
        <w:rPr>
          <w:rFonts w:ascii="Times New Roman" w:eastAsia="Times New Roman" w:hAnsi="Times New Roman"/>
          <w:sz w:val="24"/>
        </w:rPr>
        <w:t xml:space="preserve">s </w:t>
      </w:r>
      <w:r w:rsidR="00471256" w:rsidRPr="00CB2CB5">
        <w:rPr>
          <w:rFonts w:ascii="Times New Roman" w:eastAsia="Times New Roman" w:hAnsi="Times New Roman"/>
          <w:sz w:val="24"/>
        </w:rPr>
        <w:t>Planning Process</w:t>
      </w:r>
      <w:r w:rsidR="00513E4B" w:rsidRPr="00CB2CB5">
        <w:rPr>
          <w:rFonts w:ascii="Times New Roman" w:eastAsia="Times New Roman" w:hAnsi="Times New Roman"/>
          <w:sz w:val="24"/>
        </w:rPr>
        <w:t xml:space="preserve">. </w:t>
      </w:r>
      <w:r w:rsidR="000F3C43" w:rsidRPr="00CB2CB5">
        <w:rPr>
          <w:rFonts w:ascii="Times New Roman" w:eastAsia="Times New Roman" w:hAnsi="Times New Roman"/>
          <w:sz w:val="24"/>
        </w:rPr>
        <w:t xml:space="preserve"> </w:t>
      </w:r>
      <w:r w:rsidR="00545F21">
        <w:rPr>
          <w:rFonts w:ascii="Times New Roman" w:eastAsia="Times New Roman" w:hAnsi="Times New Roman"/>
          <w:sz w:val="24"/>
        </w:rPr>
        <w:t xml:space="preserve">Although, </w:t>
      </w:r>
      <w:r w:rsidR="00437925" w:rsidRPr="00CB2CB5">
        <w:rPr>
          <w:rFonts w:ascii="Times New Roman" w:eastAsia="Times New Roman" w:hAnsi="Times New Roman"/>
          <w:sz w:val="24"/>
        </w:rPr>
        <w:t xml:space="preserve">the </w:t>
      </w:r>
      <w:r w:rsidR="00751CA3" w:rsidRPr="00CB2CB5">
        <w:rPr>
          <w:rFonts w:ascii="Times New Roman" w:eastAsia="Times New Roman" w:hAnsi="Times New Roman"/>
          <w:sz w:val="24"/>
        </w:rPr>
        <w:t>Public Process</w:t>
      </w:r>
      <w:r w:rsidR="00437925" w:rsidRPr="00CB2CB5">
        <w:rPr>
          <w:rFonts w:ascii="Times New Roman" w:eastAsia="Times New Roman" w:hAnsi="Times New Roman"/>
          <w:sz w:val="24"/>
        </w:rPr>
        <w:t xml:space="preserve"> is required by the </w:t>
      </w:r>
      <w:r w:rsidR="00505BC3" w:rsidRPr="00CB2CB5">
        <w:rPr>
          <w:rFonts w:ascii="Times New Roman" w:eastAsia="Times New Roman" w:hAnsi="Times New Roman"/>
          <w:sz w:val="24"/>
        </w:rPr>
        <w:t xml:space="preserve">IRP </w:t>
      </w:r>
      <w:r w:rsidR="00437925" w:rsidRPr="00CB2CB5">
        <w:rPr>
          <w:rFonts w:ascii="Times New Roman" w:eastAsia="Times New Roman" w:hAnsi="Times New Roman"/>
          <w:sz w:val="24"/>
        </w:rPr>
        <w:t xml:space="preserve">Rule, EPE </w:t>
      </w:r>
      <w:r w:rsidR="00545F21">
        <w:rPr>
          <w:rFonts w:ascii="Times New Roman" w:eastAsia="Times New Roman" w:hAnsi="Times New Roman"/>
          <w:sz w:val="24"/>
        </w:rPr>
        <w:t xml:space="preserve">welcomes and </w:t>
      </w:r>
      <w:r w:rsidR="00437925" w:rsidRPr="00CB2CB5">
        <w:rPr>
          <w:rFonts w:ascii="Times New Roman" w:eastAsia="Times New Roman" w:hAnsi="Times New Roman"/>
          <w:sz w:val="24"/>
        </w:rPr>
        <w:t xml:space="preserve">supports the integral </w:t>
      </w:r>
      <w:r w:rsidR="00657A6A" w:rsidRPr="00CB2CB5">
        <w:rPr>
          <w:rFonts w:ascii="Times New Roman" w:eastAsia="Times New Roman" w:hAnsi="Times New Roman"/>
          <w:sz w:val="24"/>
        </w:rPr>
        <w:t>role</w:t>
      </w:r>
      <w:r w:rsidR="00437925" w:rsidRPr="00CB2CB5">
        <w:rPr>
          <w:rFonts w:ascii="Times New Roman" w:eastAsia="Times New Roman" w:hAnsi="Times New Roman"/>
          <w:sz w:val="24"/>
        </w:rPr>
        <w:t xml:space="preserve"> it plays in the IRP.</w:t>
      </w:r>
    </w:p>
    <w:p w14:paraId="15152205" w14:textId="77777777" w:rsidR="00E278BF" w:rsidRPr="00CB2CB5" w:rsidRDefault="00E278BF" w:rsidP="00192CA0">
      <w:pPr>
        <w:pStyle w:val="ListParagraph"/>
        <w:tabs>
          <w:tab w:val="left" w:pos="1080"/>
        </w:tabs>
        <w:spacing w:after="0" w:line="276" w:lineRule="auto"/>
        <w:ind w:left="0"/>
        <w:contextualSpacing w:val="0"/>
        <w:jc w:val="both"/>
        <w:rPr>
          <w:rFonts w:ascii="Times New Roman" w:eastAsia="Times New Roman" w:hAnsi="Times New Roman"/>
          <w:sz w:val="24"/>
        </w:rPr>
      </w:pPr>
    </w:p>
    <w:p w14:paraId="66C6DF6C" w14:textId="157C95ED" w:rsidR="00116804" w:rsidRPr="00CB2CB5" w:rsidRDefault="00545F21" w:rsidP="00192CA0">
      <w:pPr>
        <w:keepNext/>
        <w:keepLines/>
        <w:spacing w:line="276" w:lineRule="auto"/>
      </w:pPr>
      <w:r>
        <w:t>While</w:t>
      </w:r>
      <w:r w:rsidR="001E0D78" w:rsidRPr="00CB2CB5">
        <w:t xml:space="preserve"> </w:t>
      </w:r>
      <w:r>
        <w:t xml:space="preserve">the </w:t>
      </w:r>
      <w:r w:rsidR="001E0D78" w:rsidRPr="00CB2CB5">
        <w:t>IRP requirement is a three</w:t>
      </w:r>
      <w:r w:rsidR="00C66A37" w:rsidRPr="00CB2CB5">
        <w:t>-</w:t>
      </w:r>
      <w:r w:rsidR="001E0D78" w:rsidRPr="00CB2CB5">
        <w:t xml:space="preserve">year cycle, </w:t>
      </w:r>
      <w:r w:rsidR="00126AF5">
        <w:t>EPE</w:t>
      </w:r>
      <w:r w:rsidR="001E0D78" w:rsidRPr="00CB2CB5">
        <w:t xml:space="preserve"> continually evaluates</w:t>
      </w:r>
      <w:r>
        <w:t xml:space="preserve"> its’ Plan for resource adequacy and reliability</w:t>
      </w:r>
      <w:r w:rsidR="001E0D78" w:rsidRPr="00CB2CB5">
        <w:t>.</w:t>
      </w:r>
      <w:r w:rsidR="00751CA3" w:rsidRPr="00CB2CB5">
        <w:t xml:space="preserve"> </w:t>
      </w:r>
      <w:r w:rsidR="000F3C43" w:rsidRPr="00CB2CB5">
        <w:t xml:space="preserve"> </w:t>
      </w:r>
      <w:r w:rsidR="001E0D78" w:rsidRPr="00CB2CB5">
        <w:t xml:space="preserve">The ongoing </w:t>
      </w:r>
      <w:r w:rsidR="00C2233E" w:rsidRPr="00CB2CB5">
        <w:t>P</w:t>
      </w:r>
      <w:r w:rsidR="001E0D78" w:rsidRPr="00CB2CB5">
        <w:t xml:space="preserve">lanning </w:t>
      </w:r>
      <w:r w:rsidR="00C2233E" w:rsidRPr="00CB2CB5">
        <w:t>P</w:t>
      </w:r>
      <w:r w:rsidR="001E0D78" w:rsidRPr="00CB2CB5">
        <w:t xml:space="preserve">rocess can be summarized </w:t>
      </w:r>
      <w:r w:rsidR="00AF1D1E">
        <w:t>in the following steps</w:t>
      </w:r>
      <w:r>
        <w:t>:</w:t>
      </w:r>
    </w:p>
    <w:p w14:paraId="7676289E" w14:textId="77777777" w:rsidR="007A5098" w:rsidRPr="00CB2CB5" w:rsidRDefault="007A5098" w:rsidP="00192CA0">
      <w:pPr>
        <w:keepNext/>
        <w:keepLines/>
        <w:spacing w:line="276" w:lineRule="auto"/>
      </w:pPr>
    </w:p>
    <w:p w14:paraId="2E01354D" w14:textId="2ABF0D41" w:rsidR="00116804" w:rsidRPr="00CB2CB5" w:rsidRDefault="00AF1D1E" w:rsidP="00192CA0">
      <w:pPr>
        <w:pStyle w:val="ListParagraph"/>
        <w:numPr>
          <w:ilvl w:val="0"/>
          <w:numId w:val="17"/>
        </w:numPr>
        <w:spacing w:after="0" w:line="276" w:lineRule="auto"/>
        <w:ind w:left="360"/>
        <w:contextualSpacing w:val="0"/>
        <w:jc w:val="both"/>
        <w:rPr>
          <w:rFonts w:ascii="Times New Roman" w:hAnsi="Times New Roman"/>
          <w:sz w:val="24"/>
        </w:rPr>
      </w:pPr>
      <w:bookmarkStart w:id="5" w:name="_Hlk71284870"/>
      <w:r w:rsidRPr="00CB2CB5">
        <w:rPr>
          <w:rFonts w:ascii="Times New Roman" w:hAnsi="Times New Roman"/>
          <w:sz w:val="24"/>
        </w:rPr>
        <w:t xml:space="preserve">determine a baseline for future capacity needs </w:t>
      </w:r>
      <w:r w:rsidR="00657A6A" w:rsidRPr="00CB2CB5">
        <w:rPr>
          <w:rFonts w:ascii="Times New Roman" w:hAnsi="Times New Roman"/>
          <w:sz w:val="24"/>
        </w:rPr>
        <w:t>u</w:t>
      </w:r>
      <w:r w:rsidR="00116804" w:rsidRPr="00CB2CB5">
        <w:rPr>
          <w:rFonts w:ascii="Times New Roman" w:hAnsi="Times New Roman"/>
          <w:sz w:val="24"/>
        </w:rPr>
        <w:t>tiliz</w:t>
      </w:r>
      <w:r w:rsidR="00657A6A" w:rsidRPr="00CB2CB5">
        <w:rPr>
          <w:rFonts w:ascii="Times New Roman" w:hAnsi="Times New Roman"/>
          <w:sz w:val="24"/>
        </w:rPr>
        <w:t>ing</w:t>
      </w:r>
      <w:r w:rsidR="00116804" w:rsidRPr="00CB2CB5">
        <w:rPr>
          <w:rFonts w:ascii="Times New Roman" w:hAnsi="Times New Roman"/>
          <w:sz w:val="24"/>
        </w:rPr>
        <w:t xml:space="preserve"> the latest </w:t>
      </w:r>
      <w:r w:rsidR="00426325" w:rsidRPr="00CB2CB5">
        <w:rPr>
          <w:rFonts w:ascii="Times New Roman" w:hAnsi="Times New Roman"/>
          <w:sz w:val="24"/>
        </w:rPr>
        <w:t xml:space="preserve">load </w:t>
      </w:r>
      <w:r w:rsidR="00116804" w:rsidRPr="00CB2CB5">
        <w:rPr>
          <w:rFonts w:ascii="Times New Roman" w:hAnsi="Times New Roman"/>
          <w:sz w:val="24"/>
        </w:rPr>
        <w:t xml:space="preserve">forecast </w:t>
      </w:r>
      <w:r w:rsidR="00426325" w:rsidRPr="00CB2CB5">
        <w:rPr>
          <w:rFonts w:ascii="Times New Roman" w:hAnsi="Times New Roman"/>
          <w:sz w:val="24"/>
        </w:rPr>
        <w:t xml:space="preserve">that incorporates </w:t>
      </w:r>
      <w:r w:rsidR="00116804" w:rsidRPr="00CB2CB5">
        <w:rPr>
          <w:rFonts w:ascii="Times New Roman" w:hAnsi="Times New Roman"/>
          <w:sz w:val="24"/>
        </w:rPr>
        <w:t xml:space="preserve">data for </w:t>
      </w:r>
      <w:r w:rsidR="00657A6A" w:rsidRPr="00CB2CB5">
        <w:rPr>
          <w:rFonts w:ascii="Times New Roman" w:hAnsi="Times New Roman"/>
          <w:sz w:val="24"/>
        </w:rPr>
        <w:t>d</w:t>
      </w:r>
      <w:r w:rsidR="00116804" w:rsidRPr="00CB2CB5">
        <w:rPr>
          <w:rFonts w:ascii="Times New Roman" w:hAnsi="Times New Roman"/>
          <w:sz w:val="24"/>
        </w:rPr>
        <w:t xml:space="preserve">istributed </w:t>
      </w:r>
      <w:r w:rsidR="00657A6A" w:rsidRPr="00CB2CB5">
        <w:rPr>
          <w:rFonts w:ascii="Times New Roman" w:hAnsi="Times New Roman"/>
          <w:sz w:val="24"/>
        </w:rPr>
        <w:t>g</w:t>
      </w:r>
      <w:r w:rsidR="00116804" w:rsidRPr="00CB2CB5">
        <w:rPr>
          <w:rFonts w:ascii="Times New Roman" w:hAnsi="Times New Roman"/>
          <w:sz w:val="24"/>
        </w:rPr>
        <w:t>eneration</w:t>
      </w:r>
      <w:r w:rsidR="008D5EFC">
        <w:rPr>
          <w:rFonts w:ascii="Times New Roman" w:hAnsi="Times New Roman"/>
          <w:sz w:val="24"/>
        </w:rPr>
        <w:t xml:space="preserve"> (“DG”),</w:t>
      </w:r>
      <w:r w:rsidR="00116804" w:rsidRPr="00CB2CB5">
        <w:rPr>
          <w:rFonts w:ascii="Times New Roman" w:hAnsi="Times New Roman"/>
          <w:sz w:val="24"/>
        </w:rPr>
        <w:t xml:space="preserve"> </w:t>
      </w:r>
      <w:r w:rsidR="00657A6A" w:rsidRPr="00CB2CB5">
        <w:rPr>
          <w:rFonts w:ascii="Times New Roman" w:hAnsi="Times New Roman"/>
          <w:sz w:val="24"/>
        </w:rPr>
        <w:t>e</w:t>
      </w:r>
      <w:r w:rsidR="00116804" w:rsidRPr="00CB2CB5">
        <w:rPr>
          <w:rFonts w:ascii="Times New Roman" w:hAnsi="Times New Roman"/>
          <w:sz w:val="24"/>
        </w:rPr>
        <w:t xml:space="preserve">nergy </w:t>
      </w:r>
      <w:r w:rsidR="00657A6A" w:rsidRPr="00CB2CB5">
        <w:rPr>
          <w:rFonts w:ascii="Times New Roman" w:hAnsi="Times New Roman"/>
          <w:sz w:val="24"/>
        </w:rPr>
        <w:t>e</w:t>
      </w:r>
      <w:r w:rsidR="00116804" w:rsidRPr="00CB2CB5">
        <w:rPr>
          <w:rFonts w:ascii="Times New Roman" w:hAnsi="Times New Roman"/>
          <w:sz w:val="24"/>
        </w:rPr>
        <w:t>fficiency</w:t>
      </w:r>
      <w:r w:rsidR="00982CA0">
        <w:rPr>
          <w:rFonts w:ascii="Times New Roman" w:hAnsi="Times New Roman"/>
          <w:sz w:val="24"/>
        </w:rPr>
        <w:t xml:space="preserve"> and </w:t>
      </w:r>
      <w:r w:rsidR="002C0819">
        <w:rPr>
          <w:rFonts w:ascii="Times New Roman" w:hAnsi="Times New Roman"/>
          <w:sz w:val="24"/>
        </w:rPr>
        <w:t>l</w:t>
      </w:r>
      <w:r w:rsidR="00982CA0">
        <w:rPr>
          <w:rFonts w:ascii="Times New Roman" w:hAnsi="Times New Roman"/>
          <w:sz w:val="24"/>
        </w:rPr>
        <w:t xml:space="preserve">oad </w:t>
      </w:r>
      <w:r w:rsidR="002C0819">
        <w:rPr>
          <w:rFonts w:ascii="Times New Roman" w:hAnsi="Times New Roman"/>
          <w:sz w:val="24"/>
        </w:rPr>
        <w:t>m</w:t>
      </w:r>
      <w:r w:rsidR="00982CA0">
        <w:rPr>
          <w:rFonts w:ascii="Times New Roman" w:hAnsi="Times New Roman"/>
          <w:sz w:val="24"/>
        </w:rPr>
        <w:t>anagement</w:t>
      </w:r>
      <w:r w:rsidR="008D5EFC">
        <w:rPr>
          <w:rFonts w:ascii="Times New Roman" w:hAnsi="Times New Roman"/>
          <w:sz w:val="24"/>
        </w:rPr>
        <w:t xml:space="preserve"> (“EE</w:t>
      </w:r>
      <w:r w:rsidR="00982CA0">
        <w:rPr>
          <w:rFonts w:ascii="Times New Roman" w:hAnsi="Times New Roman"/>
          <w:sz w:val="24"/>
        </w:rPr>
        <w:t>/LM</w:t>
      </w:r>
      <w:r w:rsidR="008D5EFC">
        <w:rPr>
          <w:rFonts w:ascii="Times New Roman" w:hAnsi="Times New Roman"/>
          <w:sz w:val="24"/>
        </w:rPr>
        <w:t>”)</w:t>
      </w:r>
      <w:r w:rsidR="00426325" w:rsidRPr="00CB2CB5">
        <w:rPr>
          <w:rFonts w:ascii="Times New Roman" w:hAnsi="Times New Roman"/>
          <w:sz w:val="24"/>
        </w:rPr>
        <w:t>,</w:t>
      </w:r>
      <w:r w:rsidR="00116804" w:rsidRPr="00CB2CB5">
        <w:rPr>
          <w:rFonts w:ascii="Times New Roman" w:hAnsi="Times New Roman"/>
          <w:sz w:val="24"/>
        </w:rPr>
        <w:t xml:space="preserve"> </w:t>
      </w:r>
      <w:r w:rsidR="008D5EFC">
        <w:rPr>
          <w:rFonts w:ascii="Times New Roman" w:hAnsi="Times New Roman"/>
          <w:sz w:val="24"/>
        </w:rPr>
        <w:t xml:space="preserve">and electric vehicle charging (“EV”), </w:t>
      </w:r>
      <w:r>
        <w:rPr>
          <w:rFonts w:ascii="Times New Roman" w:hAnsi="Times New Roman"/>
          <w:sz w:val="24"/>
        </w:rPr>
        <w:t xml:space="preserve">and </w:t>
      </w:r>
      <w:r w:rsidR="00116804" w:rsidRPr="00CB2CB5">
        <w:rPr>
          <w:rFonts w:ascii="Times New Roman" w:hAnsi="Times New Roman"/>
          <w:sz w:val="24"/>
        </w:rPr>
        <w:t>compar</w:t>
      </w:r>
      <w:r w:rsidR="00657A6A" w:rsidRPr="00CB2CB5">
        <w:rPr>
          <w:rFonts w:ascii="Times New Roman" w:hAnsi="Times New Roman"/>
          <w:sz w:val="24"/>
        </w:rPr>
        <w:t>ing</w:t>
      </w:r>
      <w:r w:rsidR="00116804" w:rsidRPr="00CB2CB5">
        <w:rPr>
          <w:rFonts w:ascii="Times New Roman" w:hAnsi="Times New Roman"/>
          <w:sz w:val="24"/>
        </w:rPr>
        <w:t xml:space="preserve"> that to the most current info</w:t>
      </w:r>
      <w:r w:rsidR="00C61066" w:rsidRPr="00CB2CB5">
        <w:rPr>
          <w:rFonts w:ascii="Times New Roman" w:hAnsi="Times New Roman"/>
          <w:sz w:val="24"/>
        </w:rPr>
        <w:t>rmation</w:t>
      </w:r>
      <w:r w:rsidR="00116804" w:rsidRPr="00CB2CB5">
        <w:rPr>
          <w:rFonts w:ascii="Times New Roman" w:hAnsi="Times New Roman"/>
          <w:sz w:val="24"/>
        </w:rPr>
        <w:t xml:space="preserve"> for existing supply-side resources and their expected retirement dates</w:t>
      </w:r>
      <w:r>
        <w:rPr>
          <w:rFonts w:ascii="Times New Roman" w:hAnsi="Times New Roman"/>
          <w:sz w:val="24"/>
        </w:rPr>
        <w:t>;</w:t>
      </w:r>
    </w:p>
    <w:bookmarkEnd w:id="5"/>
    <w:p w14:paraId="7F66A735" w14:textId="4CEA79C1" w:rsidR="00116804" w:rsidRPr="00CB2CB5" w:rsidRDefault="00AF1D1E" w:rsidP="00192CA0">
      <w:pPr>
        <w:pStyle w:val="ListParagraph"/>
        <w:numPr>
          <w:ilvl w:val="0"/>
          <w:numId w:val="17"/>
        </w:numPr>
        <w:spacing w:after="0" w:line="276" w:lineRule="auto"/>
        <w:ind w:left="360"/>
        <w:contextualSpacing w:val="0"/>
        <w:jc w:val="both"/>
        <w:rPr>
          <w:rFonts w:ascii="Times New Roman" w:hAnsi="Times New Roman"/>
          <w:sz w:val="24"/>
        </w:rPr>
      </w:pPr>
      <w:r>
        <w:rPr>
          <w:rFonts w:ascii="Times New Roman" w:hAnsi="Times New Roman"/>
          <w:sz w:val="24"/>
        </w:rPr>
        <w:t>identify</w:t>
      </w:r>
      <w:r w:rsidR="00116804" w:rsidRPr="00CB2CB5">
        <w:rPr>
          <w:rFonts w:ascii="Times New Roman" w:hAnsi="Times New Roman"/>
          <w:sz w:val="24"/>
        </w:rPr>
        <w:t xml:space="preserve"> possible demand-side and supply-side resources that may be utilized to serve load safely and reliably</w:t>
      </w:r>
      <w:r>
        <w:rPr>
          <w:rFonts w:ascii="Times New Roman" w:hAnsi="Times New Roman"/>
          <w:sz w:val="24"/>
        </w:rPr>
        <w:t xml:space="preserve"> if a capacity need is determined</w:t>
      </w:r>
      <w:r w:rsidR="00116804" w:rsidRPr="00CB2CB5">
        <w:rPr>
          <w:rFonts w:ascii="Times New Roman" w:hAnsi="Times New Roman"/>
          <w:sz w:val="24"/>
        </w:rPr>
        <w:t xml:space="preserve">.  </w:t>
      </w:r>
      <w:r w:rsidR="00657A6A" w:rsidRPr="00CB2CB5">
        <w:rPr>
          <w:rFonts w:ascii="Times New Roman" w:hAnsi="Times New Roman"/>
          <w:sz w:val="24"/>
        </w:rPr>
        <w:t>This requires the consideration of</w:t>
      </w:r>
      <w:r w:rsidR="00116804" w:rsidRPr="00CB2CB5">
        <w:rPr>
          <w:rFonts w:ascii="Times New Roman" w:hAnsi="Times New Roman"/>
          <w:sz w:val="24"/>
        </w:rPr>
        <w:t xml:space="preserve"> a</w:t>
      </w:r>
      <w:r w:rsidR="00116804" w:rsidRPr="00CB2CB5">
        <w:rPr>
          <w:rFonts w:ascii="Times New Roman" w:eastAsia="Times New Roman" w:hAnsi="Times New Roman"/>
          <w:sz w:val="24"/>
        </w:rPr>
        <w:t xml:space="preserve">dvancements in technology and resource options including the complexities of resource characteristics and costs. </w:t>
      </w:r>
      <w:r w:rsidR="00116804" w:rsidRPr="00CB2CB5">
        <w:rPr>
          <w:rFonts w:ascii="Times New Roman" w:hAnsi="Times New Roman"/>
          <w:sz w:val="24"/>
        </w:rPr>
        <w:t xml:space="preserve"> </w:t>
      </w:r>
      <w:r w:rsidR="00657A6A" w:rsidRPr="00CB2CB5">
        <w:rPr>
          <w:rFonts w:ascii="Times New Roman" w:hAnsi="Times New Roman"/>
          <w:sz w:val="24"/>
        </w:rPr>
        <w:t>The incorporation of</w:t>
      </w:r>
      <w:r w:rsidR="00116804" w:rsidRPr="00CB2CB5">
        <w:rPr>
          <w:rFonts w:ascii="Times New Roman" w:hAnsi="Times New Roman"/>
          <w:sz w:val="24"/>
        </w:rPr>
        <w:t xml:space="preserve"> data from the prior </w:t>
      </w:r>
      <w:r w:rsidR="00E67197">
        <w:rPr>
          <w:rFonts w:ascii="Times New Roman" w:hAnsi="Times New Roman"/>
          <w:sz w:val="24"/>
        </w:rPr>
        <w:t>RFP</w:t>
      </w:r>
      <w:r w:rsidR="00E67197" w:rsidRPr="00CB2CB5">
        <w:rPr>
          <w:rFonts w:ascii="Times New Roman" w:hAnsi="Times New Roman"/>
          <w:sz w:val="24"/>
        </w:rPr>
        <w:t xml:space="preserve"> </w:t>
      </w:r>
      <w:r w:rsidR="00116804" w:rsidRPr="00CB2CB5">
        <w:rPr>
          <w:rFonts w:ascii="Times New Roman" w:hAnsi="Times New Roman"/>
          <w:sz w:val="24"/>
        </w:rPr>
        <w:t>results</w:t>
      </w:r>
      <w:r w:rsidR="00657A6A" w:rsidRPr="00CB2CB5">
        <w:rPr>
          <w:rFonts w:ascii="Times New Roman" w:hAnsi="Times New Roman"/>
          <w:sz w:val="24"/>
        </w:rPr>
        <w:t>,</w:t>
      </w:r>
      <w:r w:rsidR="00116804" w:rsidRPr="00CB2CB5">
        <w:rPr>
          <w:rFonts w:ascii="Times New Roman" w:hAnsi="Times New Roman"/>
          <w:sz w:val="24"/>
        </w:rPr>
        <w:t xml:space="preserve"> along with publicly available information</w:t>
      </w:r>
      <w:r w:rsidR="00657A6A" w:rsidRPr="00CB2CB5">
        <w:rPr>
          <w:rFonts w:ascii="Times New Roman" w:hAnsi="Times New Roman"/>
          <w:sz w:val="24"/>
        </w:rPr>
        <w:t>,</w:t>
      </w:r>
      <w:r>
        <w:rPr>
          <w:rFonts w:ascii="Times New Roman" w:hAnsi="Times New Roman"/>
          <w:sz w:val="24"/>
        </w:rPr>
        <w:t xml:space="preserve"> is used</w:t>
      </w:r>
      <w:r w:rsidR="00116804" w:rsidRPr="00CB2CB5">
        <w:rPr>
          <w:rFonts w:ascii="Times New Roman" w:hAnsi="Times New Roman"/>
          <w:sz w:val="24"/>
        </w:rPr>
        <w:t xml:space="preserve"> to form resource assumptions</w:t>
      </w:r>
    </w:p>
    <w:p w14:paraId="20298D19" w14:textId="714AB93D" w:rsidR="00116804" w:rsidRPr="00CB2CB5" w:rsidRDefault="00B54CA9" w:rsidP="00192CA0">
      <w:pPr>
        <w:pStyle w:val="ListParagraph"/>
        <w:numPr>
          <w:ilvl w:val="0"/>
          <w:numId w:val="17"/>
        </w:numPr>
        <w:spacing w:after="0" w:line="276" w:lineRule="auto"/>
        <w:ind w:left="360"/>
        <w:contextualSpacing w:val="0"/>
        <w:jc w:val="both"/>
        <w:rPr>
          <w:rFonts w:ascii="Times New Roman" w:hAnsi="Times New Roman"/>
          <w:sz w:val="24"/>
        </w:rPr>
      </w:pPr>
      <w:r w:rsidRPr="00CB2CB5">
        <w:rPr>
          <w:rFonts w:ascii="Times New Roman" w:hAnsi="Times New Roman"/>
          <w:sz w:val="24"/>
        </w:rPr>
        <w:t>a</w:t>
      </w:r>
      <w:r w:rsidR="00116804" w:rsidRPr="00CB2CB5">
        <w:rPr>
          <w:rFonts w:ascii="Times New Roman" w:hAnsi="Times New Roman"/>
          <w:sz w:val="24"/>
        </w:rPr>
        <w:t>nalyz</w:t>
      </w:r>
      <w:r w:rsidR="00AF1D1E">
        <w:rPr>
          <w:rFonts w:ascii="Times New Roman" w:hAnsi="Times New Roman"/>
          <w:sz w:val="24"/>
        </w:rPr>
        <w:t xml:space="preserve">e </w:t>
      </w:r>
      <w:r w:rsidR="00116804" w:rsidRPr="00CB2CB5">
        <w:rPr>
          <w:rFonts w:ascii="Times New Roman" w:hAnsi="Times New Roman"/>
          <w:sz w:val="24"/>
        </w:rPr>
        <w:t xml:space="preserve">resource options to ensure reliability, </w:t>
      </w:r>
      <w:r w:rsidR="0024529E" w:rsidRPr="00CB2CB5">
        <w:rPr>
          <w:rFonts w:ascii="Times New Roman" w:hAnsi="Times New Roman"/>
          <w:sz w:val="24"/>
        </w:rPr>
        <w:t>adequacy,</w:t>
      </w:r>
      <w:r w:rsidR="00116804" w:rsidRPr="00CB2CB5">
        <w:rPr>
          <w:rFonts w:ascii="Times New Roman" w:hAnsi="Times New Roman"/>
          <w:sz w:val="24"/>
        </w:rPr>
        <w:t xml:space="preserve"> </w:t>
      </w:r>
      <w:r w:rsidR="00545F21">
        <w:rPr>
          <w:rFonts w:ascii="Times New Roman" w:hAnsi="Times New Roman"/>
          <w:sz w:val="24"/>
        </w:rPr>
        <w:t>statutory</w:t>
      </w:r>
      <w:r w:rsidR="004A2F04">
        <w:rPr>
          <w:rFonts w:ascii="Times New Roman" w:hAnsi="Times New Roman"/>
          <w:sz w:val="24"/>
        </w:rPr>
        <w:t xml:space="preserve"> compliance,</w:t>
      </w:r>
      <w:r w:rsidR="00545F21">
        <w:rPr>
          <w:rFonts w:ascii="Times New Roman" w:hAnsi="Times New Roman"/>
          <w:sz w:val="24"/>
        </w:rPr>
        <w:t xml:space="preserve"> </w:t>
      </w:r>
      <w:r w:rsidR="00116804" w:rsidRPr="00CB2CB5">
        <w:rPr>
          <w:rFonts w:ascii="Times New Roman" w:hAnsi="Times New Roman"/>
          <w:sz w:val="24"/>
        </w:rPr>
        <w:t>and appropriate integration into EPE</w:t>
      </w:r>
      <w:r w:rsidR="00B81EE4" w:rsidRPr="00CB2CB5">
        <w:rPr>
          <w:rFonts w:ascii="Times New Roman" w:hAnsi="Times New Roman"/>
          <w:sz w:val="24"/>
        </w:rPr>
        <w:t>'</w:t>
      </w:r>
      <w:r w:rsidR="00116804" w:rsidRPr="00CB2CB5">
        <w:rPr>
          <w:rFonts w:ascii="Times New Roman" w:hAnsi="Times New Roman"/>
          <w:sz w:val="24"/>
        </w:rPr>
        <w:t>s system</w:t>
      </w:r>
      <w:r w:rsidR="00AF1D1E">
        <w:rPr>
          <w:rFonts w:ascii="Times New Roman" w:hAnsi="Times New Roman"/>
          <w:sz w:val="24"/>
        </w:rPr>
        <w:t xml:space="preserve"> to s</w:t>
      </w:r>
      <w:r w:rsidR="00116804" w:rsidRPr="00CB2CB5">
        <w:rPr>
          <w:rFonts w:ascii="Times New Roman" w:hAnsi="Times New Roman"/>
          <w:sz w:val="24"/>
        </w:rPr>
        <w:t>elect the most</w:t>
      </w:r>
      <w:r w:rsidR="00657A6A" w:rsidRPr="00CB2CB5">
        <w:rPr>
          <w:rFonts w:ascii="Times New Roman" w:hAnsi="Times New Roman"/>
          <w:sz w:val="24"/>
        </w:rPr>
        <w:t xml:space="preserve"> </w:t>
      </w:r>
      <w:r w:rsidR="00116804" w:rsidRPr="00CB2CB5">
        <w:rPr>
          <w:rFonts w:ascii="Times New Roman" w:hAnsi="Times New Roman"/>
          <w:sz w:val="24"/>
        </w:rPr>
        <w:t>cost</w:t>
      </w:r>
      <w:r w:rsidR="00657A6A" w:rsidRPr="00CB2CB5">
        <w:rPr>
          <w:rFonts w:ascii="Times New Roman" w:hAnsi="Times New Roman"/>
          <w:sz w:val="24"/>
        </w:rPr>
        <w:t>-</w:t>
      </w:r>
      <w:r w:rsidR="00116804" w:rsidRPr="00CB2CB5">
        <w:rPr>
          <w:rFonts w:ascii="Times New Roman" w:hAnsi="Times New Roman"/>
          <w:sz w:val="24"/>
        </w:rPr>
        <w:t xml:space="preserve">effective portfolio of resources to </w:t>
      </w:r>
      <w:r w:rsidR="004632D7">
        <w:rPr>
          <w:rFonts w:ascii="Times New Roman" w:hAnsi="Times New Roman"/>
          <w:sz w:val="24"/>
        </w:rPr>
        <w:t xml:space="preserve">best </w:t>
      </w:r>
      <w:r w:rsidR="00116804" w:rsidRPr="00CB2CB5">
        <w:rPr>
          <w:rFonts w:ascii="Times New Roman" w:hAnsi="Times New Roman"/>
          <w:sz w:val="24"/>
        </w:rPr>
        <w:t xml:space="preserve">meet </w:t>
      </w:r>
      <w:r w:rsidR="004632D7">
        <w:rPr>
          <w:rFonts w:ascii="Times New Roman" w:hAnsi="Times New Roman"/>
          <w:sz w:val="24"/>
        </w:rPr>
        <w:t>customer</w:t>
      </w:r>
      <w:r w:rsidR="00116804" w:rsidRPr="00CB2CB5">
        <w:rPr>
          <w:rFonts w:ascii="Times New Roman" w:hAnsi="Times New Roman"/>
          <w:sz w:val="24"/>
        </w:rPr>
        <w:t xml:space="preserve"> needs, safely and reliably</w:t>
      </w:r>
      <w:r w:rsidR="00AF1D1E">
        <w:rPr>
          <w:rFonts w:ascii="Times New Roman" w:hAnsi="Times New Roman"/>
          <w:sz w:val="24"/>
        </w:rPr>
        <w:t xml:space="preserve"> (the “expansion portfolio”)</w:t>
      </w:r>
      <w:r w:rsidR="00146C45" w:rsidRPr="00CB2CB5">
        <w:rPr>
          <w:rFonts w:ascii="Times New Roman" w:hAnsi="Times New Roman"/>
          <w:sz w:val="24"/>
        </w:rPr>
        <w:t>,</w:t>
      </w:r>
    </w:p>
    <w:p w14:paraId="7516C0D6" w14:textId="164C6C03" w:rsidR="00116804" w:rsidRPr="00CB2CB5" w:rsidRDefault="00AF1D1E" w:rsidP="00192CA0">
      <w:pPr>
        <w:pStyle w:val="ListParagraph"/>
        <w:numPr>
          <w:ilvl w:val="0"/>
          <w:numId w:val="17"/>
        </w:numPr>
        <w:spacing w:after="0" w:line="276" w:lineRule="auto"/>
        <w:ind w:left="360"/>
        <w:contextualSpacing w:val="0"/>
        <w:jc w:val="both"/>
        <w:rPr>
          <w:rFonts w:ascii="Times New Roman" w:hAnsi="Times New Roman"/>
          <w:sz w:val="24"/>
        </w:rPr>
      </w:pPr>
      <w:r>
        <w:rPr>
          <w:rFonts w:ascii="Times New Roman" w:hAnsi="Times New Roman"/>
          <w:sz w:val="24"/>
        </w:rPr>
        <w:t>incorporate</w:t>
      </w:r>
      <w:r w:rsidR="00C66A37" w:rsidRPr="00CB2CB5">
        <w:rPr>
          <w:rFonts w:ascii="Times New Roman" w:hAnsi="Times New Roman"/>
          <w:sz w:val="24"/>
        </w:rPr>
        <w:t xml:space="preserve"> </w:t>
      </w:r>
      <w:r w:rsidR="00116804" w:rsidRPr="00CB2CB5">
        <w:rPr>
          <w:rFonts w:ascii="Times New Roman" w:hAnsi="Times New Roman"/>
          <w:sz w:val="24"/>
        </w:rPr>
        <w:t>applicable forecast data, existing resource info</w:t>
      </w:r>
      <w:r w:rsidR="00426325" w:rsidRPr="00CB2CB5">
        <w:rPr>
          <w:rFonts w:ascii="Times New Roman" w:hAnsi="Times New Roman"/>
          <w:sz w:val="24"/>
        </w:rPr>
        <w:t>rmation</w:t>
      </w:r>
      <w:r w:rsidR="00116804" w:rsidRPr="00CB2CB5">
        <w:rPr>
          <w:rFonts w:ascii="Times New Roman" w:hAnsi="Times New Roman"/>
          <w:sz w:val="24"/>
        </w:rPr>
        <w:t xml:space="preserve"> and expansion portfolio into the </w:t>
      </w:r>
      <w:proofErr w:type="spellStart"/>
      <w:r w:rsidR="00116804" w:rsidRPr="00CB2CB5">
        <w:rPr>
          <w:rFonts w:ascii="Times New Roman" w:hAnsi="Times New Roman"/>
          <w:sz w:val="24"/>
        </w:rPr>
        <w:t>L&amp;R</w:t>
      </w:r>
      <w:proofErr w:type="spellEnd"/>
      <w:r w:rsidR="00146C45" w:rsidRPr="00CB2CB5">
        <w:rPr>
          <w:rFonts w:ascii="Times New Roman" w:hAnsi="Times New Roman"/>
          <w:sz w:val="24"/>
        </w:rPr>
        <w:t>,</w:t>
      </w:r>
      <w:r w:rsidR="00851C54" w:rsidRPr="00CB2CB5">
        <w:rPr>
          <w:rFonts w:ascii="Times New Roman" w:hAnsi="Times New Roman"/>
          <w:sz w:val="24"/>
        </w:rPr>
        <w:t xml:space="preserve"> and</w:t>
      </w:r>
    </w:p>
    <w:p w14:paraId="04F0B9E5" w14:textId="4B4ED1DE" w:rsidR="00116804" w:rsidRPr="00CB2CB5" w:rsidRDefault="00AF1D1E" w:rsidP="00192CA0">
      <w:pPr>
        <w:pStyle w:val="ListParagraph"/>
        <w:numPr>
          <w:ilvl w:val="0"/>
          <w:numId w:val="17"/>
        </w:numPr>
        <w:spacing w:after="0" w:line="276" w:lineRule="auto"/>
        <w:ind w:left="360"/>
        <w:contextualSpacing w:val="0"/>
        <w:jc w:val="both"/>
        <w:rPr>
          <w:rFonts w:ascii="Times New Roman" w:hAnsi="Times New Roman"/>
          <w:sz w:val="24"/>
        </w:rPr>
      </w:pPr>
      <w:r>
        <w:rPr>
          <w:rFonts w:ascii="Times New Roman" w:hAnsi="Times New Roman"/>
          <w:sz w:val="24"/>
        </w:rPr>
        <w:t xml:space="preserve">update </w:t>
      </w:r>
      <w:r w:rsidR="00B54CA9" w:rsidRPr="00CB2CB5">
        <w:rPr>
          <w:rFonts w:ascii="Times New Roman" w:hAnsi="Times New Roman"/>
          <w:sz w:val="24"/>
        </w:rPr>
        <w:t>a</w:t>
      </w:r>
      <w:r w:rsidR="00851C54" w:rsidRPr="00CB2CB5">
        <w:rPr>
          <w:rFonts w:ascii="Times New Roman" w:hAnsi="Times New Roman"/>
          <w:sz w:val="24"/>
        </w:rPr>
        <w:t>nnual</w:t>
      </w:r>
      <w:r>
        <w:rPr>
          <w:rFonts w:ascii="Times New Roman" w:hAnsi="Times New Roman"/>
          <w:sz w:val="24"/>
        </w:rPr>
        <w:t>ly</w:t>
      </w:r>
      <w:r w:rsidR="00CD040E">
        <w:rPr>
          <w:rFonts w:ascii="Times New Roman" w:hAnsi="Times New Roman"/>
          <w:sz w:val="24"/>
        </w:rPr>
        <w:t xml:space="preserve"> </w:t>
      </w:r>
      <w:r w:rsidR="00116804" w:rsidRPr="00CB2CB5">
        <w:rPr>
          <w:rFonts w:ascii="Times New Roman" w:hAnsi="Times New Roman"/>
          <w:sz w:val="24"/>
        </w:rPr>
        <w:t>with latest forecast and resource data.</w:t>
      </w:r>
    </w:p>
    <w:p w14:paraId="22184C40" w14:textId="77777777" w:rsidR="007A5098" w:rsidRPr="00CB2CB5" w:rsidRDefault="007A5098" w:rsidP="00192CA0">
      <w:pPr>
        <w:spacing w:line="276" w:lineRule="auto"/>
      </w:pPr>
    </w:p>
    <w:p w14:paraId="193206B9" w14:textId="601E0BC6" w:rsidR="00116804" w:rsidRPr="00CB2CB5" w:rsidRDefault="00116804" w:rsidP="00192CA0">
      <w:pPr>
        <w:spacing w:line="276" w:lineRule="auto"/>
      </w:pPr>
      <w:r w:rsidRPr="00CB2CB5">
        <w:t xml:space="preserve">EPE follows the process as summarized above during its annual and continuous resource planning </w:t>
      </w:r>
      <w:r w:rsidR="00EF7C0A">
        <w:t xml:space="preserve">in the usual </w:t>
      </w:r>
      <w:r w:rsidRPr="00CB2CB5">
        <w:t xml:space="preserve">course of business.  However, during </w:t>
      </w:r>
      <w:r w:rsidR="00851C54" w:rsidRPr="00CB2CB5">
        <w:t xml:space="preserve">years where the </w:t>
      </w:r>
      <w:r w:rsidR="00E67197">
        <w:t xml:space="preserve">IRP </w:t>
      </w:r>
      <w:r w:rsidR="00851C54" w:rsidRPr="00CB2CB5">
        <w:t xml:space="preserve">Planning Process is occurring, </w:t>
      </w:r>
      <w:r w:rsidRPr="00CB2CB5">
        <w:t>addition</w:t>
      </w:r>
      <w:r w:rsidR="00EF7C0A">
        <w:t>al key steps occur</w:t>
      </w:r>
    </w:p>
    <w:p w14:paraId="2F38A805" w14:textId="77777777" w:rsidR="007A5098" w:rsidRPr="00CB2CB5" w:rsidRDefault="007A5098" w:rsidP="008759DE">
      <w:pPr>
        <w:spacing w:line="276" w:lineRule="auto"/>
      </w:pPr>
    </w:p>
    <w:p w14:paraId="2B92A63A" w14:textId="7FA7F9B4" w:rsidR="00EC06D8" w:rsidRPr="00CB2CB5" w:rsidRDefault="001E0D78" w:rsidP="00EC06D8">
      <w:pPr>
        <w:pStyle w:val="ListParagraph"/>
        <w:numPr>
          <w:ilvl w:val="0"/>
          <w:numId w:val="18"/>
        </w:numPr>
        <w:spacing w:after="0" w:line="276" w:lineRule="auto"/>
        <w:ind w:left="360"/>
        <w:contextualSpacing w:val="0"/>
        <w:jc w:val="both"/>
        <w:rPr>
          <w:rFonts w:ascii="Times New Roman" w:hAnsi="Times New Roman"/>
          <w:sz w:val="24"/>
        </w:rPr>
      </w:pPr>
      <w:r w:rsidRPr="00CB2CB5">
        <w:rPr>
          <w:rFonts w:ascii="Times New Roman" w:eastAsia="Times New Roman" w:hAnsi="Times New Roman"/>
          <w:sz w:val="24"/>
        </w:rPr>
        <w:t>perform</w:t>
      </w:r>
      <w:r w:rsidR="006E0D27" w:rsidRPr="00CB2CB5">
        <w:rPr>
          <w:rFonts w:ascii="Times New Roman" w:eastAsia="Times New Roman" w:hAnsi="Times New Roman"/>
          <w:sz w:val="24"/>
        </w:rPr>
        <w:t>ance</w:t>
      </w:r>
      <w:r w:rsidRPr="00CB2CB5">
        <w:rPr>
          <w:rFonts w:ascii="Times New Roman" w:eastAsia="Times New Roman" w:hAnsi="Times New Roman"/>
          <w:sz w:val="24"/>
        </w:rPr>
        <w:t xml:space="preserve"> </w:t>
      </w:r>
      <w:r w:rsidR="006E0D27" w:rsidRPr="00CB2CB5">
        <w:rPr>
          <w:rFonts w:ascii="Times New Roman" w:eastAsia="Times New Roman" w:hAnsi="Times New Roman"/>
          <w:sz w:val="24"/>
        </w:rPr>
        <w:t xml:space="preserve">of </w:t>
      </w:r>
      <w:r w:rsidRPr="00CB2CB5">
        <w:rPr>
          <w:rFonts w:ascii="Times New Roman" w:eastAsia="Times New Roman" w:hAnsi="Times New Roman"/>
          <w:sz w:val="24"/>
        </w:rPr>
        <w:t>sensitivity analyse</w:t>
      </w:r>
      <w:r w:rsidR="00116804" w:rsidRPr="00CB2CB5">
        <w:rPr>
          <w:rFonts w:ascii="Times New Roman" w:eastAsia="Times New Roman" w:hAnsi="Times New Roman"/>
          <w:sz w:val="24"/>
        </w:rPr>
        <w:t>s of various factors</w:t>
      </w:r>
      <w:r w:rsidR="00727B69" w:rsidRPr="00CB2CB5">
        <w:rPr>
          <w:rFonts w:ascii="Times New Roman" w:eastAsia="Times New Roman" w:hAnsi="Times New Roman"/>
          <w:sz w:val="24"/>
        </w:rPr>
        <w:t>,</w:t>
      </w:r>
      <w:r w:rsidR="00116804" w:rsidRPr="00CB2CB5">
        <w:rPr>
          <w:rFonts w:ascii="Times New Roman" w:eastAsia="Times New Roman" w:hAnsi="Times New Roman"/>
          <w:sz w:val="24"/>
        </w:rPr>
        <w:t xml:space="preserve"> such as load forecast, fuel cost</w:t>
      </w:r>
      <w:r w:rsidR="004A2F04">
        <w:rPr>
          <w:rFonts w:ascii="Times New Roman" w:eastAsia="Times New Roman" w:hAnsi="Times New Roman"/>
          <w:sz w:val="24"/>
        </w:rPr>
        <w:t>,</w:t>
      </w:r>
      <w:r w:rsidR="00116804" w:rsidRPr="00CB2CB5">
        <w:rPr>
          <w:rFonts w:ascii="Times New Roman" w:eastAsia="Times New Roman" w:hAnsi="Times New Roman"/>
          <w:sz w:val="24"/>
        </w:rPr>
        <w:t xml:space="preserve"> carbon tax considerations at various rates</w:t>
      </w:r>
      <w:r w:rsidR="00727B69" w:rsidRPr="00CB2CB5">
        <w:rPr>
          <w:rFonts w:ascii="Times New Roman" w:eastAsia="Times New Roman" w:hAnsi="Times New Roman"/>
          <w:sz w:val="24"/>
        </w:rPr>
        <w:t>,</w:t>
      </w:r>
      <w:r w:rsidR="00116804" w:rsidRPr="00CB2CB5">
        <w:rPr>
          <w:rFonts w:ascii="Times New Roman" w:eastAsia="Times New Roman" w:hAnsi="Times New Roman"/>
          <w:sz w:val="24"/>
        </w:rPr>
        <w:t xml:space="preserve"> </w:t>
      </w:r>
      <w:r w:rsidR="004A2F04">
        <w:rPr>
          <w:rFonts w:ascii="Times New Roman" w:eastAsia="Times New Roman" w:hAnsi="Times New Roman"/>
          <w:sz w:val="24"/>
        </w:rPr>
        <w:t xml:space="preserve">DG growth, EV growth, </w:t>
      </w:r>
      <w:r w:rsidR="00116804" w:rsidRPr="00CB2CB5">
        <w:rPr>
          <w:rFonts w:ascii="Times New Roman" w:eastAsia="Times New Roman" w:hAnsi="Times New Roman"/>
          <w:sz w:val="24"/>
        </w:rPr>
        <w:t xml:space="preserve">along with </w:t>
      </w:r>
      <w:r w:rsidRPr="00CB2CB5">
        <w:rPr>
          <w:rFonts w:ascii="Times New Roman" w:eastAsia="Times New Roman" w:hAnsi="Times New Roman"/>
          <w:sz w:val="24"/>
        </w:rPr>
        <w:t xml:space="preserve">feasible </w:t>
      </w:r>
      <w:r w:rsidR="00727B69" w:rsidRPr="00CB2CB5">
        <w:rPr>
          <w:rFonts w:ascii="Times New Roman" w:eastAsia="Times New Roman" w:hAnsi="Times New Roman"/>
          <w:sz w:val="24"/>
        </w:rPr>
        <w:t xml:space="preserve">supply side and demand side resource </w:t>
      </w:r>
      <w:r w:rsidR="00116804" w:rsidRPr="00CB2CB5">
        <w:rPr>
          <w:rFonts w:ascii="Times New Roman" w:eastAsia="Times New Roman" w:hAnsi="Times New Roman"/>
          <w:sz w:val="24"/>
        </w:rPr>
        <w:t xml:space="preserve">options as suggested by the </w:t>
      </w:r>
      <w:r w:rsidR="004632D7">
        <w:rPr>
          <w:rFonts w:ascii="Times New Roman" w:eastAsia="Times New Roman" w:hAnsi="Times New Roman"/>
          <w:sz w:val="24"/>
        </w:rPr>
        <w:t>Public Participants</w:t>
      </w:r>
      <w:r w:rsidR="00851C54" w:rsidRPr="00CB2CB5">
        <w:rPr>
          <w:rFonts w:ascii="Times New Roman" w:eastAsia="Times New Roman" w:hAnsi="Times New Roman"/>
          <w:sz w:val="24"/>
        </w:rPr>
        <w:t>, and</w:t>
      </w:r>
      <w:r w:rsidR="00116804" w:rsidRPr="00CB2CB5">
        <w:rPr>
          <w:rFonts w:ascii="Times New Roman" w:eastAsia="Times New Roman" w:hAnsi="Times New Roman"/>
          <w:sz w:val="24"/>
        </w:rPr>
        <w:t xml:space="preserve"> </w:t>
      </w:r>
    </w:p>
    <w:p w14:paraId="33FFD3D1" w14:textId="77777777" w:rsidR="00EC06D8" w:rsidRPr="00CB2CB5" w:rsidRDefault="00EC06D8" w:rsidP="00EC06D8">
      <w:pPr>
        <w:spacing w:line="276" w:lineRule="auto"/>
      </w:pPr>
    </w:p>
    <w:p w14:paraId="786DBD1B" w14:textId="77777777" w:rsidR="00116804" w:rsidRPr="00CB2CB5" w:rsidRDefault="00B90205" w:rsidP="008759DE">
      <w:pPr>
        <w:pStyle w:val="ListParagraph"/>
        <w:numPr>
          <w:ilvl w:val="0"/>
          <w:numId w:val="18"/>
        </w:numPr>
        <w:spacing w:after="0" w:line="276" w:lineRule="auto"/>
        <w:ind w:left="360"/>
        <w:contextualSpacing w:val="0"/>
        <w:jc w:val="both"/>
        <w:rPr>
          <w:rFonts w:ascii="Times New Roman" w:hAnsi="Times New Roman"/>
          <w:sz w:val="24"/>
        </w:rPr>
      </w:pPr>
      <w:r w:rsidRPr="00CB2CB5">
        <w:rPr>
          <w:rFonts w:ascii="Times New Roman" w:hAnsi="Times New Roman"/>
          <w:sz w:val="24"/>
        </w:rPr>
        <w:t>production</w:t>
      </w:r>
      <w:r w:rsidR="00116804" w:rsidRPr="00CB2CB5">
        <w:rPr>
          <w:rFonts w:ascii="Times New Roman" w:hAnsi="Times New Roman"/>
          <w:sz w:val="24"/>
        </w:rPr>
        <w:t xml:space="preserve"> of the four-year action plan.</w:t>
      </w:r>
    </w:p>
    <w:p w14:paraId="24FCC041" w14:textId="77777777" w:rsidR="00116804" w:rsidRPr="00CB2CB5" w:rsidRDefault="00116804" w:rsidP="008759DE">
      <w:pPr>
        <w:spacing w:line="276" w:lineRule="auto"/>
        <w:rPr>
          <w:rFonts w:eastAsia="Times New Roman"/>
        </w:rPr>
      </w:pPr>
    </w:p>
    <w:p w14:paraId="0F683271" w14:textId="77777777" w:rsidR="003C12C8" w:rsidRPr="00CB2CB5" w:rsidRDefault="00925B19" w:rsidP="008759DE">
      <w:pPr>
        <w:pStyle w:val="Heading2"/>
        <w:numPr>
          <w:ilvl w:val="0"/>
          <w:numId w:val="37"/>
        </w:numPr>
        <w:spacing w:line="276" w:lineRule="auto"/>
        <w:ind w:left="1080" w:hanging="540"/>
        <w:rPr>
          <w:rFonts w:eastAsia="Times New Roman" w:cs="Times New Roman"/>
        </w:rPr>
      </w:pPr>
      <w:bookmarkStart w:id="6" w:name="_Toc534190289"/>
      <w:r w:rsidRPr="00CB2CB5">
        <w:rPr>
          <w:rFonts w:eastAsia="Times New Roman" w:cs="Times New Roman"/>
        </w:rPr>
        <w:t>Service Territory/Company Overview</w:t>
      </w:r>
      <w:bookmarkEnd w:id="6"/>
    </w:p>
    <w:p w14:paraId="2B63CEB3" w14:textId="77777777" w:rsidR="003C12C8" w:rsidRPr="00CB2CB5" w:rsidRDefault="003C12C8" w:rsidP="008759DE">
      <w:pPr>
        <w:pStyle w:val="ListParagraph"/>
        <w:tabs>
          <w:tab w:val="left" w:pos="540"/>
        </w:tabs>
        <w:spacing w:after="0" w:line="276" w:lineRule="auto"/>
        <w:ind w:left="0"/>
        <w:contextualSpacing w:val="0"/>
        <w:rPr>
          <w:rFonts w:ascii="Times New Roman" w:eastAsia="Times New Roman" w:hAnsi="Times New Roman"/>
          <w:sz w:val="24"/>
        </w:rPr>
      </w:pPr>
    </w:p>
    <w:p w14:paraId="40605D53" w14:textId="01783C70" w:rsidR="00456BB6" w:rsidRDefault="003C12C8" w:rsidP="00CF1803">
      <w:pPr>
        <w:pStyle w:val="ListParagraph"/>
        <w:tabs>
          <w:tab w:val="left" w:pos="1080"/>
        </w:tabs>
        <w:spacing w:after="0" w:line="276" w:lineRule="auto"/>
        <w:ind w:left="54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EPE is a public utility engaged </w:t>
      </w:r>
      <w:r w:rsidRPr="004A2F04">
        <w:rPr>
          <w:rFonts w:ascii="Times New Roman" w:eastAsia="Times New Roman" w:hAnsi="Times New Roman"/>
          <w:sz w:val="24"/>
        </w:rPr>
        <w:t>in the generation, transmission</w:t>
      </w:r>
      <w:r w:rsidR="004A2F04">
        <w:rPr>
          <w:rFonts w:ascii="Times New Roman" w:eastAsia="Times New Roman" w:hAnsi="Times New Roman"/>
          <w:sz w:val="24"/>
        </w:rPr>
        <w:t>,</w:t>
      </w:r>
      <w:r w:rsidRPr="004A2F04">
        <w:rPr>
          <w:rFonts w:ascii="Times New Roman" w:eastAsia="Times New Roman" w:hAnsi="Times New Roman"/>
          <w:sz w:val="24"/>
        </w:rPr>
        <w:t xml:space="preserve"> and distribution of electricity in an area of approximately 10,000</w:t>
      </w:r>
      <w:r w:rsidR="00C323A5" w:rsidRPr="004A2F04">
        <w:rPr>
          <w:rFonts w:ascii="Times New Roman" w:eastAsia="Times New Roman" w:hAnsi="Times New Roman"/>
          <w:sz w:val="24"/>
        </w:rPr>
        <w:t> </w:t>
      </w:r>
      <w:r w:rsidRPr="004A2F04">
        <w:rPr>
          <w:rFonts w:ascii="Times New Roman" w:eastAsia="Times New Roman" w:hAnsi="Times New Roman"/>
          <w:sz w:val="24"/>
        </w:rPr>
        <w:t>square miles in west Texas</w:t>
      </w:r>
      <w:r w:rsidR="00946E07" w:rsidRPr="004A2F04">
        <w:rPr>
          <w:rFonts w:ascii="Times New Roman" w:eastAsia="Times New Roman" w:hAnsi="Times New Roman"/>
          <w:sz w:val="24"/>
        </w:rPr>
        <w:t xml:space="preserve">, </w:t>
      </w:r>
      <w:r w:rsidRPr="004A2F04">
        <w:rPr>
          <w:rFonts w:ascii="Times New Roman" w:eastAsia="Times New Roman" w:hAnsi="Times New Roman"/>
          <w:sz w:val="24"/>
        </w:rPr>
        <w:t>and southern New</w:t>
      </w:r>
      <w:r w:rsidR="00914A69" w:rsidRPr="004A2F04">
        <w:rPr>
          <w:rFonts w:ascii="Times New Roman" w:eastAsia="Times New Roman" w:hAnsi="Times New Roman"/>
          <w:sz w:val="24"/>
        </w:rPr>
        <w:t> </w:t>
      </w:r>
      <w:r w:rsidRPr="004A2F04">
        <w:rPr>
          <w:rFonts w:ascii="Times New Roman" w:eastAsia="Times New Roman" w:hAnsi="Times New Roman"/>
          <w:sz w:val="24"/>
        </w:rPr>
        <w:t>Mexico</w:t>
      </w:r>
      <w:r w:rsidR="00C323A5" w:rsidRPr="004A2F04">
        <w:rPr>
          <w:rFonts w:ascii="Times New Roman" w:eastAsia="Times New Roman" w:hAnsi="Times New Roman"/>
          <w:sz w:val="24"/>
        </w:rPr>
        <w:t xml:space="preserve"> </w:t>
      </w:r>
      <w:r w:rsidR="00946E07" w:rsidRPr="004A2F04">
        <w:rPr>
          <w:rFonts w:ascii="Times New Roman" w:eastAsia="Times New Roman" w:hAnsi="Times New Roman"/>
          <w:sz w:val="24"/>
        </w:rPr>
        <w:t>(from Van Horn, T</w:t>
      </w:r>
      <w:r w:rsidR="006E0D27" w:rsidRPr="004A2F04">
        <w:rPr>
          <w:rFonts w:ascii="Times New Roman" w:eastAsia="Times New Roman" w:hAnsi="Times New Roman"/>
          <w:sz w:val="24"/>
        </w:rPr>
        <w:t>exas</w:t>
      </w:r>
      <w:r w:rsidR="00946E07" w:rsidRPr="004A2F04">
        <w:rPr>
          <w:rFonts w:ascii="Times New Roman" w:eastAsia="Times New Roman" w:hAnsi="Times New Roman"/>
          <w:sz w:val="24"/>
        </w:rPr>
        <w:t xml:space="preserve"> to Hatch, N</w:t>
      </w:r>
      <w:r w:rsidR="006E0D27" w:rsidRPr="004A2F04">
        <w:rPr>
          <w:rFonts w:ascii="Times New Roman" w:eastAsia="Times New Roman" w:hAnsi="Times New Roman"/>
          <w:sz w:val="24"/>
        </w:rPr>
        <w:t xml:space="preserve">ew </w:t>
      </w:r>
      <w:r w:rsidR="00946E07" w:rsidRPr="004A2F04">
        <w:rPr>
          <w:rFonts w:ascii="Times New Roman" w:eastAsia="Times New Roman" w:hAnsi="Times New Roman"/>
          <w:sz w:val="24"/>
        </w:rPr>
        <w:t>M</w:t>
      </w:r>
      <w:r w:rsidR="006E0D27" w:rsidRPr="004A2F04">
        <w:rPr>
          <w:rFonts w:ascii="Times New Roman" w:eastAsia="Times New Roman" w:hAnsi="Times New Roman"/>
          <w:sz w:val="24"/>
        </w:rPr>
        <w:t>exico</w:t>
      </w:r>
      <w:r w:rsidR="00946E07" w:rsidRPr="004A2F04">
        <w:rPr>
          <w:rFonts w:ascii="Times New Roman" w:eastAsia="Times New Roman" w:hAnsi="Times New Roman"/>
          <w:sz w:val="24"/>
        </w:rPr>
        <w:t>)</w:t>
      </w:r>
      <w:r w:rsidR="00C323A5" w:rsidRPr="004A2F04">
        <w:rPr>
          <w:rFonts w:ascii="Times New Roman" w:eastAsia="Times New Roman" w:hAnsi="Times New Roman"/>
          <w:sz w:val="24"/>
        </w:rPr>
        <w:t xml:space="preserve">. </w:t>
      </w:r>
      <w:r w:rsidR="000F3C43" w:rsidRPr="004A2F04">
        <w:rPr>
          <w:rFonts w:ascii="Times New Roman" w:eastAsia="Times New Roman" w:hAnsi="Times New Roman"/>
          <w:sz w:val="24"/>
        </w:rPr>
        <w:t xml:space="preserve"> </w:t>
      </w:r>
      <w:r w:rsidRPr="004A2F04">
        <w:rPr>
          <w:rFonts w:ascii="Times New Roman" w:eastAsia="Times New Roman" w:hAnsi="Times New Roman"/>
          <w:sz w:val="24"/>
        </w:rPr>
        <w:t xml:space="preserve">The Company serves approximately </w:t>
      </w:r>
      <w:r w:rsidR="00456BB6" w:rsidRPr="004A2F04">
        <w:rPr>
          <w:rFonts w:ascii="Times New Roman" w:eastAsia="Times New Roman" w:hAnsi="Times New Roman"/>
          <w:sz w:val="24"/>
        </w:rPr>
        <w:t>437,000</w:t>
      </w:r>
      <w:r w:rsidRPr="004A2F04">
        <w:rPr>
          <w:rFonts w:ascii="Times New Roman" w:eastAsia="Times New Roman" w:hAnsi="Times New Roman"/>
          <w:sz w:val="24"/>
        </w:rPr>
        <w:t xml:space="preserve"> residential, commercial, industrial</w:t>
      </w:r>
      <w:r w:rsidRPr="00CB2CB5">
        <w:rPr>
          <w:rFonts w:ascii="Times New Roman" w:eastAsia="Times New Roman" w:hAnsi="Times New Roman"/>
          <w:sz w:val="24"/>
        </w:rPr>
        <w:t>, public authority and wholesale customers.  The Company distributes electricity to retail customers principally in El</w:t>
      </w:r>
      <w:r w:rsidR="00744C9F" w:rsidRPr="00CB2CB5">
        <w:rPr>
          <w:rFonts w:ascii="Times New Roman" w:eastAsia="Times New Roman" w:hAnsi="Times New Roman"/>
          <w:sz w:val="24"/>
        </w:rPr>
        <w:t> </w:t>
      </w:r>
      <w:r w:rsidRPr="00CB2CB5">
        <w:rPr>
          <w:rFonts w:ascii="Times New Roman" w:eastAsia="Times New Roman" w:hAnsi="Times New Roman"/>
          <w:sz w:val="24"/>
        </w:rPr>
        <w:t>Paso, Texas</w:t>
      </w:r>
      <w:r w:rsidR="0008728F" w:rsidRPr="00CB2CB5">
        <w:rPr>
          <w:rFonts w:ascii="Times New Roman" w:eastAsia="Times New Roman" w:hAnsi="Times New Roman"/>
          <w:sz w:val="24"/>
        </w:rPr>
        <w:t>,</w:t>
      </w:r>
      <w:r w:rsidRPr="00CB2CB5">
        <w:rPr>
          <w:rFonts w:ascii="Times New Roman" w:eastAsia="Times New Roman" w:hAnsi="Times New Roman"/>
          <w:sz w:val="24"/>
        </w:rPr>
        <w:t xml:space="preserve"> and Las</w:t>
      </w:r>
      <w:r w:rsidR="00744C9F" w:rsidRPr="00CB2CB5">
        <w:rPr>
          <w:rFonts w:ascii="Times New Roman" w:eastAsia="Times New Roman" w:hAnsi="Times New Roman"/>
          <w:sz w:val="24"/>
        </w:rPr>
        <w:t> </w:t>
      </w:r>
      <w:r w:rsidRPr="00CB2CB5">
        <w:rPr>
          <w:rFonts w:ascii="Times New Roman" w:eastAsia="Times New Roman" w:hAnsi="Times New Roman"/>
          <w:sz w:val="24"/>
        </w:rPr>
        <w:t xml:space="preserve">Cruces, New Mexico. </w:t>
      </w:r>
      <w:r w:rsidR="000F3C43" w:rsidRPr="00CB2CB5">
        <w:rPr>
          <w:rFonts w:ascii="Times New Roman" w:eastAsia="Times New Roman" w:hAnsi="Times New Roman"/>
          <w:sz w:val="24"/>
        </w:rPr>
        <w:t xml:space="preserve"> </w:t>
      </w:r>
      <w:r w:rsidRPr="00CB2CB5">
        <w:rPr>
          <w:rFonts w:ascii="Times New Roman" w:eastAsia="Times New Roman" w:hAnsi="Times New Roman"/>
          <w:sz w:val="24"/>
        </w:rPr>
        <w:t>In addition, the Company</w:t>
      </w:r>
      <w:r w:rsidR="00B81EE4" w:rsidRPr="00CB2CB5">
        <w:rPr>
          <w:rFonts w:ascii="Times New Roman" w:eastAsia="Times New Roman" w:hAnsi="Times New Roman"/>
          <w:sz w:val="24"/>
        </w:rPr>
        <w:t>'</w:t>
      </w:r>
      <w:r w:rsidRPr="00CB2CB5">
        <w:rPr>
          <w:rFonts w:ascii="Times New Roman" w:eastAsia="Times New Roman" w:hAnsi="Times New Roman"/>
          <w:sz w:val="24"/>
        </w:rPr>
        <w:t>s wholesale</w:t>
      </w:r>
      <w:r w:rsidR="006E025B" w:rsidRPr="00CB2CB5">
        <w:rPr>
          <w:rFonts w:ascii="Times New Roman" w:eastAsia="Times New Roman" w:hAnsi="Times New Roman"/>
          <w:sz w:val="24"/>
        </w:rPr>
        <w:t xml:space="preserve"> energy</w:t>
      </w:r>
      <w:r w:rsidRPr="00CB2CB5">
        <w:rPr>
          <w:rFonts w:ascii="Times New Roman" w:eastAsia="Times New Roman" w:hAnsi="Times New Roman"/>
          <w:sz w:val="24"/>
        </w:rPr>
        <w:t xml:space="preserve"> sales include </w:t>
      </w:r>
      <w:r w:rsidR="0008728F" w:rsidRPr="00CB2CB5">
        <w:rPr>
          <w:rFonts w:ascii="Times New Roman" w:eastAsia="Times New Roman" w:hAnsi="Times New Roman"/>
          <w:sz w:val="24"/>
        </w:rPr>
        <w:t xml:space="preserve">those </w:t>
      </w:r>
      <w:r w:rsidRPr="00CB2CB5">
        <w:rPr>
          <w:rFonts w:ascii="Times New Roman" w:eastAsia="Times New Roman" w:hAnsi="Times New Roman"/>
          <w:sz w:val="24"/>
        </w:rPr>
        <w:t xml:space="preserve">for resale to other electric utilities and </w:t>
      </w:r>
      <w:r w:rsidR="0008728F" w:rsidRPr="00CB2CB5">
        <w:rPr>
          <w:rFonts w:ascii="Times New Roman" w:eastAsia="Times New Roman" w:hAnsi="Times New Roman"/>
          <w:sz w:val="24"/>
        </w:rPr>
        <w:t xml:space="preserve">to </w:t>
      </w:r>
      <w:r w:rsidRPr="00CB2CB5">
        <w:rPr>
          <w:rFonts w:ascii="Times New Roman" w:eastAsia="Times New Roman" w:hAnsi="Times New Roman"/>
          <w:sz w:val="24"/>
        </w:rPr>
        <w:t xml:space="preserve">power marketers. </w:t>
      </w:r>
      <w:r w:rsidR="000F3C43" w:rsidRPr="00CB2CB5">
        <w:rPr>
          <w:rFonts w:ascii="Times New Roman" w:eastAsia="Times New Roman" w:hAnsi="Times New Roman"/>
          <w:sz w:val="24"/>
        </w:rPr>
        <w:t xml:space="preserve"> </w:t>
      </w:r>
      <w:r w:rsidRPr="00CB2CB5">
        <w:rPr>
          <w:rFonts w:ascii="Times New Roman" w:eastAsia="Times New Roman" w:hAnsi="Times New Roman"/>
          <w:sz w:val="24"/>
        </w:rPr>
        <w:t>Principal industrial, public authority and other large retail customers of the Company include United States military installations, such as Fort</w:t>
      </w:r>
      <w:r w:rsidR="00C323A5" w:rsidRPr="00CB2CB5">
        <w:rPr>
          <w:rFonts w:ascii="Times New Roman" w:eastAsia="Times New Roman" w:hAnsi="Times New Roman"/>
          <w:sz w:val="24"/>
        </w:rPr>
        <w:t> </w:t>
      </w:r>
      <w:r w:rsidRPr="00CB2CB5">
        <w:rPr>
          <w:rFonts w:ascii="Times New Roman" w:eastAsia="Times New Roman" w:hAnsi="Times New Roman"/>
          <w:sz w:val="24"/>
        </w:rPr>
        <w:t>Bliss in Texas</w:t>
      </w:r>
      <w:r w:rsidR="0008728F" w:rsidRPr="00CB2CB5">
        <w:rPr>
          <w:rFonts w:ascii="Times New Roman" w:eastAsia="Times New Roman" w:hAnsi="Times New Roman"/>
          <w:sz w:val="24"/>
        </w:rPr>
        <w:t xml:space="preserve">, </w:t>
      </w:r>
      <w:r w:rsidR="00146C45" w:rsidRPr="00CB2CB5">
        <w:rPr>
          <w:rFonts w:ascii="Times New Roman" w:eastAsia="Times New Roman" w:hAnsi="Times New Roman"/>
          <w:sz w:val="24"/>
        </w:rPr>
        <w:t xml:space="preserve">as well as </w:t>
      </w:r>
      <w:r w:rsidRPr="00CB2CB5">
        <w:rPr>
          <w:rFonts w:ascii="Times New Roman" w:eastAsia="Times New Roman" w:hAnsi="Times New Roman"/>
          <w:sz w:val="24"/>
        </w:rPr>
        <w:t>White Sands Missile Range ("White Sands") and Holloman Air Force Base ("</w:t>
      </w:r>
      <w:proofErr w:type="spellStart"/>
      <w:r w:rsidRPr="00CB2CB5">
        <w:rPr>
          <w:rFonts w:ascii="Times New Roman" w:eastAsia="Times New Roman" w:hAnsi="Times New Roman"/>
          <w:sz w:val="24"/>
        </w:rPr>
        <w:t>HAFB</w:t>
      </w:r>
      <w:proofErr w:type="spellEnd"/>
      <w:r w:rsidRPr="00CB2CB5">
        <w:rPr>
          <w:rFonts w:ascii="Times New Roman" w:eastAsia="Times New Roman" w:hAnsi="Times New Roman"/>
          <w:sz w:val="24"/>
        </w:rPr>
        <w:t>")</w:t>
      </w:r>
      <w:r w:rsidR="00146C45" w:rsidRPr="00CB2CB5">
        <w:rPr>
          <w:rFonts w:ascii="Times New Roman" w:eastAsia="Times New Roman" w:hAnsi="Times New Roman"/>
          <w:sz w:val="24"/>
        </w:rPr>
        <w:t>, both in New Mexico.</w:t>
      </w:r>
      <w:r w:rsidR="0008728F" w:rsidRPr="00CB2CB5">
        <w:rPr>
          <w:rFonts w:ascii="Times New Roman" w:eastAsia="Times New Roman" w:hAnsi="Times New Roman"/>
          <w:sz w:val="24"/>
        </w:rPr>
        <w:t xml:space="preserve"> </w:t>
      </w:r>
      <w:r w:rsidR="00146C45" w:rsidRPr="00CB2CB5">
        <w:rPr>
          <w:rFonts w:ascii="Times New Roman" w:eastAsia="Times New Roman" w:hAnsi="Times New Roman"/>
          <w:sz w:val="24"/>
        </w:rPr>
        <w:t xml:space="preserve">EPE also serves </w:t>
      </w:r>
      <w:r w:rsidRPr="00CB2CB5">
        <w:rPr>
          <w:rFonts w:ascii="Times New Roman" w:eastAsia="Times New Roman" w:hAnsi="Times New Roman"/>
          <w:sz w:val="24"/>
        </w:rPr>
        <w:t xml:space="preserve">an oil refinery, several medical centers, two </w:t>
      </w:r>
      <w:r w:rsidR="004A2F04">
        <w:rPr>
          <w:rFonts w:ascii="Times New Roman" w:eastAsia="Times New Roman" w:hAnsi="Times New Roman"/>
          <w:sz w:val="24"/>
        </w:rPr>
        <w:t>major</w:t>
      </w:r>
      <w:r w:rsidR="004A2F04" w:rsidRPr="00CB2CB5">
        <w:rPr>
          <w:rFonts w:ascii="Times New Roman" w:eastAsia="Times New Roman" w:hAnsi="Times New Roman"/>
          <w:sz w:val="24"/>
        </w:rPr>
        <w:t xml:space="preserve"> </w:t>
      </w:r>
      <w:r w:rsidRPr="00CB2CB5">
        <w:rPr>
          <w:rFonts w:ascii="Times New Roman" w:eastAsia="Times New Roman" w:hAnsi="Times New Roman"/>
          <w:sz w:val="24"/>
        </w:rPr>
        <w:t>universities and a steel production facility.</w:t>
      </w:r>
      <w:r w:rsidR="00727B69" w:rsidRPr="00CB2CB5">
        <w:rPr>
          <w:rFonts w:ascii="Times New Roman" w:eastAsia="Times New Roman" w:hAnsi="Times New Roman"/>
          <w:sz w:val="24"/>
        </w:rPr>
        <w:t xml:space="preserve">  Figure 1 shows a geographical representation of</w:t>
      </w:r>
      <w:r w:rsidR="00456BB6">
        <w:rPr>
          <w:rFonts w:ascii="Times New Roman" w:eastAsia="Times New Roman" w:hAnsi="Times New Roman"/>
          <w:sz w:val="24"/>
        </w:rPr>
        <w:t xml:space="preserve"> EP</w:t>
      </w:r>
      <w:r w:rsidR="00727B69" w:rsidRPr="00CB2CB5">
        <w:rPr>
          <w:rFonts w:ascii="Times New Roman" w:eastAsia="Times New Roman" w:hAnsi="Times New Roman"/>
          <w:sz w:val="24"/>
        </w:rPr>
        <w:t>E</w:t>
      </w:r>
      <w:r w:rsidR="00B81EE4" w:rsidRPr="00CB2CB5">
        <w:rPr>
          <w:rFonts w:ascii="Times New Roman" w:eastAsia="Times New Roman" w:hAnsi="Times New Roman"/>
          <w:sz w:val="24"/>
        </w:rPr>
        <w:t>'</w:t>
      </w:r>
      <w:r w:rsidR="00727B69" w:rsidRPr="00CB2CB5">
        <w:rPr>
          <w:rFonts w:ascii="Times New Roman" w:eastAsia="Times New Roman" w:hAnsi="Times New Roman"/>
          <w:sz w:val="24"/>
        </w:rPr>
        <w:t>s</w:t>
      </w:r>
      <w:r w:rsidR="00456BB6">
        <w:rPr>
          <w:rFonts w:ascii="Times New Roman" w:eastAsia="Times New Roman" w:hAnsi="Times New Roman"/>
          <w:sz w:val="24"/>
        </w:rPr>
        <w:t xml:space="preserve"> </w:t>
      </w:r>
      <w:r w:rsidR="00727B69" w:rsidRPr="00CB2CB5">
        <w:rPr>
          <w:rFonts w:ascii="Times New Roman" w:eastAsia="Times New Roman" w:hAnsi="Times New Roman"/>
          <w:sz w:val="24"/>
        </w:rPr>
        <w:t>total service territory.</w:t>
      </w:r>
    </w:p>
    <w:p w14:paraId="378645CA" w14:textId="0B4A670F" w:rsidR="002F4598" w:rsidRPr="00CB2CB5" w:rsidRDefault="00456BB6" w:rsidP="004A2F04">
      <w:pPr>
        <w:pStyle w:val="ListParagraph"/>
        <w:tabs>
          <w:tab w:val="left" w:pos="1080"/>
        </w:tabs>
        <w:spacing w:after="0" w:line="276" w:lineRule="auto"/>
        <w:ind w:left="540"/>
        <w:contextualSpacing w:val="0"/>
        <w:rPr>
          <w:rFonts w:ascii="Times New Roman" w:eastAsia="Times New Roman" w:hAnsi="Times New Roman"/>
          <w:sz w:val="24"/>
        </w:rPr>
      </w:pPr>
      <w:r w:rsidRPr="00456BB6">
        <w:rPr>
          <w:noProof/>
        </w:rPr>
        <w:lastRenderedPageBreak/>
        <w:t xml:space="preserve"> </w:t>
      </w:r>
      <w:r>
        <w:rPr>
          <w:noProof/>
        </w:rPr>
        <w:drawing>
          <wp:inline distT="0" distB="0" distL="0" distR="0" wp14:anchorId="3DA5461C" wp14:editId="4B46005D">
            <wp:extent cx="5604148" cy="666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9318" cy="6745036"/>
                    </a:xfrm>
                    <a:prstGeom prst="rect">
                      <a:avLst/>
                    </a:prstGeom>
                  </pic:spPr>
                </pic:pic>
              </a:graphicData>
            </a:graphic>
          </wp:inline>
        </w:drawing>
      </w:r>
    </w:p>
    <w:p w14:paraId="4EE2CCB3" w14:textId="41DAFBBF" w:rsidR="00DE2A0D" w:rsidRPr="00CB2CB5" w:rsidRDefault="00DE2A0D" w:rsidP="002F4598">
      <w:pPr>
        <w:pStyle w:val="ListParagraph"/>
        <w:tabs>
          <w:tab w:val="left" w:pos="1080"/>
        </w:tabs>
        <w:spacing w:after="0" w:line="276" w:lineRule="auto"/>
        <w:ind w:left="540"/>
        <w:contextualSpacing w:val="0"/>
        <w:jc w:val="both"/>
      </w:pPr>
    </w:p>
    <w:p w14:paraId="6DD3C81D" w14:textId="77777777" w:rsidR="00744C9F" w:rsidRPr="00CB2CB5" w:rsidRDefault="00DE2A0D" w:rsidP="008759DE">
      <w:pPr>
        <w:pStyle w:val="Caption"/>
        <w:spacing w:line="276" w:lineRule="auto"/>
        <w:jc w:val="center"/>
      </w:pPr>
      <w:bookmarkStart w:id="7" w:name="_Toc524604248"/>
      <w:r w:rsidRPr="00CB2CB5">
        <w:t xml:space="preserve">Figure </w:t>
      </w:r>
      <w:r w:rsidR="00AD06CC" w:rsidRPr="00CB2CB5">
        <w:rPr>
          <w:noProof/>
        </w:rPr>
        <w:fldChar w:fldCharType="begin"/>
      </w:r>
      <w:r w:rsidR="00AD06CC" w:rsidRPr="00CB2CB5">
        <w:rPr>
          <w:noProof/>
        </w:rPr>
        <w:instrText xml:space="preserve"> SEQ Figure \* ARABIC </w:instrText>
      </w:r>
      <w:r w:rsidR="00AD06CC" w:rsidRPr="00CB2CB5">
        <w:rPr>
          <w:noProof/>
        </w:rPr>
        <w:fldChar w:fldCharType="separate"/>
      </w:r>
      <w:r w:rsidR="00FD552A" w:rsidRPr="00CB2CB5">
        <w:rPr>
          <w:noProof/>
        </w:rPr>
        <w:t>1</w:t>
      </w:r>
      <w:r w:rsidR="00AD06CC" w:rsidRPr="00CB2CB5">
        <w:rPr>
          <w:noProof/>
        </w:rPr>
        <w:fldChar w:fldCharType="end"/>
      </w:r>
      <w:r w:rsidRPr="00CB2CB5">
        <w:t xml:space="preserve"> </w:t>
      </w:r>
      <w:r w:rsidR="00BE0899" w:rsidRPr="00CB2CB5">
        <w:t xml:space="preserve">– </w:t>
      </w:r>
      <w:r w:rsidRPr="00CB2CB5">
        <w:t>EPE Service Territory</w:t>
      </w:r>
      <w:bookmarkEnd w:id="7"/>
    </w:p>
    <w:p w14:paraId="70B0FF9C" w14:textId="3C4CE530" w:rsidR="003C12C8" w:rsidRDefault="003C12C8" w:rsidP="008759DE">
      <w:pPr>
        <w:tabs>
          <w:tab w:val="left" w:pos="540"/>
        </w:tabs>
        <w:spacing w:line="276" w:lineRule="auto"/>
        <w:rPr>
          <w:rFonts w:eastAsia="Times New Roman"/>
        </w:rPr>
      </w:pPr>
    </w:p>
    <w:p w14:paraId="6D012B44" w14:textId="60E5BED2" w:rsidR="008A5446" w:rsidRDefault="008A5446" w:rsidP="008759DE">
      <w:pPr>
        <w:tabs>
          <w:tab w:val="left" w:pos="540"/>
        </w:tabs>
        <w:spacing w:line="276" w:lineRule="auto"/>
        <w:rPr>
          <w:rFonts w:eastAsia="Times New Roman"/>
        </w:rPr>
      </w:pPr>
    </w:p>
    <w:p w14:paraId="68D66683" w14:textId="77777777" w:rsidR="008A5446" w:rsidRPr="00CB2CB5" w:rsidRDefault="008A5446" w:rsidP="008759DE">
      <w:pPr>
        <w:tabs>
          <w:tab w:val="left" w:pos="540"/>
        </w:tabs>
        <w:spacing w:line="276" w:lineRule="auto"/>
        <w:rPr>
          <w:rFonts w:eastAsia="Times New Roman"/>
        </w:rPr>
      </w:pPr>
    </w:p>
    <w:p w14:paraId="514B0645" w14:textId="463AEC2A" w:rsidR="003C12C8" w:rsidRPr="00CB2CB5" w:rsidRDefault="00925B19" w:rsidP="008759DE">
      <w:pPr>
        <w:pStyle w:val="Heading2"/>
        <w:numPr>
          <w:ilvl w:val="0"/>
          <w:numId w:val="37"/>
        </w:numPr>
        <w:spacing w:line="276" w:lineRule="auto"/>
        <w:ind w:left="1080" w:hanging="540"/>
        <w:rPr>
          <w:rFonts w:eastAsia="Times New Roman"/>
        </w:rPr>
      </w:pPr>
      <w:bookmarkStart w:id="8" w:name="_Toc534190290"/>
      <w:r w:rsidRPr="00CB2CB5">
        <w:rPr>
          <w:rFonts w:eastAsia="Times New Roman"/>
        </w:rPr>
        <w:lastRenderedPageBreak/>
        <w:t xml:space="preserve">Summary </w:t>
      </w:r>
      <w:r w:rsidR="00EB31CB" w:rsidRPr="00CB2CB5">
        <w:rPr>
          <w:rFonts w:eastAsia="Times New Roman"/>
        </w:rPr>
        <w:t>o</w:t>
      </w:r>
      <w:r w:rsidRPr="00CB2CB5">
        <w:rPr>
          <w:rFonts w:eastAsia="Times New Roman"/>
        </w:rPr>
        <w:t xml:space="preserve">f </w:t>
      </w:r>
      <w:r w:rsidR="00547177" w:rsidRPr="00CB2CB5">
        <w:rPr>
          <w:rFonts w:eastAsia="Times New Roman"/>
        </w:rPr>
        <w:t xml:space="preserve">the </w:t>
      </w:r>
      <w:r w:rsidR="00456BB6" w:rsidRPr="00CB2CB5">
        <w:rPr>
          <w:rFonts w:eastAsia="Times New Roman"/>
        </w:rPr>
        <w:t>201</w:t>
      </w:r>
      <w:r w:rsidR="00456BB6">
        <w:rPr>
          <w:rFonts w:eastAsia="Times New Roman"/>
        </w:rPr>
        <w:t>8</w:t>
      </w:r>
      <w:r w:rsidR="00456BB6" w:rsidRPr="00CB2CB5">
        <w:rPr>
          <w:rFonts w:eastAsia="Times New Roman"/>
        </w:rPr>
        <w:t xml:space="preserve"> </w:t>
      </w:r>
      <w:r w:rsidR="00EB31CB" w:rsidRPr="00CB2CB5">
        <w:rPr>
          <w:rFonts w:eastAsia="Times New Roman"/>
        </w:rPr>
        <w:t>IRP</w:t>
      </w:r>
      <w:r w:rsidRPr="00CB2CB5">
        <w:rPr>
          <w:rFonts w:eastAsia="Times New Roman"/>
        </w:rPr>
        <w:t xml:space="preserve"> Action Plan </w:t>
      </w:r>
      <w:r w:rsidR="00EB31CB" w:rsidRPr="00CB2CB5">
        <w:rPr>
          <w:rFonts w:eastAsia="Times New Roman"/>
        </w:rPr>
        <w:t>a</w:t>
      </w:r>
      <w:r w:rsidRPr="00CB2CB5">
        <w:rPr>
          <w:rFonts w:eastAsia="Times New Roman"/>
        </w:rPr>
        <w:t>nd Status</w:t>
      </w:r>
      <w:bookmarkEnd w:id="8"/>
    </w:p>
    <w:p w14:paraId="463C75FC" w14:textId="77777777" w:rsidR="003C12C8" w:rsidRPr="00CB2CB5" w:rsidRDefault="003C12C8" w:rsidP="008759DE">
      <w:pPr>
        <w:spacing w:line="276" w:lineRule="auto"/>
        <w:ind w:left="540"/>
        <w:rPr>
          <w:rFonts w:eastAsia="Times New Roman"/>
        </w:rPr>
      </w:pPr>
    </w:p>
    <w:p w14:paraId="4372C58D" w14:textId="3B3310D6" w:rsidR="00831B0F" w:rsidRDefault="003C12C8" w:rsidP="008759DE">
      <w:pPr>
        <w:pStyle w:val="ListParagraph"/>
        <w:tabs>
          <w:tab w:val="left" w:pos="1080"/>
        </w:tabs>
        <w:spacing w:after="0" w:line="276" w:lineRule="auto"/>
        <w:ind w:left="54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EPE has </w:t>
      </w:r>
      <w:r w:rsidR="00D46D99" w:rsidRPr="00CB2CB5">
        <w:rPr>
          <w:rFonts w:ascii="Times New Roman" w:eastAsia="Times New Roman" w:hAnsi="Times New Roman"/>
          <w:sz w:val="24"/>
        </w:rPr>
        <w:t>completed</w:t>
      </w:r>
      <w:r w:rsidRPr="00CB2CB5">
        <w:rPr>
          <w:rFonts w:ascii="Times New Roman" w:eastAsia="Times New Roman" w:hAnsi="Times New Roman"/>
          <w:sz w:val="24"/>
        </w:rPr>
        <w:t xml:space="preserve"> </w:t>
      </w:r>
      <w:r w:rsidR="00D46D99" w:rsidRPr="00CB2CB5">
        <w:rPr>
          <w:rFonts w:ascii="Times New Roman" w:eastAsia="Times New Roman" w:hAnsi="Times New Roman"/>
          <w:sz w:val="24"/>
        </w:rPr>
        <w:t xml:space="preserve">all </w:t>
      </w:r>
      <w:r w:rsidR="0008728F" w:rsidRPr="00CB2CB5">
        <w:rPr>
          <w:rFonts w:ascii="Times New Roman" w:eastAsia="Times New Roman" w:hAnsi="Times New Roman"/>
          <w:sz w:val="24"/>
        </w:rPr>
        <w:t xml:space="preserve">required </w:t>
      </w:r>
      <w:r w:rsidRPr="00CB2CB5">
        <w:rPr>
          <w:rFonts w:ascii="Times New Roman" w:eastAsia="Times New Roman" w:hAnsi="Times New Roman"/>
          <w:sz w:val="24"/>
        </w:rPr>
        <w:t xml:space="preserve">items </w:t>
      </w:r>
      <w:r w:rsidR="00547177" w:rsidRPr="004A2F04">
        <w:rPr>
          <w:rFonts w:ascii="Times New Roman" w:eastAsia="Times New Roman" w:hAnsi="Times New Roman"/>
          <w:sz w:val="24"/>
        </w:rPr>
        <w:t>set forth in</w:t>
      </w:r>
      <w:r w:rsidRPr="004A2F04">
        <w:rPr>
          <w:rFonts w:ascii="Times New Roman" w:eastAsia="Times New Roman" w:hAnsi="Times New Roman"/>
          <w:sz w:val="24"/>
        </w:rPr>
        <w:t xml:space="preserve"> its </w:t>
      </w:r>
      <w:r w:rsidR="00456BB6" w:rsidRPr="004A2F04">
        <w:rPr>
          <w:rFonts w:ascii="Times New Roman" w:eastAsia="Times New Roman" w:hAnsi="Times New Roman"/>
          <w:sz w:val="24"/>
        </w:rPr>
        <w:t xml:space="preserve">2018 </w:t>
      </w:r>
      <w:r w:rsidRPr="004A2F04">
        <w:rPr>
          <w:rFonts w:ascii="Times New Roman" w:eastAsia="Times New Roman" w:hAnsi="Times New Roman"/>
          <w:sz w:val="24"/>
        </w:rPr>
        <w:t>IRP four</w:t>
      </w:r>
      <w:r w:rsidR="00F73ABC" w:rsidRPr="004A2F04">
        <w:rPr>
          <w:rFonts w:ascii="Times New Roman" w:eastAsia="Times New Roman" w:hAnsi="Times New Roman"/>
          <w:sz w:val="24"/>
        </w:rPr>
        <w:t>-</w:t>
      </w:r>
      <w:r w:rsidRPr="004A2F04">
        <w:rPr>
          <w:rFonts w:ascii="Times New Roman" w:eastAsia="Times New Roman" w:hAnsi="Times New Roman"/>
          <w:sz w:val="24"/>
        </w:rPr>
        <w:t>year action</w:t>
      </w:r>
      <w:r w:rsidR="00D46D99" w:rsidRPr="004A2F04">
        <w:rPr>
          <w:rFonts w:ascii="Times New Roman" w:eastAsia="Times New Roman" w:hAnsi="Times New Roman"/>
          <w:sz w:val="24"/>
        </w:rPr>
        <w:t xml:space="preserve"> plan</w:t>
      </w:r>
      <w:r w:rsidRPr="004A2F04">
        <w:rPr>
          <w:rFonts w:ascii="Times New Roman" w:eastAsia="Times New Roman" w:hAnsi="Times New Roman"/>
          <w:sz w:val="24"/>
        </w:rPr>
        <w:t xml:space="preserve">. </w:t>
      </w:r>
      <w:r w:rsidR="00831B0F" w:rsidRPr="004A2F04">
        <w:rPr>
          <w:rFonts w:ascii="Times New Roman" w:eastAsia="Times New Roman" w:hAnsi="Times New Roman"/>
          <w:sz w:val="24"/>
        </w:rPr>
        <w:t>In summary, EPE</w:t>
      </w:r>
      <w:r w:rsidR="00510031">
        <w:rPr>
          <w:rFonts w:ascii="Times New Roman" w:eastAsia="Times New Roman" w:hAnsi="Times New Roman"/>
          <w:sz w:val="24"/>
        </w:rPr>
        <w:t>:</w:t>
      </w:r>
    </w:p>
    <w:p w14:paraId="64709F9F" w14:textId="094DD49E" w:rsidR="00831B0F" w:rsidRPr="004A2F04" w:rsidRDefault="00831B0F" w:rsidP="004A2F04">
      <w:pPr>
        <w:tabs>
          <w:tab w:val="left" w:pos="1080"/>
        </w:tabs>
        <w:spacing w:line="276" w:lineRule="auto"/>
        <w:ind w:left="600"/>
        <w:rPr>
          <w:rFonts w:eastAsia="Times New Roman"/>
        </w:rPr>
      </w:pPr>
      <w:r w:rsidRPr="004A2F04">
        <w:rPr>
          <w:rFonts w:eastAsia="Times New Roman"/>
        </w:rPr>
        <w:t xml:space="preserve"> </w:t>
      </w:r>
      <w:r w:rsidRPr="004A2F04">
        <w:rPr>
          <w:rFonts w:eastAsia="Times New Roman"/>
        </w:rPr>
        <w:tab/>
      </w:r>
    </w:p>
    <w:p w14:paraId="6B3C1DC4" w14:textId="29918192" w:rsidR="00E04DA1" w:rsidRDefault="00E04DA1" w:rsidP="00831B0F">
      <w:pPr>
        <w:pStyle w:val="ListParagraph"/>
        <w:numPr>
          <w:ilvl w:val="0"/>
          <w:numId w:val="141"/>
        </w:numPr>
        <w:tabs>
          <w:tab w:val="left" w:pos="1080"/>
        </w:tabs>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    </w:t>
      </w:r>
      <w:r w:rsidRPr="00561ECF">
        <w:rPr>
          <w:rFonts w:ascii="Times New Roman" w:eastAsia="Times New Roman" w:hAnsi="Times New Roman"/>
          <w:sz w:val="24"/>
        </w:rPr>
        <w:t xml:space="preserve">filed for regulatory approval with the NMPRC for resources </w:t>
      </w:r>
      <w:r w:rsidR="002A3EC0">
        <w:rPr>
          <w:rFonts w:ascii="Times New Roman" w:eastAsia="Times New Roman" w:hAnsi="Times New Roman"/>
          <w:sz w:val="24"/>
        </w:rPr>
        <w:t>selected from</w:t>
      </w:r>
      <w:r w:rsidRPr="00561ECF">
        <w:rPr>
          <w:rFonts w:ascii="Times New Roman" w:eastAsia="Times New Roman" w:hAnsi="Times New Roman"/>
          <w:sz w:val="24"/>
        </w:rPr>
        <w:t xml:space="preserve"> the Company's 2017 All Source </w:t>
      </w:r>
      <w:r>
        <w:rPr>
          <w:rFonts w:ascii="Times New Roman" w:eastAsia="Times New Roman" w:hAnsi="Times New Roman"/>
          <w:sz w:val="24"/>
        </w:rPr>
        <w:t>RFP</w:t>
      </w:r>
      <w:r w:rsidRPr="00561ECF">
        <w:rPr>
          <w:rFonts w:ascii="Times New Roman" w:eastAsia="Times New Roman" w:hAnsi="Times New Roman"/>
          <w:sz w:val="24"/>
        </w:rPr>
        <w:t xml:space="preserve"> for Electric Power Supply and Load Management </w:t>
      </w:r>
      <w:proofErr w:type="gramStart"/>
      <w:r w:rsidRPr="00561ECF">
        <w:rPr>
          <w:rFonts w:ascii="Times New Roman" w:eastAsia="Times New Roman" w:hAnsi="Times New Roman"/>
          <w:sz w:val="24"/>
        </w:rPr>
        <w:t>Resources</w:t>
      </w:r>
      <w:r w:rsidR="00CD040E">
        <w:rPr>
          <w:rFonts w:ascii="Times New Roman" w:eastAsia="Times New Roman" w:hAnsi="Times New Roman"/>
          <w:sz w:val="24"/>
        </w:rPr>
        <w:t>;</w:t>
      </w:r>
      <w:proofErr w:type="gramEnd"/>
    </w:p>
    <w:p w14:paraId="1647D9E9" w14:textId="4E247556" w:rsidR="00831B0F" w:rsidRDefault="003C12C8" w:rsidP="00831B0F">
      <w:pPr>
        <w:pStyle w:val="ListParagraph"/>
        <w:numPr>
          <w:ilvl w:val="0"/>
          <w:numId w:val="141"/>
        </w:numPr>
        <w:tabs>
          <w:tab w:val="left" w:pos="1080"/>
        </w:tabs>
        <w:spacing w:after="0" w:line="276" w:lineRule="auto"/>
        <w:contextualSpacing w:val="0"/>
        <w:jc w:val="both"/>
        <w:rPr>
          <w:rFonts w:ascii="Times New Roman" w:eastAsia="Times New Roman" w:hAnsi="Times New Roman"/>
          <w:sz w:val="24"/>
        </w:rPr>
      </w:pPr>
      <w:r w:rsidRPr="00CB2CB5">
        <w:rPr>
          <w:rFonts w:ascii="Times New Roman" w:eastAsia="Times New Roman" w:hAnsi="Times New Roman"/>
          <w:sz w:val="24"/>
        </w:rPr>
        <w:t xml:space="preserve">  </w:t>
      </w:r>
      <w:r w:rsidR="00831B0F">
        <w:rPr>
          <w:rFonts w:ascii="Times New Roman" w:eastAsia="Times New Roman" w:hAnsi="Times New Roman"/>
          <w:sz w:val="24"/>
        </w:rPr>
        <w:t xml:space="preserve">  </w:t>
      </w:r>
      <w:r w:rsidRPr="00CB2CB5">
        <w:rPr>
          <w:rFonts w:ascii="Times New Roman" w:eastAsia="Times New Roman" w:hAnsi="Times New Roman"/>
          <w:sz w:val="24"/>
        </w:rPr>
        <w:t xml:space="preserve">filed its </w:t>
      </w:r>
      <w:r w:rsidR="00831B0F" w:rsidRPr="00CB2CB5">
        <w:rPr>
          <w:rFonts w:ascii="Times New Roman" w:eastAsia="Times New Roman" w:hAnsi="Times New Roman"/>
          <w:sz w:val="24"/>
        </w:rPr>
        <w:t>201</w:t>
      </w:r>
      <w:r w:rsidR="00831B0F">
        <w:rPr>
          <w:rFonts w:ascii="Times New Roman" w:eastAsia="Times New Roman" w:hAnsi="Times New Roman"/>
          <w:sz w:val="24"/>
        </w:rPr>
        <w:t>8</w:t>
      </w:r>
      <w:r w:rsidRPr="00CB2CB5">
        <w:rPr>
          <w:rFonts w:ascii="Times New Roman" w:eastAsia="Times New Roman" w:hAnsi="Times New Roman"/>
          <w:sz w:val="24"/>
        </w:rPr>
        <w:t xml:space="preserve">, </w:t>
      </w:r>
      <w:r w:rsidR="00831B0F" w:rsidRPr="00CB2CB5">
        <w:rPr>
          <w:rFonts w:ascii="Times New Roman" w:eastAsia="Times New Roman" w:hAnsi="Times New Roman"/>
          <w:sz w:val="24"/>
        </w:rPr>
        <w:t>201</w:t>
      </w:r>
      <w:r w:rsidR="00831B0F">
        <w:rPr>
          <w:rFonts w:ascii="Times New Roman" w:eastAsia="Times New Roman" w:hAnsi="Times New Roman"/>
          <w:sz w:val="24"/>
        </w:rPr>
        <w:t>9-2020</w:t>
      </w:r>
      <w:r w:rsidR="00547177" w:rsidRPr="00CB2CB5">
        <w:rPr>
          <w:rFonts w:ascii="Times New Roman" w:eastAsia="Times New Roman" w:hAnsi="Times New Roman"/>
          <w:sz w:val="24"/>
        </w:rPr>
        <w:t>,</w:t>
      </w:r>
      <w:r w:rsidRPr="00CB2CB5">
        <w:rPr>
          <w:rFonts w:ascii="Times New Roman" w:eastAsia="Times New Roman" w:hAnsi="Times New Roman"/>
          <w:sz w:val="24"/>
        </w:rPr>
        <w:t xml:space="preserve"> and </w:t>
      </w:r>
      <w:r w:rsidR="00831B0F" w:rsidRPr="00CB2CB5">
        <w:rPr>
          <w:rFonts w:ascii="Times New Roman" w:eastAsia="Times New Roman" w:hAnsi="Times New Roman"/>
          <w:sz w:val="24"/>
        </w:rPr>
        <w:t>20</w:t>
      </w:r>
      <w:r w:rsidR="00831B0F">
        <w:rPr>
          <w:rFonts w:ascii="Times New Roman" w:eastAsia="Times New Roman" w:hAnsi="Times New Roman"/>
          <w:sz w:val="24"/>
        </w:rPr>
        <w:t>21</w:t>
      </w:r>
      <w:r w:rsidR="00831B0F" w:rsidRPr="00CB2CB5">
        <w:rPr>
          <w:rFonts w:ascii="Times New Roman" w:eastAsia="Times New Roman" w:hAnsi="Times New Roman"/>
          <w:sz w:val="24"/>
        </w:rPr>
        <w:t xml:space="preserve"> </w:t>
      </w:r>
      <w:r w:rsidR="00831B0F">
        <w:rPr>
          <w:rFonts w:ascii="Times New Roman" w:eastAsia="Times New Roman" w:hAnsi="Times New Roman"/>
          <w:sz w:val="24"/>
        </w:rPr>
        <w:t xml:space="preserve">Annual Renewable Energy Plan </w:t>
      </w:r>
      <w:r w:rsidRPr="00CB2CB5">
        <w:rPr>
          <w:rFonts w:ascii="Times New Roman" w:eastAsia="Times New Roman" w:hAnsi="Times New Roman"/>
          <w:sz w:val="24"/>
        </w:rPr>
        <w:t xml:space="preserve">pursuant to 17.9.572 NMAC and the </w:t>
      </w:r>
      <w:proofErr w:type="gramStart"/>
      <w:r w:rsidRPr="00CB2CB5">
        <w:rPr>
          <w:rFonts w:ascii="Times New Roman" w:eastAsia="Times New Roman" w:hAnsi="Times New Roman"/>
          <w:sz w:val="24"/>
        </w:rPr>
        <w:t>REA</w:t>
      </w:r>
      <w:r w:rsidR="00CD040E">
        <w:rPr>
          <w:rFonts w:ascii="Times New Roman" w:eastAsia="Times New Roman" w:hAnsi="Times New Roman"/>
          <w:sz w:val="24"/>
        </w:rPr>
        <w:t>;</w:t>
      </w:r>
      <w:proofErr w:type="gramEnd"/>
      <w:r w:rsidRPr="00CB2CB5">
        <w:rPr>
          <w:rFonts w:ascii="Times New Roman" w:eastAsia="Times New Roman" w:hAnsi="Times New Roman"/>
          <w:sz w:val="24"/>
        </w:rPr>
        <w:t xml:space="preserve">  </w:t>
      </w:r>
    </w:p>
    <w:p w14:paraId="18871420" w14:textId="40C8EC01" w:rsidR="003C0EF8" w:rsidRDefault="00831B0F" w:rsidP="00831B0F">
      <w:pPr>
        <w:pStyle w:val="ListParagraph"/>
        <w:numPr>
          <w:ilvl w:val="0"/>
          <w:numId w:val="141"/>
        </w:numPr>
        <w:tabs>
          <w:tab w:val="left" w:pos="1080"/>
        </w:tabs>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    </w:t>
      </w:r>
      <w:r w:rsidR="003C12C8" w:rsidRPr="00CB2CB5">
        <w:rPr>
          <w:rFonts w:ascii="Times New Roman" w:eastAsia="Times New Roman" w:hAnsi="Times New Roman"/>
          <w:sz w:val="24"/>
        </w:rPr>
        <w:t xml:space="preserve">filed its </w:t>
      </w:r>
      <w:r w:rsidR="00CD040E">
        <w:rPr>
          <w:rFonts w:ascii="Times New Roman" w:eastAsia="Times New Roman" w:hAnsi="Times New Roman"/>
          <w:sz w:val="24"/>
        </w:rPr>
        <w:t xml:space="preserve">2019-2021 </w:t>
      </w:r>
      <w:r w:rsidR="003C12C8" w:rsidRPr="00CB2CB5">
        <w:rPr>
          <w:rFonts w:ascii="Times New Roman" w:eastAsia="Times New Roman" w:hAnsi="Times New Roman"/>
          <w:sz w:val="24"/>
        </w:rPr>
        <w:t>Energy Efficiency</w:t>
      </w:r>
      <w:r w:rsidR="0049146A">
        <w:rPr>
          <w:rFonts w:ascii="Times New Roman" w:eastAsia="Times New Roman" w:hAnsi="Times New Roman"/>
          <w:sz w:val="24"/>
        </w:rPr>
        <w:t xml:space="preserve"> and Load Management Plan</w:t>
      </w:r>
      <w:r w:rsidR="003C12C8" w:rsidRPr="00CB2CB5">
        <w:rPr>
          <w:rFonts w:ascii="Times New Roman" w:eastAsia="Times New Roman" w:hAnsi="Times New Roman"/>
          <w:sz w:val="24"/>
        </w:rPr>
        <w:t xml:space="preserve"> in </w:t>
      </w:r>
      <w:r w:rsidR="0049146A">
        <w:rPr>
          <w:rFonts w:ascii="Times New Roman" w:eastAsia="Times New Roman" w:hAnsi="Times New Roman"/>
          <w:sz w:val="24"/>
        </w:rPr>
        <w:t>2018</w:t>
      </w:r>
      <w:r w:rsidR="0049146A" w:rsidRPr="00CB2CB5">
        <w:rPr>
          <w:rFonts w:ascii="Times New Roman" w:eastAsia="Times New Roman" w:hAnsi="Times New Roman"/>
          <w:sz w:val="24"/>
        </w:rPr>
        <w:t xml:space="preserve"> </w:t>
      </w:r>
      <w:r w:rsidR="003C12C8" w:rsidRPr="00CB2CB5">
        <w:rPr>
          <w:rFonts w:ascii="Times New Roman" w:eastAsia="Times New Roman" w:hAnsi="Times New Roman"/>
          <w:sz w:val="24"/>
        </w:rPr>
        <w:t xml:space="preserve">pursuant to 17.7.2 NMAC and the </w:t>
      </w:r>
      <w:proofErr w:type="spellStart"/>
      <w:r w:rsidR="003C12C8" w:rsidRPr="00CB2CB5">
        <w:rPr>
          <w:rFonts w:ascii="Times New Roman" w:eastAsia="Times New Roman" w:hAnsi="Times New Roman"/>
          <w:sz w:val="24"/>
        </w:rPr>
        <w:t>EUEA</w:t>
      </w:r>
      <w:proofErr w:type="spellEnd"/>
      <w:r w:rsidR="00CD040E">
        <w:rPr>
          <w:rFonts w:ascii="Times New Roman" w:eastAsia="Times New Roman" w:hAnsi="Times New Roman"/>
          <w:sz w:val="24"/>
        </w:rPr>
        <w:t xml:space="preserve"> and its 2022-2024 Plan on July 16, 2021</w:t>
      </w:r>
      <w:r w:rsidR="003C12C8" w:rsidRPr="00CB2CB5">
        <w:rPr>
          <w:rFonts w:ascii="Times New Roman" w:eastAsia="Times New Roman" w:hAnsi="Times New Roman"/>
          <w:sz w:val="24"/>
        </w:rPr>
        <w:t xml:space="preserve">.  </w:t>
      </w:r>
    </w:p>
    <w:p w14:paraId="6DB99524" w14:textId="1853A604" w:rsidR="00831B0F" w:rsidRDefault="00831B0F" w:rsidP="00831B0F">
      <w:pPr>
        <w:pStyle w:val="ListParagraph"/>
        <w:numPr>
          <w:ilvl w:val="0"/>
          <w:numId w:val="141"/>
        </w:numPr>
        <w:tabs>
          <w:tab w:val="left" w:pos="1080"/>
        </w:tabs>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    </w:t>
      </w:r>
      <w:r w:rsidR="00CD040E">
        <w:rPr>
          <w:rFonts w:ascii="Times New Roman" w:eastAsia="Times New Roman" w:hAnsi="Times New Roman"/>
          <w:sz w:val="24"/>
        </w:rPr>
        <w:t xml:space="preserve">Initiated </w:t>
      </w:r>
      <w:proofErr w:type="gramStart"/>
      <w:r w:rsidR="00CD040E">
        <w:rPr>
          <w:rFonts w:ascii="Times New Roman" w:eastAsia="Times New Roman" w:hAnsi="Times New Roman"/>
          <w:sz w:val="24"/>
        </w:rPr>
        <w:t>a</w:t>
      </w:r>
      <w:proofErr w:type="gramEnd"/>
      <w:r w:rsidR="00CD040E">
        <w:rPr>
          <w:rFonts w:ascii="Times New Roman" w:eastAsia="Times New Roman" w:hAnsi="Times New Roman"/>
          <w:sz w:val="24"/>
        </w:rPr>
        <w:t xml:space="preserve"> </w:t>
      </w:r>
      <w:r w:rsidR="00523743">
        <w:rPr>
          <w:rFonts w:ascii="Times New Roman" w:eastAsia="Times New Roman" w:hAnsi="Times New Roman"/>
          <w:sz w:val="24"/>
        </w:rPr>
        <w:t xml:space="preserve">RFP </w:t>
      </w:r>
      <w:r w:rsidR="002A3EC0">
        <w:rPr>
          <w:rFonts w:ascii="Times New Roman" w:eastAsia="Times New Roman" w:hAnsi="Times New Roman"/>
          <w:sz w:val="24"/>
        </w:rPr>
        <w:t xml:space="preserve">to be issued in 2021 </w:t>
      </w:r>
      <w:r w:rsidR="00523743">
        <w:rPr>
          <w:rFonts w:ascii="Times New Roman" w:eastAsia="Times New Roman" w:hAnsi="Times New Roman"/>
          <w:sz w:val="24"/>
        </w:rPr>
        <w:t>to address resource need</w:t>
      </w:r>
      <w:r w:rsidR="002A3EC0">
        <w:rPr>
          <w:rFonts w:ascii="Times New Roman" w:eastAsia="Times New Roman" w:hAnsi="Times New Roman"/>
          <w:sz w:val="24"/>
        </w:rPr>
        <w:t>s</w:t>
      </w:r>
      <w:r w:rsidR="00523743">
        <w:rPr>
          <w:rFonts w:ascii="Times New Roman" w:eastAsia="Times New Roman" w:hAnsi="Times New Roman"/>
          <w:sz w:val="24"/>
        </w:rPr>
        <w:t xml:space="preserve"> identified </w:t>
      </w:r>
      <w:r w:rsidR="0066736D">
        <w:rPr>
          <w:rFonts w:ascii="Times New Roman" w:eastAsia="Times New Roman" w:hAnsi="Times New Roman"/>
          <w:sz w:val="24"/>
        </w:rPr>
        <w:t>in 2024</w:t>
      </w:r>
      <w:r w:rsidR="00CD040E">
        <w:rPr>
          <w:rFonts w:ascii="Times New Roman" w:eastAsia="Times New Roman" w:hAnsi="Times New Roman"/>
          <w:sz w:val="24"/>
        </w:rPr>
        <w:t>;</w:t>
      </w:r>
    </w:p>
    <w:p w14:paraId="42F6E7B9" w14:textId="3A072912" w:rsidR="00523743" w:rsidRDefault="00523743" w:rsidP="00523743">
      <w:pPr>
        <w:pStyle w:val="ListParagraph"/>
        <w:numPr>
          <w:ilvl w:val="0"/>
          <w:numId w:val="141"/>
        </w:numPr>
        <w:tabs>
          <w:tab w:val="left" w:pos="1080"/>
        </w:tabs>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    </w:t>
      </w:r>
      <w:r w:rsidR="00E35EFB">
        <w:rPr>
          <w:rFonts w:ascii="Times New Roman" w:eastAsia="Times New Roman" w:hAnsi="Times New Roman"/>
          <w:sz w:val="24"/>
        </w:rPr>
        <w:t>e</w:t>
      </w:r>
      <w:r>
        <w:rPr>
          <w:rFonts w:ascii="Times New Roman" w:eastAsia="Times New Roman" w:hAnsi="Times New Roman"/>
          <w:sz w:val="24"/>
        </w:rPr>
        <w:t>valuated the Demand Response Pilot Program results at the conclusion of the program</w:t>
      </w:r>
      <w:r w:rsidR="00510031">
        <w:rPr>
          <w:rFonts w:ascii="Times New Roman" w:eastAsia="Times New Roman" w:hAnsi="Times New Roman"/>
          <w:sz w:val="24"/>
        </w:rPr>
        <w:t>;</w:t>
      </w:r>
      <w:r>
        <w:rPr>
          <w:rFonts w:ascii="Times New Roman" w:eastAsia="Times New Roman" w:hAnsi="Times New Roman"/>
          <w:sz w:val="24"/>
        </w:rPr>
        <w:t xml:space="preserve"> and</w:t>
      </w:r>
      <w:r w:rsidR="00510031">
        <w:rPr>
          <w:rFonts w:ascii="Times New Roman" w:eastAsia="Times New Roman" w:hAnsi="Times New Roman"/>
          <w:sz w:val="24"/>
        </w:rPr>
        <w:t>,</w:t>
      </w:r>
    </w:p>
    <w:p w14:paraId="015D63A7" w14:textId="5C14AC50" w:rsidR="00523743" w:rsidRPr="00CB2CB5" w:rsidRDefault="00523743" w:rsidP="004A2F04">
      <w:pPr>
        <w:pStyle w:val="ListParagraph"/>
        <w:numPr>
          <w:ilvl w:val="0"/>
          <w:numId w:val="141"/>
        </w:numPr>
        <w:tabs>
          <w:tab w:val="left" w:pos="1080"/>
        </w:tabs>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    </w:t>
      </w:r>
      <w:r w:rsidR="00E35EFB">
        <w:rPr>
          <w:rFonts w:ascii="Times New Roman" w:eastAsia="Times New Roman" w:hAnsi="Times New Roman"/>
          <w:sz w:val="24"/>
        </w:rPr>
        <w:t>proposed</w:t>
      </w:r>
      <w:r>
        <w:rPr>
          <w:rFonts w:ascii="Times New Roman" w:eastAsia="Times New Roman" w:hAnsi="Times New Roman"/>
          <w:sz w:val="24"/>
        </w:rPr>
        <w:t xml:space="preserve"> a </w:t>
      </w:r>
      <w:r w:rsidR="005B0352">
        <w:rPr>
          <w:rFonts w:ascii="Times New Roman" w:eastAsia="Times New Roman" w:hAnsi="Times New Roman"/>
          <w:sz w:val="24"/>
        </w:rPr>
        <w:t>voluntary New Mexico Community Solar program</w:t>
      </w:r>
      <w:r w:rsidR="00CD040E">
        <w:rPr>
          <w:rFonts w:ascii="Times New Roman" w:eastAsia="Times New Roman" w:hAnsi="Times New Roman"/>
          <w:sz w:val="24"/>
        </w:rPr>
        <w:t xml:space="preserve"> and proposed and received approval for a New Mexico State University</w:t>
      </w:r>
      <w:r w:rsidR="006B67EB">
        <w:rPr>
          <w:rFonts w:ascii="Times New Roman" w:eastAsia="Times New Roman" w:hAnsi="Times New Roman"/>
          <w:sz w:val="24"/>
        </w:rPr>
        <w:t xml:space="preserve"> solar generation project</w:t>
      </w:r>
      <w:r w:rsidR="00CD040E">
        <w:rPr>
          <w:rFonts w:ascii="Times New Roman" w:eastAsia="Times New Roman" w:hAnsi="Times New Roman"/>
          <w:sz w:val="24"/>
        </w:rPr>
        <w:t>.</w:t>
      </w:r>
    </w:p>
    <w:p w14:paraId="39F6B302" w14:textId="77777777" w:rsidR="00AD06CC" w:rsidRPr="00CB2CB5" w:rsidRDefault="00AD06CC" w:rsidP="008759DE">
      <w:pPr>
        <w:pStyle w:val="ListParagraph"/>
        <w:tabs>
          <w:tab w:val="left" w:pos="1080"/>
        </w:tabs>
        <w:spacing w:after="0" w:line="276" w:lineRule="auto"/>
        <w:ind w:left="0"/>
        <w:contextualSpacing w:val="0"/>
        <w:jc w:val="both"/>
        <w:rPr>
          <w:rFonts w:ascii="Times New Roman" w:eastAsia="Times New Roman" w:hAnsi="Times New Roman"/>
          <w:sz w:val="24"/>
        </w:rPr>
      </w:pPr>
    </w:p>
    <w:p w14:paraId="483E2852" w14:textId="77777777" w:rsidR="003C0EF8" w:rsidRPr="00CB2CB5" w:rsidRDefault="00451347" w:rsidP="008759DE">
      <w:pPr>
        <w:pStyle w:val="Heading1"/>
        <w:keepNext/>
        <w:keepLines/>
        <w:widowControl/>
        <w:numPr>
          <w:ilvl w:val="0"/>
          <w:numId w:val="23"/>
        </w:numPr>
        <w:tabs>
          <w:tab w:val="left" w:pos="540"/>
        </w:tabs>
        <w:autoSpaceDE/>
        <w:autoSpaceDN/>
        <w:spacing w:before="0" w:line="276" w:lineRule="auto"/>
        <w:ind w:left="0" w:firstLine="0"/>
      </w:pPr>
      <w:bookmarkStart w:id="9" w:name="_Toc534190291"/>
      <w:r w:rsidRPr="00CB2CB5">
        <w:t>DESCRIPTION OF EXISTING RESOURCES</w:t>
      </w:r>
      <w:bookmarkEnd w:id="9"/>
    </w:p>
    <w:p w14:paraId="139DAE67" w14:textId="77777777" w:rsidR="009D2666" w:rsidRPr="00CB2CB5" w:rsidRDefault="009D2666" w:rsidP="008759DE">
      <w:pPr>
        <w:keepNext/>
        <w:keepLines/>
        <w:spacing w:line="276" w:lineRule="auto"/>
        <w:rPr>
          <w:rFonts w:eastAsia="Times New Roman"/>
        </w:rPr>
      </w:pPr>
    </w:p>
    <w:p w14:paraId="23386C61" w14:textId="77777777" w:rsidR="003C0EF8" w:rsidRPr="00CB2CB5" w:rsidRDefault="00925B19" w:rsidP="008759DE">
      <w:pPr>
        <w:pStyle w:val="Heading2"/>
        <w:numPr>
          <w:ilvl w:val="0"/>
          <w:numId w:val="26"/>
        </w:numPr>
        <w:spacing w:line="276" w:lineRule="auto"/>
        <w:ind w:left="1080" w:hanging="540"/>
        <w:rPr>
          <w:rFonts w:eastAsia="Times New Roman"/>
        </w:rPr>
      </w:pPr>
      <w:bookmarkStart w:id="10" w:name="_Toc534190292"/>
      <w:r w:rsidRPr="00CB2CB5">
        <w:rPr>
          <w:rFonts w:eastAsia="Times New Roman"/>
        </w:rPr>
        <w:t>Supply Side Resources</w:t>
      </w:r>
      <w:bookmarkEnd w:id="10"/>
    </w:p>
    <w:p w14:paraId="46A2793D" w14:textId="77777777" w:rsidR="002E09F5" w:rsidRPr="00CB2CB5" w:rsidRDefault="002E09F5" w:rsidP="008759DE">
      <w:pPr>
        <w:pStyle w:val="ListParagraph"/>
        <w:keepNext/>
        <w:keepLines/>
        <w:spacing w:after="0" w:line="276" w:lineRule="auto"/>
        <w:ind w:left="540"/>
        <w:contextualSpacing w:val="0"/>
        <w:jc w:val="both"/>
        <w:rPr>
          <w:rFonts w:ascii="Times New Roman" w:eastAsia="Times New Roman" w:hAnsi="Times New Roman"/>
          <w:b/>
          <w:sz w:val="24"/>
        </w:rPr>
      </w:pPr>
    </w:p>
    <w:p w14:paraId="6211F53F" w14:textId="46A02B08" w:rsidR="002E09F5" w:rsidRPr="00CB2CB5" w:rsidRDefault="002E09F5" w:rsidP="008759DE">
      <w:pPr>
        <w:pStyle w:val="ListParagraph"/>
        <w:tabs>
          <w:tab w:val="left" w:pos="1080"/>
        </w:tabs>
        <w:spacing w:after="0" w:line="276" w:lineRule="auto"/>
        <w:ind w:left="540"/>
        <w:contextualSpacing w:val="0"/>
        <w:jc w:val="both"/>
        <w:rPr>
          <w:rFonts w:ascii="Times New Roman" w:eastAsia="Times New Roman" w:hAnsi="Times New Roman"/>
          <w:sz w:val="24"/>
        </w:rPr>
      </w:pPr>
      <w:r w:rsidRPr="00CB2CB5">
        <w:rPr>
          <w:rFonts w:ascii="Times New Roman" w:eastAsia="Times New Roman" w:hAnsi="Times New Roman"/>
          <w:sz w:val="24"/>
        </w:rPr>
        <w:t>EPE</w:t>
      </w:r>
      <w:r w:rsidR="00B81EE4" w:rsidRPr="00CB2CB5">
        <w:rPr>
          <w:rFonts w:ascii="Times New Roman" w:eastAsia="Times New Roman" w:hAnsi="Times New Roman"/>
          <w:sz w:val="24"/>
        </w:rPr>
        <w:t>'</w:t>
      </w:r>
      <w:r w:rsidRPr="00CB2CB5">
        <w:rPr>
          <w:rFonts w:ascii="Times New Roman" w:eastAsia="Times New Roman" w:hAnsi="Times New Roman"/>
          <w:sz w:val="24"/>
        </w:rPr>
        <w:t xml:space="preserve">s existing supply side resources provide a foundation for integrated resource planning. EPE utilizes its current supply side resources to satisfy the bulk of its customers' electrical demands with power generated from </w:t>
      </w:r>
      <w:r w:rsidR="00EA6762">
        <w:rPr>
          <w:rFonts w:ascii="Times New Roman" w:eastAsia="Times New Roman" w:hAnsi="Times New Roman"/>
          <w:sz w:val="24"/>
        </w:rPr>
        <w:t>c</w:t>
      </w:r>
      <w:r w:rsidRPr="00CB2CB5">
        <w:rPr>
          <w:rFonts w:ascii="Times New Roman" w:eastAsia="Times New Roman" w:hAnsi="Times New Roman"/>
          <w:sz w:val="24"/>
        </w:rPr>
        <w:t>ompany</w:t>
      </w:r>
      <w:r w:rsidR="00D24BAD">
        <w:rPr>
          <w:rFonts w:ascii="Times New Roman" w:eastAsia="Times New Roman" w:hAnsi="Times New Roman"/>
          <w:sz w:val="24"/>
        </w:rPr>
        <w:t>-</w:t>
      </w:r>
      <w:r w:rsidRPr="00CB2CB5">
        <w:rPr>
          <w:rFonts w:ascii="Times New Roman" w:eastAsia="Times New Roman" w:hAnsi="Times New Roman"/>
          <w:sz w:val="24"/>
        </w:rPr>
        <w:t xml:space="preserve">owned generating </w:t>
      </w:r>
      <w:r w:rsidR="005B0352">
        <w:rPr>
          <w:rFonts w:ascii="Times New Roman" w:eastAsia="Times New Roman" w:hAnsi="Times New Roman"/>
          <w:sz w:val="24"/>
        </w:rPr>
        <w:t>facilities</w:t>
      </w:r>
      <w:r w:rsidR="005B0352" w:rsidRPr="00CB2CB5">
        <w:rPr>
          <w:rFonts w:ascii="Times New Roman" w:eastAsia="Times New Roman" w:hAnsi="Times New Roman"/>
          <w:sz w:val="24"/>
        </w:rPr>
        <w:t xml:space="preserve"> </w:t>
      </w:r>
      <w:r w:rsidRPr="00CB2CB5">
        <w:rPr>
          <w:rFonts w:ascii="Times New Roman" w:eastAsia="Times New Roman" w:hAnsi="Times New Roman"/>
          <w:sz w:val="24"/>
        </w:rPr>
        <w:t>fueled by solar, natural gas, and uranium. EPE also purchases renewable energy through various long-term Purcha</w:t>
      </w:r>
      <w:r w:rsidR="00054968" w:rsidRPr="00CB2CB5">
        <w:rPr>
          <w:rFonts w:ascii="Times New Roman" w:eastAsia="Times New Roman" w:hAnsi="Times New Roman"/>
          <w:sz w:val="24"/>
        </w:rPr>
        <w:t>sed Power Agreements ("PPAs")</w:t>
      </w:r>
      <w:r w:rsidR="00EB1BB9">
        <w:rPr>
          <w:rFonts w:ascii="Times New Roman" w:eastAsia="Times New Roman" w:hAnsi="Times New Roman"/>
          <w:sz w:val="24"/>
        </w:rPr>
        <w:t xml:space="preserve"> and Qualifying Facilities (</w:t>
      </w:r>
      <w:r w:rsidR="00EA6762">
        <w:rPr>
          <w:rFonts w:ascii="Times New Roman" w:eastAsia="Times New Roman" w:hAnsi="Times New Roman"/>
          <w:sz w:val="24"/>
        </w:rPr>
        <w:t>“</w:t>
      </w:r>
      <w:proofErr w:type="spellStart"/>
      <w:r w:rsidR="00EB1BB9">
        <w:rPr>
          <w:rFonts w:ascii="Times New Roman" w:eastAsia="Times New Roman" w:hAnsi="Times New Roman"/>
          <w:sz w:val="24"/>
        </w:rPr>
        <w:t>QF</w:t>
      </w:r>
      <w:proofErr w:type="spellEnd"/>
      <w:r w:rsidR="00EA6762">
        <w:rPr>
          <w:rFonts w:ascii="Times New Roman" w:eastAsia="Times New Roman" w:hAnsi="Times New Roman"/>
          <w:sz w:val="24"/>
        </w:rPr>
        <w:t>”</w:t>
      </w:r>
      <w:r w:rsidR="00EB1BB9">
        <w:rPr>
          <w:rFonts w:ascii="Times New Roman" w:eastAsia="Times New Roman" w:hAnsi="Times New Roman"/>
          <w:sz w:val="24"/>
        </w:rPr>
        <w:t>)</w:t>
      </w:r>
      <w:r w:rsidR="00054968" w:rsidRPr="00CB2CB5">
        <w:rPr>
          <w:rFonts w:ascii="Times New Roman" w:eastAsia="Times New Roman" w:hAnsi="Times New Roman"/>
          <w:sz w:val="24"/>
        </w:rPr>
        <w:t xml:space="preserve">. </w:t>
      </w:r>
      <w:r w:rsidRPr="00CB2CB5">
        <w:rPr>
          <w:rFonts w:ascii="Times New Roman" w:eastAsia="Times New Roman" w:hAnsi="Times New Roman"/>
          <w:sz w:val="24"/>
        </w:rPr>
        <w:t xml:space="preserve"> In addition, EPE purchases varying amounts of firm and non-firm energy through the wholesale markets to meet the needs of its customers. </w:t>
      </w:r>
      <w:r w:rsidR="000F3C43" w:rsidRPr="00CB2CB5">
        <w:rPr>
          <w:rFonts w:ascii="Times New Roman" w:eastAsia="Times New Roman" w:hAnsi="Times New Roman"/>
          <w:sz w:val="24"/>
        </w:rPr>
        <w:t xml:space="preserve"> </w:t>
      </w:r>
      <w:r w:rsidR="004C0BEE">
        <w:rPr>
          <w:rFonts w:ascii="Times New Roman" w:eastAsia="Times New Roman" w:hAnsi="Times New Roman"/>
          <w:sz w:val="24"/>
        </w:rPr>
        <w:t xml:space="preserve">Also, </w:t>
      </w:r>
      <w:r w:rsidR="00EA6762">
        <w:rPr>
          <w:rFonts w:ascii="Times New Roman" w:eastAsia="Times New Roman" w:hAnsi="Times New Roman"/>
          <w:sz w:val="24"/>
        </w:rPr>
        <w:t xml:space="preserve">EPE is currently in the process of joining the Western Energy Imbalance Market which offers a real-time energy market that allows members to find low-cost energy </w:t>
      </w:r>
      <w:r w:rsidR="004A4DD6">
        <w:rPr>
          <w:rFonts w:ascii="Times New Roman" w:eastAsia="Times New Roman" w:hAnsi="Times New Roman"/>
          <w:sz w:val="24"/>
        </w:rPr>
        <w:t xml:space="preserve">across a wide geographic area </w:t>
      </w:r>
      <w:r w:rsidR="00EA6762">
        <w:rPr>
          <w:rFonts w:ascii="Times New Roman" w:eastAsia="Times New Roman" w:hAnsi="Times New Roman"/>
          <w:sz w:val="24"/>
        </w:rPr>
        <w:t xml:space="preserve">to serve real-time customer </w:t>
      </w:r>
      <w:r w:rsidR="004A4DD6">
        <w:rPr>
          <w:rFonts w:ascii="Times New Roman" w:eastAsia="Times New Roman" w:hAnsi="Times New Roman"/>
          <w:sz w:val="24"/>
        </w:rPr>
        <w:t xml:space="preserve">electricity </w:t>
      </w:r>
      <w:r w:rsidR="00EA6762">
        <w:rPr>
          <w:rFonts w:ascii="Times New Roman" w:eastAsia="Times New Roman" w:hAnsi="Times New Roman"/>
          <w:sz w:val="24"/>
        </w:rPr>
        <w:t>demand</w:t>
      </w:r>
      <w:r w:rsidR="004A4DD6">
        <w:rPr>
          <w:rFonts w:ascii="Times New Roman" w:eastAsia="Times New Roman" w:hAnsi="Times New Roman"/>
          <w:sz w:val="24"/>
        </w:rPr>
        <w:t xml:space="preserve">.  </w:t>
      </w:r>
      <w:r w:rsidRPr="00CB2CB5">
        <w:rPr>
          <w:rFonts w:ascii="Times New Roman" w:eastAsia="Times New Roman" w:hAnsi="Times New Roman"/>
          <w:sz w:val="24"/>
        </w:rPr>
        <w:t>These resources, in combination with future low-cost efficient options</w:t>
      </w:r>
      <w:r w:rsidR="00D24BAD">
        <w:rPr>
          <w:rFonts w:ascii="Times New Roman" w:eastAsia="Times New Roman" w:hAnsi="Times New Roman"/>
          <w:sz w:val="24"/>
        </w:rPr>
        <w:t>,</w:t>
      </w:r>
      <w:r w:rsidRPr="00CB2CB5">
        <w:rPr>
          <w:rFonts w:ascii="Times New Roman" w:eastAsia="Times New Roman" w:hAnsi="Times New Roman"/>
          <w:sz w:val="24"/>
        </w:rPr>
        <w:t xml:space="preserve"> will create a portfolio that</w:t>
      </w:r>
      <w:r w:rsidR="00D24BAD">
        <w:rPr>
          <w:rFonts w:ascii="Times New Roman" w:eastAsia="Times New Roman" w:hAnsi="Times New Roman"/>
          <w:sz w:val="24"/>
        </w:rPr>
        <w:t xml:space="preserve"> </w:t>
      </w:r>
      <w:r w:rsidRPr="00CB2CB5">
        <w:rPr>
          <w:rFonts w:ascii="Times New Roman" w:eastAsia="Times New Roman" w:hAnsi="Times New Roman"/>
          <w:sz w:val="24"/>
        </w:rPr>
        <w:t>result</w:t>
      </w:r>
      <w:r w:rsidR="00D24BAD">
        <w:rPr>
          <w:rFonts w:ascii="Times New Roman" w:eastAsia="Times New Roman" w:hAnsi="Times New Roman"/>
          <w:sz w:val="24"/>
        </w:rPr>
        <w:t>s</w:t>
      </w:r>
      <w:r w:rsidRPr="00CB2CB5">
        <w:rPr>
          <w:rFonts w:ascii="Times New Roman" w:eastAsia="Times New Roman" w:hAnsi="Times New Roman"/>
          <w:sz w:val="24"/>
        </w:rPr>
        <w:t xml:space="preserve"> in the most cost-effective plan</w:t>
      </w:r>
      <w:r w:rsidR="00EB1BB9">
        <w:rPr>
          <w:rFonts w:ascii="Times New Roman" w:eastAsia="Times New Roman" w:hAnsi="Times New Roman"/>
          <w:sz w:val="24"/>
        </w:rPr>
        <w:t xml:space="preserve"> for EPE customers</w:t>
      </w:r>
      <w:r w:rsidR="00D24BAD" w:rsidRPr="00CB2CB5">
        <w:rPr>
          <w:rFonts w:ascii="Times New Roman" w:eastAsia="Times New Roman" w:hAnsi="Times New Roman"/>
          <w:sz w:val="24"/>
        </w:rPr>
        <w:t>, consideri</w:t>
      </w:r>
      <w:r w:rsidR="00D24BAD">
        <w:rPr>
          <w:rFonts w:ascii="Times New Roman" w:eastAsia="Times New Roman" w:hAnsi="Times New Roman"/>
          <w:sz w:val="24"/>
        </w:rPr>
        <w:t>ng</w:t>
      </w:r>
      <w:r w:rsidR="00D24BAD" w:rsidRPr="00CB2CB5">
        <w:rPr>
          <w:rFonts w:ascii="Times New Roman" w:eastAsia="Times New Roman" w:hAnsi="Times New Roman"/>
          <w:sz w:val="24"/>
        </w:rPr>
        <w:t xml:space="preserve"> reliability and risk</w:t>
      </w:r>
      <w:r w:rsidRPr="00CB2CB5">
        <w:rPr>
          <w:rFonts w:ascii="Times New Roman" w:eastAsia="Times New Roman" w:hAnsi="Times New Roman"/>
          <w:sz w:val="24"/>
        </w:rPr>
        <w:t>.</w:t>
      </w:r>
    </w:p>
    <w:p w14:paraId="65FA54CA" w14:textId="77777777" w:rsidR="002E09F5" w:rsidRPr="00CB2CB5" w:rsidRDefault="002E09F5" w:rsidP="008759DE">
      <w:pPr>
        <w:spacing w:line="276" w:lineRule="auto"/>
        <w:rPr>
          <w:rFonts w:eastAsia="Times New Roman"/>
          <w:b/>
        </w:rPr>
      </w:pPr>
    </w:p>
    <w:p w14:paraId="4F93C098" w14:textId="77777777" w:rsidR="003C0EF8" w:rsidRPr="00CB2CB5" w:rsidRDefault="003C0EF8" w:rsidP="008759DE">
      <w:pPr>
        <w:pStyle w:val="Heading3"/>
        <w:spacing w:line="276" w:lineRule="auto"/>
        <w:ind w:left="1440"/>
        <w:rPr>
          <w:rFonts w:eastAsia="Times New Roman"/>
        </w:rPr>
      </w:pPr>
      <w:bookmarkStart w:id="11" w:name="_Toc534190293"/>
      <w:r w:rsidRPr="00CB2CB5">
        <w:rPr>
          <w:rFonts w:eastAsia="Times New Roman"/>
        </w:rPr>
        <w:t>Generating facilities and expected retirement dates</w:t>
      </w:r>
      <w:bookmarkEnd w:id="11"/>
      <w:r w:rsidRPr="00CB2CB5">
        <w:rPr>
          <w:rFonts w:eastAsia="Times New Roman"/>
        </w:rPr>
        <w:t xml:space="preserve"> </w:t>
      </w:r>
    </w:p>
    <w:p w14:paraId="725060AE" w14:textId="77777777" w:rsidR="002E09F5" w:rsidRPr="00CB2CB5" w:rsidRDefault="002E09F5" w:rsidP="008759DE">
      <w:pPr>
        <w:pStyle w:val="ListParagraph"/>
        <w:spacing w:after="0" w:line="276" w:lineRule="auto"/>
        <w:ind w:left="1080"/>
        <w:contextualSpacing w:val="0"/>
        <w:jc w:val="both"/>
        <w:rPr>
          <w:rFonts w:ascii="Times New Roman" w:eastAsia="Times New Roman" w:hAnsi="Times New Roman"/>
          <w:b/>
          <w:sz w:val="24"/>
        </w:rPr>
      </w:pPr>
    </w:p>
    <w:p w14:paraId="1099EEC5" w14:textId="099FB364"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EPE owns and operates a fleet of local and remote generating units. </w:t>
      </w:r>
      <w:r w:rsidR="000F3C43" w:rsidRPr="00CB2CB5">
        <w:rPr>
          <w:rFonts w:ascii="Times New Roman" w:eastAsia="Times New Roman" w:hAnsi="Times New Roman"/>
          <w:sz w:val="24"/>
        </w:rPr>
        <w:t xml:space="preserve"> </w:t>
      </w:r>
      <w:r w:rsidRPr="00CB2CB5">
        <w:rPr>
          <w:rFonts w:ascii="Times New Roman" w:eastAsia="Times New Roman" w:hAnsi="Times New Roman"/>
          <w:sz w:val="24"/>
        </w:rPr>
        <w:t>The Rio</w:t>
      </w:r>
      <w:r w:rsidR="00F4371A" w:rsidRPr="00CB2CB5">
        <w:rPr>
          <w:rFonts w:ascii="Times New Roman" w:eastAsia="Times New Roman" w:hAnsi="Times New Roman"/>
          <w:sz w:val="24"/>
        </w:rPr>
        <w:t> </w:t>
      </w:r>
      <w:r w:rsidRPr="00CB2CB5">
        <w:rPr>
          <w:rFonts w:ascii="Times New Roman" w:eastAsia="Times New Roman" w:hAnsi="Times New Roman"/>
          <w:sz w:val="24"/>
        </w:rPr>
        <w:t>Grande Generating Station (</w:t>
      </w:r>
      <w:r w:rsidR="00EB31CB" w:rsidRPr="00CB2CB5">
        <w:rPr>
          <w:rFonts w:ascii="Times New Roman" w:eastAsia="Times New Roman" w:hAnsi="Times New Roman"/>
          <w:sz w:val="24"/>
        </w:rPr>
        <w:t>"</w:t>
      </w:r>
      <w:r w:rsidRPr="00CB2CB5">
        <w:rPr>
          <w:rFonts w:ascii="Times New Roman" w:eastAsia="Times New Roman" w:hAnsi="Times New Roman"/>
          <w:sz w:val="24"/>
        </w:rPr>
        <w:t>Rio Grande</w:t>
      </w:r>
      <w:r w:rsidR="00EB31CB" w:rsidRPr="00CB2CB5">
        <w:rPr>
          <w:rFonts w:ascii="Times New Roman" w:eastAsia="Times New Roman" w:hAnsi="Times New Roman"/>
          <w:sz w:val="24"/>
        </w:rPr>
        <w:t>"</w:t>
      </w:r>
      <w:r w:rsidRPr="00CB2CB5">
        <w:rPr>
          <w:rFonts w:ascii="Times New Roman" w:eastAsia="Times New Roman" w:hAnsi="Times New Roman"/>
          <w:sz w:val="24"/>
        </w:rPr>
        <w:t>), Newman Generating Station (</w:t>
      </w:r>
      <w:r w:rsidR="00EB31CB" w:rsidRPr="00CB2CB5">
        <w:rPr>
          <w:rFonts w:ascii="Times New Roman" w:eastAsia="Times New Roman" w:hAnsi="Times New Roman"/>
          <w:sz w:val="24"/>
        </w:rPr>
        <w:t>"</w:t>
      </w:r>
      <w:r w:rsidRPr="00CB2CB5">
        <w:rPr>
          <w:rFonts w:ascii="Times New Roman" w:eastAsia="Times New Roman" w:hAnsi="Times New Roman"/>
          <w:sz w:val="24"/>
        </w:rPr>
        <w:t>Newman</w:t>
      </w:r>
      <w:r w:rsidR="00EB31CB" w:rsidRPr="00CB2CB5">
        <w:rPr>
          <w:rFonts w:ascii="Times New Roman" w:eastAsia="Times New Roman" w:hAnsi="Times New Roman"/>
          <w:sz w:val="24"/>
        </w:rPr>
        <w:t>"</w:t>
      </w:r>
      <w:r w:rsidRPr="00CB2CB5">
        <w:rPr>
          <w:rFonts w:ascii="Times New Roman" w:eastAsia="Times New Roman" w:hAnsi="Times New Roman"/>
          <w:sz w:val="24"/>
        </w:rPr>
        <w:t>), Montana Power Station (</w:t>
      </w:r>
      <w:r w:rsidR="00EB31CB" w:rsidRPr="00CB2CB5">
        <w:rPr>
          <w:rFonts w:ascii="Times New Roman" w:eastAsia="Times New Roman" w:hAnsi="Times New Roman"/>
          <w:sz w:val="24"/>
        </w:rPr>
        <w:t>"</w:t>
      </w:r>
      <w:r w:rsidRPr="00CB2CB5">
        <w:rPr>
          <w:rFonts w:ascii="Times New Roman" w:eastAsia="Times New Roman" w:hAnsi="Times New Roman"/>
          <w:sz w:val="24"/>
        </w:rPr>
        <w:t>MPS</w:t>
      </w:r>
      <w:r w:rsidR="00EB31CB" w:rsidRPr="00CB2CB5">
        <w:rPr>
          <w:rFonts w:ascii="Times New Roman" w:eastAsia="Times New Roman" w:hAnsi="Times New Roman"/>
          <w:sz w:val="24"/>
        </w:rPr>
        <w:t>"</w:t>
      </w:r>
      <w:r w:rsidRPr="00CB2CB5">
        <w:rPr>
          <w:rFonts w:ascii="Times New Roman" w:eastAsia="Times New Roman" w:hAnsi="Times New Roman"/>
          <w:sz w:val="24"/>
        </w:rPr>
        <w:t>), and Copper Generating Station (</w:t>
      </w:r>
      <w:r w:rsidR="00EB31CB" w:rsidRPr="00CB2CB5">
        <w:rPr>
          <w:rFonts w:ascii="Times New Roman" w:eastAsia="Times New Roman" w:hAnsi="Times New Roman"/>
          <w:sz w:val="24"/>
        </w:rPr>
        <w:t>"</w:t>
      </w:r>
      <w:r w:rsidRPr="00CB2CB5">
        <w:rPr>
          <w:rFonts w:ascii="Times New Roman" w:eastAsia="Times New Roman" w:hAnsi="Times New Roman"/>
          <w:sz w:val="24"/>
        </w:rPr>
        <w:t>Copper</w:t>
      </w:r>
      <w:r w:rsidR="00EB31CB" w:rsidRPr="00CB2CB5">
        <w:rPr>
          <w:rFonts w:ascii="Times New Roman" w:eastAsia="Times New Roman" w:hAnsi="Times New Roman"/>
          <w:sz w:val="24"/>
        </w:rPr>
        <w:t>"</w:t>
      </w:r>
      <w:r w:rsidRPr="00CB2CB5">
        <w:rPr>
          <w:rFonts w:ascii="Times New Roman" w:eastAsia="Times New Roman" w:hAnsi="Times New Roman"/>
          <w:sz w:val="24"/>
        </w:rPr>
        <w:t xml:space="preserve">) are all </w:t>
      </w:r>
      <w:r w:rsidRPr="00CB2CB5">
        <w:rPr>
          <w:rFonts w:ascii="Times New Roman" w:eastAsia="Times New Roman" w:hAnsi="Times New Roman"/>
          <w:sz w:val="24"/>
        </w:rPr>
        <w:lastRenderedPageBreak/>
        <w:t>located in EPE's service territory</w:t>
      </w:r>
      <w:r w:rsidR="00D00A39" w:rsidRPr="00CB2CB5">
        <w:rPr>
          <w:rFonts w:ascii="Times New Roman" w:eastAsia="Times New Roman" w:hAnsi="Times New Roman"/>
          <w:sz w:val="24"/>
        </w:rPr>
        <w:t>,</w:t>
      </w:r>
      <w:r w:rsidRPr="00CB2CB5">
        <w:rPr>
          <w:rFonts w:ascii="Times New Roman" w:eastAsia="Times New Roman" w:hAnsi="Times New Roman"/>
          <w:sz w:val="24"/>
        </w:rPr>
        <w:t xml:space="preserve"> within or near the City of El Paso, Texas. </w:t>
      </w:r>
      <w:r w:rsidR="000F3C43" w:rsidRPr="00CB2CB5">
        <w:rPr>
          <w:rFonts w:ascii="Times New Roman" w:eastAsia="Times New Roman" w:hAnsi="Times New Roman"/>
          <w:sz w:val="24"/>
        </w:rPr>
        <w:t xml:space="preserve"> </w:t>
      </w:r>
      <w:r w:rsidRPr="00CB2CB5">
        <w:rPr>
          <w:rFonts w:ascii="Times New Roman" w:eastAsia="Times New Roman" w:hAnsi="Times New Roman"/>
          <w:sz w:val="24"/>
        </w:rPr>
        <w:t xml:space="preserve">These generating stations are considered EPE's local generation. </w:t>
      </w:r>
      <w:r w:rsidR="000F3C43" w:rsidRPr="00CB2CB5">
        <w:rPr>
          <w:rFonts w:ascii="Times New Roman" w:eastAsia="Times New Roman" w:hAnsi="Times New Roman"/>
          <w:sz w:val="24"/>
        </w:rPr>
        <w:t xml:space="preserve"> </w:t>
      </w:r>
      <w:r w:rsidRPr="00CB2CB5">
        <w:rPr>
          <w:rFonts w:ascii="Times New Roman" w:eastAsia="Times New Roman" w:hAnsi="Times New Roman"/>
          <w:sz w:val="24"/>
        </w:rPr>
        <w:t xml:space="preserve">In addition, EPE owns </w:t>
      </w:r>
      <w:r w:rsidR="00AE27D5" w:rsidRPr="00CB2CB5">
        <w:rPr>
          <w:rFonts w:ascii="Times New Roman" w:eastAsia="Times New Roman" w:hAnsi="Times New Roman"/>
          <w:sz w:val="24"/>
        </w:rPr>
        <w:t xml:space="preserve">six </w:t>
      </w:r>
      <w:r w:rsidRPr="00CB2CB5">
        <w:rPr>
          <w:rFonts w:ascii="Times New Roman" w:eastAsia="Times New Roman" w:hAnsi="Times New Roman"/>
          <w:sz w:val="24"/>
        </w:rPr>
        <w:t xml:space="preserve">small solar </w:t>
      </w:r>
      <w:r w:rsidR="00C21697">
        <w:rPr>
          <w:rFonts w:ascii="Times New Roman" w:eastAsia="Times New Roman" w:hAnsi="Times New Roman"/>
          <w:sz w:val="24"/>
        </w:rPr>
        <w:t>PV</w:t>
      </w:r>
      <w:r w:rsidRPr="00CB2CB5">
        <w:rPr>
          <w:rFonts w:ascii="Times New Roman" w:eastAsia="Times New Roman" w:hAnsi="Times New Roman"/>
          <w:sz w:val="24"/>
        </w:rPr>
        <w:t xml:space="preserve"> systems located</w:t>
      </w:r>
      <w:r w:rsidR="00D00A39" w:rsidRPr="00CB2CB5">
        <w:rPr>
          <w:rFonts w:ascii="Times New Roman" w:eastAsia="Times New Roman" w:hAnsi="Times New Roman"/>
          <w:sz w:val="24"/>
        </w:rPr>
        <w:t xml:space="preserve"> at</w:t>
      </w:r>
      <w:r w:rsidRPr="00CB2CB5">
        <w:rPr>
          <w:rFonts w:ascii="Times New Roman" w:eastAsia="Times New Roman" w:hAnsi="Times New Roman"/>
          <w:sz w:val="24"/>
        </w:rPr>
        <w:t xml:space="preserve"> (1)</w:t>
      </w:r>
      <w:r w:rsidR="00EB31CB" w:rsidRPr="00CB2CB5">
        <w:rPr>
          <w:rFonts w:ascii="Times New Roman" w:eastAsia="Times New Roman" w:hAnsi="Times New Roman"/>
          <w:sz w:val="24"/>
        </w:rPr>
        <w:t> </w:t>
      </w:r>
      <w:r w:rsidRPr="00CB2CB5">
        <w:rPr>
          <w:rFonts w:ascii="Times New Roman" w:eastAsia="Times New Roman" w:hAnsi="Times New Roman"/>
          <w:sz w:val="24"/>
        </w:rPr>
        <w:t>Rio</w:t>
      </w:r>
      <w:r w:rsidR="00EB31CB" w:rsidRPr="00CB2CB5">
        <w:rPr>
          <w:rFonts w:ascii="Times New Roman" w:eastAsia="Times New Roman" w:hAnsi="Times New Roman"/>
          <w:sz w:val="24"/>
        </w:rPr>
        <w:t> </w:t>
      </w:r>
      <w:r w:rsidRPr="00CB2CB5">
        <w:rPr>
          <w:rFonts w:ascii="Times New Roman" w:eastAsia="Times New Roman" w:hAnsi="Times New Roman"/>
          <w:sz w:val="24"/>
        </w:rPr>
        <w:t>Grande</w:t>
      </w:r>
      <w:r w:rsidR="00054968" w:rsidRPr="00CB2CB5">
        <w:rPr>
          <w:rFonts w:ascii="Times New Roman" w:eastAsia="Times New Roman" w:hAnsi="Times New Roman"/>
          <w:sz w:val="24"/>
        </w:rPr>
        <w:t xml:space="preserve"> in Sunland Park, New</w:t>
      </w:r>
      <w:r w:rsidR="00192CA0" w:rsidRPr="00CB2CB5">
        <w:rPr>
          <w:rFonts w:ascii="Times New Roman" w:eastAsia="Times New Roman" w:hAnsi="Times New Roman"/>
          <w:sz w:val="24"/>
        </w:rPr>
        <w:t> </w:t>
      </w:r>
      <w:r w:rsidR="00054968" w:rsidRPr="00CB2CB5">
        <w:rPr>
          <w:rFonts w:ascii="Times New Roman" w:eastAsia="Times New Roman" w:hAnsi="Times New Roman"/>
          <w:sz w:val="24"/>
        </w:rPr>
        <w:t>Mexico</w:t>
      </w:r>
      <w:r w:rsidRPr="00CB2CB5">
        <w:rPr>
          <w:rFonts w:ascii="Times New Roman" w:eastAsia="Times New Roman" w:hAnsi="Times New Roman"/>
          <w:sz w:val="24"/>
        </w:rPr>
        <w:t>, (2)</w:t>
      </w:r>
      <w:r w:rsidR="00A92D54" w:rsidRPr="00CB2CB5">
        <w:rPr>
          <w:rFonts w:ascii="Times New Roman" w:eastAsia="Times New Roman" w:hAnsi="Times New Roman"/>
          <w:sz w:val="24"/>
        </w:rPr>
        <w:t> </w:t>
      </w:r>
      <w:r w:rsidRPr="00CB2CB5">
        <w:rPr>
          <w:rFonts w:ascii="Times New Roman" w:eastAsia="Times New Roman" w:hAnsi="Times New Roman"/>
          <w:sz w:val="24"/>
        </w:rPr>
        <w:t>Newman</w:t>
      </w:r>
      <w:r w:rsidR="00054968" w:rsidRPr="00CB2CB5">
        <w:rPr>
          <w:rFonts w:ascii="Times New Roman" w:eastAsia="Times New Roman" w:hAnsi="Times New Roman"/>
          <w:sz w:val="24"/>
        </w:rPr>
        <w:t xml:space="preserve"> in northeast El Paso</w:t>
      </w:r>
      <w:r w:rsidRPr="00CB2CB5">
        <w:rPr>
          <w:rFonts w:ascii="Times New Roman" w:eastAsia="Times New Roman" w:hAnsi="Times New Roman"/>
          <w:sz w:val="24"/>
        </w:rPr>
        <w:t>, (3)</w:t>
      </w:r>
      <w:r w:rsidR="0061563E" w:rsidRPr="00CB2CB5">
        <w:rPr>
          <w:rFonts w:ascii="Times New Roman" w:eastAsia="Times New Roman" w:hAnsi="Times New Roman"/>
          <w:sz w:val="24"/>
        </w:rPr>
        <w:t> </w:t>
      </w:r>
      <w:r w:rsidRPr="00CB2CB5">
        <w:rPr>
          <w:rFonts w:ascii="Times New Roman" w:eastAsia="Times New Roman" w:hAnsi="Times New Roman"/>
          <w:sz w:val="24"/>
        </w:rPr>
        <w:t>Wrangler Substation in east El Paso, (4)</w:t>
      </w:r>
      <w:r w:rsidR="00EB31CB" w:rsidRPr="00CB2CB5">
        <w:rPr>
          <w:rFonts w:ascii="Times New Roman" w:eastAsia="Times New Roman" w:hAnsi="Times New Roman"/>
          <w:sz w:val="24"/>
        </w:rPr>
        <w:t> </w:t>
      </w:r>
      <w:r w:rsidRPr="00CB2CB5">
        <w:rPr>
          <w:rFonts w:ascii="Times New Roman" w:eastAsia="Times New Roman" w:hAnsi="Times New Roman"/>
          <w:sz w:val="24"/>
        </w:rPr>
        <w:t>the El Paso Community College</w:t>
      </w:r>
      <w:r w:rsidR="00A92D54" w:rsidRPr="00CB2CB5">
        <w:rPr>
          <w:rFonts w:ascii="Times New Roman" w:eastAsia="Times New Roman" w:hAnsi="Times New Roman"/>
          <w:sz w:val="24"/>
        </w:rPr>
        <w:t> </w:t>
      </w:r>
      <w:r w:rsidR="0061563E" w:rsidRPr="00CB2CB5">
        <w:rPr>
          <w:rFonts w:ascii="Times New Roman" w:eastAsia="Times New Roman" w:hAnsi="Times New Roman"/>
          <w:sz w:val="24"/>
        </w:rPr>
        <w:t>–</w:t>
      </w:r>
      <w:r w:rsidRPr="00CB2CB5">
        <w:rPr>
          <w:rFonts w:ascii="Times New Roman" w:eastAsia="Times New Roman" w:hAnsi="Times New Roman"/>
          <w:sz w:val="24"/>
        </w:rPr>
        <w:t xml:space="preserve"> Valle</w:t>
      </w:r>
      <w:r w:rsidR="0061563E" w:rsidRPr="00CB2CB5">
        <w:rPr>
          <w:rFonts w:ascii="Times New Roman" w:eastAsia="Times New Roman" w:hAnsi="Times New Roman"/>
          <w:sz w:val="24"/>
        </w:rPr>
        <w:t> </w:t>
      </w:r>
      <w:r w:rsidRPr="00CB2CB5">
        <w:rPr>
          <w:rFonts w:ascii="Times New Roman" w:eastAsia="Times New Roman" w:hAnsi="Times New Roman"/>
          <w:sz w:val="24"/>
        </w:rPr>
        <w:t>Verde Campus in El</w:t>
      </w:r>
      <w:r w:rsidR="00192CA0" w:rsidRPr="00CB2CB5">
        <w:rPr>
          <w:rFonts w:ascii="Times New Roman" w:eastAsia="Times New Roman" w:hAnsi="Times New Roman"/>
          <w:sz w:val="24"/>
        </w:rPr>
        <w:t> </w:t>
      </w:r>
      <w:r w:rsidRPr="00CB2CB5">
        <w:rPr>
          <w:rFonts w:ascii="Times New Roman" w:eastAsia="Times New Roman" w:hAnsi="Times New Roman"/>
          <w:sz w:val="24"/>
        </w:rPr>
        <w:t xml:space="preserve">Paso's Lower Valley, </w:t>
      </w:r>
      <w:r w:rsidR="00375C0F" w:rsidRPr="00CB2CB5">
        <w:rPr>
          <w:rFonts w:ascii="Times New Roman" w:eastAsia="Times New Roman" w:hAnsi="Times New Roman"/>
          <w:sz w:val="24"/>
        </w:rPr>
        <w:t>(5) EPE</w:t>
      </w:r>
      <w:r w:rsidR="00B81EE4" w:rsidRPr="00CB2CB5">
        <w:rPr>
          <w:rFonts w:ascii="Times New Roman" w:eastAsia="Times New Roman" w:hAnsi="Times New Roman"/>
          <w:sz w:val="24"/>
        </w:rPr>
        <w:t>'</w:t>
      </w:r>
      <w:r w:rsidR="00375C0F" w:rsidRPr="00CB2CB5">
        <w:rPr>
          <w:rFonts w:ascii="Times New Roman" w:eastAsia="Times New Roman" w:hAnsi="Times New Roman"/>
          <w:sz w:val="24"/>
        </w:rPr>
        <w:t>s Van Horn customer service center, and (6</w:t>
      </w:r>
      <w:r w:rsidRPr="00CB2CB5">
        <w:rPr>
          <w:rFonts w:ascii="Times New Roman" w:eastAsia="Times New Roman" w:hAnsi="Times New Roman"/>
          <w:sz w:val="24"/>
        </w:rPr>
        <w:t xml:space="preserve">) the rooftop of EPE's headquarters in downtown El Paso. </w:t>
      </w:r>
    </w:p>
    <w:p w14:paraId="7C69C345" w14:textId="77777777"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p>
    <w:p w14:paraId="007527C1" w14:textId="48C81B3B"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EPE expanded its renewable portfolio with the addition of </w:t>
      </w:r>
      <w:r w:rsidR="00C24393">
        <w:rPr>
          <w:rFonts w:ascii="Times New Roman" w:eastAsia="Times New Roman" w:hAnsi="Times New Roman"/>
          <w:sz w:val="24"/>
        </w:rPr>
        <w:t xml:space="preserve">its Texas Community Solar </w:t>
      </w:r>
      <w:r w:rsidR="00EE11F6">
        <w:rPr>
          <w:rFonts w:ascii="Times New Roman" w:eastAsia="Times New Roman" w:hAnsi="Times New Roman"/>
          <w:sz w:val="24"/>
        </w:rPr>
        <w:t>Facility</w:t>
      </w:r>
      <w:r w:rsidR="00C24393">
        <w:rPr>
          <w:rFonts w:ascii="Times New Roman" w:eastAsia="Times New Roman" w:hAnsi="Times New Roman"/>
          <w:sz w:val="24"/>
        </w:rPr>
        <w:t xml:space="preserve"> and the Holloman Solar Facility in 2017 and 2018, respectively</w:t>
      </w:r>
      <w:r w:rsidRPr="00CB2CB5">
        <w:rPr>
          <w:rFonts w:ascii="Times New Roman" w:eastAsia="Times New Roman" w:hAnsi="Times New Roman"/>
          <w:sz w:val="24"/>
        </w:rPr>
        <w:t xml:space="preserve">.  The Texas Community Solar </w:t>
      </w:r>
      <w:r w:rsidR="00BE32C4">
        <w:rPr>
          <w:rFonts w:ascii="Times New Roman" w:eastAsia="Times New Roman" w:hAnsi="Times New Roman"/>
          <w:sz w:val="24"/>
        </w:rPr>
        <w:t xml:space="preserve">Facility </w:t>
      </w:r>
      <w:r w:rsidRPr="00CB2CB5">
        <w:rPr>
          <w:rFonts w:ascii="Times New Roman" w:eastAsia="Times New Roman" w:hAnsi="Times New Roman"/>
          <w:sz w:val="24"/>
        </w:rPr>
        <w:t>is a 3</w:t>
      </w:r>
      <w:r w:rsidR="004275C1" w:rsidRPr="00CB2CB5">
        <w:rPr>
          <w:rFonts w:ascii="Times New Roman" w:eastAsia="Times New Roman" w:hAnsi="Times New Roman"/>
          <w:sz w:val="24"/>
        </w:rPr>
        <w:t> </w:t>
      </w:r>
      <w:r w:rsidRPr="00CB2CB5">
        <w:rPr>
          <w:rFonts w:ascii="Times New Roman" w:eastAsia="Times New Roman" w:hAnsi="Times New Roman"/>
          <w:sz w:val="24"/>
        </w:rPr>
        <w:t>MW Solar PV system located on approximately 21</w:t>
      </w:r>
      <w:r w:rsidR="00EB31CB" w:rsidRPr="00CB2CB5">
        <w:rPr>
          <w:rFonts w:ascii="Times New Roman" w:eastAsia="Times New Roman" w:hAnsi="Times New Roman"/>
          <w:sz w:val="24"/>
        </w:rPr>
        <w:t> </w:t>
      </w:r>
      <w:r w:rsidRPr="00CB2CB5">
        <w:rPr>
          <w:rFonts w:ascii="Times New Roman" w:eastAsia="Times New Roman" w:hAnsi="Times New Roman"/>
          <w:sz w:val="24"/>
        </w:rPr>
        <w:t xml:space="preserve">acres near </w:t>
      </w:r>
      <w:r w:rsidR="00EB1BB9">
        <w:rPr>
          <w:rFonts w:ascii="Times New Roman" w:eastAsia="Times New Roman" w:hAnsi="Times New Roman"/>
          <w:sz w:val="24"/>
        </w:rPr>
        <w:t xml:space="preserve">the </w:t>
      </w:r>
      <w:r w:rsidRPr="00CB2CB5">
        <w:rPr>
          <w:rFonts w:ascii="Times New Roman" w:eastAsia="Times New Roman" w:hAnsi="Times New Roman"/>
          <w:sz w:val="24"/>
        </w:rPr>
        <w:t>MPS</w:t>
      </w:r>
      <w:r w:rsidR="00C24393">
        <w:rPr>
          <w:rFonts w:ascii="Times New Roman" w:eastAsia="Times New Roman" w:hAnsi="Times New Roman"/>
          <w:sz w:val="24"/>
        </w:rPr>
        <w:t>, wh</w:t>
      </w:r>
      <w:r w:rsidR="00BE32C4">
        <w:rPr>
          <w:rFonts w:ascii="Times New Roman" w:eastAsia="Times New Roman" w:hAnsi="Times New Roman"/>
          <w:sz w:val="24"/>
        </w:rPr>
        <w:t xml:space="preserve">ose generation is dedicated to EPE’s </w:t>
      </w:r>
      <w:r w:rsidR="00BE32C4" w:rsidRPr="00CB2CB5">
        <w:rPr>
          <w:rFonts w:ascii="Times New Roman" w:eastAsia="Times New Roman" w:hAnsi="Times New Roman"/>
          <w:sz w:val="24"/>
        </w:rPr>
        <w:t xml:space="preserve">Texas Community Solar </w:t>
      </w:r>
      <w:r w:rsidRPr="00CB2CB5">
        <w:rPr>
          <w:rFonts w:ascii="Times New Roman" w:eastAsia="Times New Roman" w:hAnsi="Times New Roman"/>
          <w:sz w:val="24"/>
        </w:rPr>
        <w:t>program</w:t>
      </w:r>
      <w:r w:rsidR="00BE32C4">
        <w:rPr>
          <w:rFonts w:ascii="Times New Roman" w:eastAsia="Times New Roman" w:hAnsi="Times New Roman"/>
          <w:sz w:val="24"/>
        </w:rPr>
        <w:t xml:space="preserve"> which </w:t>
      </w:r>
      <w:r w:rsidRPr="00CB2CB5">
        <w:rPr>
          <w:rFonts w:ascii="Times New Roman" w:eastAsia="Times New Roman" w:hAnsi="Times New Roman"/>
          <w:sz w:val="24"/>
        </w:rPr>
        <w:t>allows customers to voluntarily subscribe to utility</w:t>
      </w:r>
      <w:r w:rsidR="00BE32C4">
        <w:rPr>
          <w:rFonts w:ascii="Times New Roman" w:eastAsia="Times New Roman" w:hAnsi="Times New Roman"/>
          <w:sz w:val="24"/>
        </w:rPr>
        <w:t>-</w:t>
      </w:r>
      <w:r w:rsidRPr="00CB2CB5">
        <w:rPr>
          <w:rFonts w:ascii="Times New Roman" w:eastAsia="Times New Roman" w:hAnsi="Times New Roman"/>
          <w:sz w:val="24"/>
        </w:rPr>
        <w:t xml:space="preserve">scale single-axis tracking PV based on their current usage.  </w:t>
      </w:r>
      <w:r w:rsidR="00BE32C4">
        <w:rPr>
          <w:rFonts w:ascii="Times New Roman" w:eastAsia="Times New Roman" w:hAnsi="Times New Roman"/>
          <w:sz w:val="24"/>
        </w:rPr>
        <w:t xml:space="preserve">It allows customers to participate in supporting renewable energy generation without physically having to locate solar panels where they reside. It </w:t>
      </w:r>
      <w:r w:rsidRPr="00CB2CB5">
        <w:rPr>
          <w:rFonts w:ascii="Times New Roman" w:eastAsia="Times New Roman" w:hAnsi="Times New Roman"/>
          <w:sz w:val="24"/>
        </w:rPr>
        <w:t xml:space="preserve">became commercially operational </w:t>
      </w:r>
      <w:r w:rsidR="00C24393">
        <w:rPr>
          <w:rFonts w:ascii="Times New Roman" w:eastAsia="Times New Roman" w:hAnsi="Times New Roman"/>
          <w:sz w:val="24"/>
        </w:rPr>
        <w:t xml:space="preserve">on </w:t>
      </w:r>
      <w:r w:rsidRPr="00CB2CB5">
        <w:rPr>
          <w:rFonts w:ascii="Times New Roman" w:eastAsia="Times New Roman" w:hAnsi="Times New Roman"/>
          <w:sz w:val="24"/>
        </w:rPr>
        <w:t>May</w:t>
      </w:r>
      <w:r w:rsidR="00EB31CB" w:rsidRPr="00CB2CB5">
        <w:rPr>
          <w:rFonts w:ascii="Times New Roman" w:eastAsia="Times New Roman" w:hAnsi="Times New Roman"/>
          <w:sz w:val="24"/>
        </w:rPr>
        <w:t> </w:t>
      </w:r>
      <w:r w:rsidRPr="00CB2CB5">
        <w:rPr>
          <w:rFonts w:ascii="Times New Roman" w:eastAsia="Times New Roman" w:hAnsi="Times New Roman"/>
          <w:sz w:val="24"/>
        </w:rPr>
        <w:t>31, 2017</w:t>
      </w:r>
      <w:r w:rsidR="00C24393">
        <w:rPr>
          <w:rFonts w:ascii="Times New Roman" w:eastAsia="Times New Roman" w:hAnsi="Times New Roman"/>
          <w:sz w:val="24"/>
        </w:rPr>
        <w:t xml:space="preserve"> and</w:t>
      </w:r>
      <w:r w:rsidR="00BE32C4">
        <w:rPr>
          <w:rFonts w:ascii="Times New Roman" w:eastAsia="Times New Roman" w:hAnsi="Times New Roman"/>
          <w:sz w:val="24"/>
        </w:rPr>
        <w:t>,</w:t>
      </w:r>
      <w:r w:rsidR="00C24393">
        <w:rPr>
          <w:rFonts w:ascii="Times New Roman" w:eastAsia="Times New Roman" w:hAnsi="Times New Roman"/>
          <w:sz w:val="24"/>
        </w:rPr>
        <w:t xml:space="preserve"> to date</w:t>
      </w:r>
      <w:r w:rsidR="00BE32C4">
        <w:rPr>
          <w:rFonts w:ascii="Times New Roman" w:eastAsia="Times New Roman" w:hAnsi="Times New Roman"/>
          <w:sz w:val="24"/>
        </w:rPr>
        <w:t>,</w:t>
      </w:r>
      <w:r w:rsidR="00C24393">
        <w:rPr>
          <w:rFonts w:ascii="Times New Roman" w:eastAsia="Times New Roman" w:hAnsi="Times New Roman"/>
          <w:sz w:val="24"/>
        </w:rPr>
        <w:t xml:space="preserve"> is fully subscribed</w:t>
      </w:r>
      <w:r w:rsidRPr="00CB2CB5">
        <w:rPr>
          <w:rFonts w:ascii="Times New Roman" w:eastAsia="Times New Roman" w:hAnsi="Times New Roman"/>
          <w:sz w:val="24"/>
        </w:rPr>
        <w:t xml:space="preserve">.  On March </w:t>
      </w:r>
      <w:r w:rsidR="00702622" w:rsidRPr="00CB2CB5">
        <w:rPr>
          <w:rFonts w:ascii="Times New Roman" w:eastAsia="Times New Roman" w:hAnsi="Times New Roman"/>
          <w:sz w:val="24"/>
        </w:rPr>
        <w:t>20</w:t>
      </w:r>
      <w:r w:rsidRPr="00CB2CB5">
        <w:rPr>
          <w:rFonts w:ascii="Times New Roman" w:eastAsia="Times New Roman" w:hAnsi="Times New Roman"/>
          <w:sz w:val="24"/>
        </w:rPr>
        <w:t>, 2018, EPE filed</w:t>
      </w:r>
      <w:r w:rsidR="008E7A6A">
        <w:rPr>
          <w:rFonts w:ascii="Times New Roman" w:eastAsia="Times New Roman" w:hAnsi="Times New Roman"/>
          <w:sz w:val="24"/>
        </w:rPr>
        <w:t>,</w:t>
      </w:r>
      <w:r w:rsidRPr="00CB2CB5">
        <w:rPr>
          <w:rFonts w:ascii="Times New Roman" w:eastAsia="Times New Roman" w:hAnsi="Times New Roman"/>
          <w:sz w:val="24"/>
        </w:rPr>
        <w:t xml:space="preserve"> with the Public Utility Commission of Texas </w:t>
      </w:r>
      <w:r w:rsidR="000F3C43" w:rsidRPr="00CB2CB5">
        <w:rPr>
          <w:rFonts w:ascii="Times New Roman" w:eastAsia="Times New Roman" w:hAnsi="Times New Roman"/>
          <w:sz w:val="24"/>
        </w:rPr>
        <w:t>(</w:t>
      </w:r>
      <w:r w:rsidR="00B81EE4" w:rsidRPr="00CB2CB5">
        <w:rPr>
          <w:rFonts w:ascii="Times New Roman" w:eastAsia="Times New Roman" w:hAnsi="Times New Roman"/>
          <w:sz w:val="24"/>
        </w:rPr>
        <w:t>"</w:t>
      </w:r>
      <w:r w:rsidR="000F3C43" w:rsidRPr="00CB2CB5">
        <w:rPr>
          <w:rFonts w:ascii="Times New Roman" w:eastAsia="Times New Roman" w:hAnsi="Times New Roman"/>
          <w:sz w:val="24"/>
        </w:rPr>
        <w:t>PUCT</w:t>
      </w:r>
      <w:r w:rsidR="00B81EE4" w:rsidRPr="00CB2CB5">
        <w:rPr>
          <w:rFonts w:ascii="Times New Roman" w:eastAsia="Times New Roman" w:hAnsi="Times New Roman"/>
          <w:sz w:val="24"/>
        </w:rPr>
        <w:t>"</w:t>
      </w:r>
      <w:r w:rsidR="000F3C43" w:rsidRPr="00CB2CB5">
        <w:rPr>
          <w:rFonts w:ascii="Times New Roman" w:eastAsia="Times New Roman" w:hAnsi="Times New Roman"/>
          <w:sz w:val="24"/>
        </w:rPr>
        <w:t>)</w:t>
      </w:r>
      <w:r w:rsidR="008E7A6A">
        <w:rPr>
          <w:rFonts w:ascii="Times New Roman" w:eastAsia="Times New Roman" w:hAnsi="Times New Roman"/>
          <w:sz w:val="24"/>
        </w:rPr>
        <w:t>,</w:t>
      </w:r>
      <w:r w:rsidR="000F3C43" w:rsidRPr="00CB2CB5">
        <w:rPr>
          <w:rFonts w:ascii="Times New Roman" w:eastAsia="Times New Roman" w:hAnsi="Times New Roman"/>
          <w:sz w:val="24"/>
        </w:rPr>
        <w:t xml:space="preserve"> </w:t>
      </w:r>
      <w:r w:rsidRPr="00CB2CB5">
        <w:rPr>
          <w:rFonts w:ascii="Times New Roman" w:eastAsia="Times New Roman" w:hAnsi="Times New Roman"/>
          <w:sz w:val="24"/>
        </w:rPr>
        <w:t>to expand the Texas Community Solar program by 2</w:t>
      </w:r>
      <w:r w:rsidR="004275C1" w:rsidRPr="00CB2CB5">
        <w:rPr>
          <w:rFonts w:ascii="Times New Roman" w:eastAsia="Times New Roman" w:hAnsi="Times New Roman"/>
          <w:sz w:val="24"/>
        </w:rPr>
        <w:t> </w:t>
      </w:r>
      <w:r w:rsidRPr="00CB2CB5">
        <w:rPr>
          <w:rFonts w:ascii="Times New Roman" w:eastAsia="Times New Roman" w:hAnsi="Times New Roman"/>
          <w:sz w:val="24"/>
        </w:rPr>
        <w:t>MW, utilizing 2</w:t>
      </w:r>
      <w:r w:rsidR="00EB31CB" w:rsidRPr="00CB2CB5">
        <w:rPr>
          <w:rFonts w:ascii="Times New Roman" w:eastAsia="Times New Roman" w:hAnsi="Times New Roman"/>
          <w:sz w:val="24"/>
        </w:rPr>
        <w:t> </w:t>
      </w:r>
      <w:r w:rsidRPr="00CB2CB5">
        <w:rPr>
          <w:rFonts w:ascii="Times New Roman" w:eastAsia="Times New Roman" w:hAnsi="Times New Roman"/>
          <w:sz w:val="24"/>
        </w:rPr>
        <w:t>MW of solar</w:t>
      </w:r>
      <w:r w:rsidR="008E7A6A">
        <w:rPr>
          <w:rFonts w:ascii="Times New Roman" w:eastAsia="Times New Roman" w:hAnsi="Times New Roman"/>
          <w:sz w:val="24"/>
        </w:rPr>
        <w:t xml:space="preserve"> generation</w:t>
      </w:r>
      <w:r w:rsidRPr="00CB2CB5">
        <w:rPr>
          <w:rFonts w:ascii="Times New Roman" w:eastAsia="Times New Roman" w:hAnsi="Times New Roman"/>
          <w:sz w:val="24"/>
        </w:rPr>
        <w:t xml:space="preserve"> from the </w:t>
      </w:r>
      <w:r w:rsidR="00702622" w:rsidRPr="00CB2CB5">
        <w:rPr>
          <w:rFonts w:ascii="Times New Roman" w:eastAsia="Times New Roman" w:hAnsi="Times New Roman"/>
          <w:sz w:val="24"/>
        </w:rPr>
        <w:t xml:space="preserve">10 MW </w:t>
      </w:r>
      <w:r w:rsidRPr="00CB2CB5">
        <w:rPr>
          <w:rFonts w:ascii="Times New Roman" w:eastAsia="Times New Roman" w:hAnsi="Times New Roman"/>
          <w:sz w:val="24"/>
        </w:rPr>
        <w:t xml:space="preserve">Newman </w:t>
      </w:r>
      <w:r w:rsidR="000F123D" w:rsidRPr="00CB2CB5">
        <w:rPr>
          <w:rFonts w:ascii="Times New Roman" w:eastAsia="Times New Roman" w:hAnsi="Times New Roman"/>
          <w:sz w:val="24"/>
        </w:rPr>
        <w:t>S</w:t>
      </w:r>
      <w:r w:rsidRPr="00CB2CB5">
        <w:rPr>
          <w:rFonts w:ascii="Times New Roman" w:eastAsia="Times New Roman" w:hAnsi="Times New Roman"/>
          <w:sz w:val="24"/>
        </w:rPr>
        <w:t xml:space="preserve">olar </w:t>
      </w:r>
      <w:r w:rsidR="000F123D" w:rsidRPr="00CB2CB5">
        <w:rPr>
          <w:rFonts w:ascii="Times New Roman" w:eastAsia="Times New Roman" w:hAnsi="Times New Roman"/>
          <w:sz w:val="24"/>
        </w:rPr>
        <w:t>F</w:t>
      </w:r>
      <w:r w:rsidRPr="00CB2CB5">
        <w:rPr>
          <w:rFonts w:ascii="Times New Roman" w:eastAsia="Times New Roman" w:hAnsi="Times New Roman"/>
          <w:sz w:val="24"/>
        </w:rPr>
        <w:t>acility</w:t>
      </w:r>
      <w:r w:rsidR="00702622" w:rsidRPr="00CB2CB5">
        <w:rPr>
          <w:rFonts w:ascii="Times New Roman" w:eastAsia="Times New Roman" w:hAnsi="Times New Roman"/>
          <w:sz w:val="24"/>
        </w:rPr>
        <w:t>.</w:t>
      </w:r>
      <w:r w:rsidR="00C24393">
        <w:rPr>
          <w:rFonts w:ascii="Times New Roman" w:eastAsia="Times New Roman" w:hAnsi="Times New Roman"/>
          <w:sz w:val="24"/>
        </w:rPr>
        <w:t xml:space="preserve"> Therefore, the Texas Community Solar program consists of </w:t>
      </w:r>
      <w:r w:rsidR="008E7A6A">
        <w:rPr>
          <w:rFonts w:ascii="Times New Roman" w:eastAsia="Times New Roman" w:hAnsi="Times New Roman"/>
          <w:sz w:val="24"/>
        </w:rPr>
        <w:t xml:space="preserve">a total of 5 MW, i.e., </w:t>
      </w:r>
      <w:r w:rsidR="00C24393">
        <w:rPr>
          <w:rFonts w:ascii="Times New Roman" w:eastAsia="Times New Roman" w:hAnsi="Times New Roman"/>
          <w:sz w:val="24"/>
        </w:rPr>
        <w:t>3 MW of EPE-owned generation and 2</w:t>
      </w:r>
      <w:r w:rsidR="008E7A6A">
        <w:rPr>
          <w:rFonts w:ascii="Times New Roman" w:eastAsia="Times New Roman" w:hAnsi="Times New Roman"/>
          <w:sz w:val="24"/>
        </w:rPr>
        <w:t xml:space="preserve"> </w:t>
      </w:r>
      <w:r w:rsidR="00C24393">
        <w:rPr>
          <w:rFonts w:ascii="Times New Roman" w:eastAsia="Times New Roman" w:hAnsi="Times New Roman"/>
          <w:sz w:val="24"/>
        </w:rPr>
        <w:t xml:space="preserve">MW from </w:t>
      </w:r>
      <w:r w:rsidR="008E7A6A">
        <w:rPr>
          <w:rFonts w:ascii="Times New Roman" w:eastAsia="Times New Roman" w:hAnsi="Times New Roman"/>
          <w:sz w:val="24"/>
        </w:rPr>
        <w:t xml:space="preserve">the </w:t>
      </w:r>
      <w:r w:rsidR="00C24393">
        <w:rPr>
          <w:rFonts w:ascii="Times New Roman" w:eastAsia="Times New Roman" w:hAnsi="Times New Roman"/>
          <w:sz w:val="24"/>
        </w:rPr>
        <w:t>Newman Solar Facility</w:t>
      </w:r>
      <w:r w:rsidR="008E7A6A">
        <w:rPr>
          <w:rFonts w:ascii="Times New Roman" w:eastAsia="Times New Roman" w:hAnsi="Times New Roman"/>
          <w:sz w:val="24"/>
        </w:rPr>
        <w:t xml:space="preserve"> which is under a </w:t>
      </w:r>
      <w:proofErr w:type="spellStart"/>
      <w:r w:rsidR="00C24393">
        <w:rPr>
          <w:rFonts w:ascii="Times New Roman" w:eastAsia="Times New Roman" w:hAnsi="Times New Roman"/>
          <w:sz w:val="24"/>
        </w:rPr>
        <w:t>PPA</w:t>
      </w:r>
      <w:proofErr w:type="spellEnd"/>
      <w:r w:rsidR="00C24393">
        <w:rPr>
          <w:rFonts w:ascii="Times New Roman" w:eastAsia="Times New Roman" w:hAnsi="Times New Roman"/>
          <w:sz w:val="24"/>
        </w:rPr>
        <w:t>.</w:t>
      </w:r>
    </w:p>
    <w:p w14:paraId="2982C9FE" w14:textId="77777777"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p>
    <w:p w14:paraId="198BD591" w14:textId="1331D456"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The Holloman Solar Facility is </w:t>
      </w:r>
      <w:r w:rsidR="00D24BAD">
        <w:rPr>
          <w:rFonts w:ascii="Times New Roman" w:eastAsia="Times New Roman" w:hAnsi="Times New Roman"/>
          <w:sz w:val="24"/>
        </w:rPr>
        <w:t xml:space="preserve">a </w:t>
      </w:r>
      <w:r w:rsidRPr="00CB2CB5">
        <w:rPr>
          <w:rFonts w:ascii="Times New Roman" w:eastAsia="Times New Roman" w:hAnsi="Times New Roman"/>
          <w:sz w:val="24"/>
        </w:rPr>
        <w:t>5</w:t>
      </w:r>
      <w:r w:rsidR="004275C1" w:rsidRPr="00CB2CB5">
        <w:rPr>
          <w:rFonts w:ascii="Times New Roman" w:eastAsia="Times New Roman" w:hAnsi="Times New Roman"/>
          <w:sz w:val="24"/>
        </w:rPr>
        <w:t> </w:t>
      </w:r>
      <w:r w:rsidRPr="00CB2CB5">
        <w:rPr>
          <w:rFonts w:ascii="Times New Roman" w:eastAsia="Times New Roman" w:hAnsi="Times New Roman"/>
          <w:sz w:val="24"/>
        </w:rPr>
        <w:t xml:space="preserve">MW </w:t>
      </w:r>
      <w:r w:rsidR="008868AA" w:rsidRPr="00CB2CB5">
        <w:rPr>
          <w:rFonts w:ascii="Times New Roman" w:eastAsia="Times New Roman" w:hAnsi="Times New Roman"/>
          <w:sz w:val="24"/>
        </w:rPr>
        <w:t>EPE</w:t>
      </w:r>
      <w:r w:rsidR="00F4371A" w:rsidRPr="00CB2CB5">
        <w:rPr>
          <w:rFonts w:ascii="Times New Roman" w:eastAsia="Times New Roman" w:hAnsi="Times New Roman"/>
          <w:sz w:val="24"/>
        </w:rPr>
        <w:noBreakHyphen/>
      </w:r>
      <w:r w:rsidR="008868AA" w:rsidRPr="00CB2CB5">
        <w:rPr>
          <w:rFonts w:ascii="Times New Roman" w:eastAsia="Times New Roman" w:hAnsi="Times New Roman"/>
          <w:sz w:val="24"/>
        </w:rPr>
        <w:t xml:space="preserve">owned solar resource dedicated to serve </w:t>
      </w:r>
      <w:proofErr w:type="spellStart"/>
      <w:r w:rsidR="000F3C43" w:rsidRPr="00CB2CB5">
        <w:rPr>
          <w:rFonts w:ascii="Times New Roman" w:eastAsia="Times New Roman" w:hAnsi="Times New Roman"/>
          <w:sz w:val="24"/>
        </w:rPr>
        <w:t>HAFB</w:t>
      </w:r>
      <w:proofErr w:type="spellEnd"/>
      <w:r w:rsidR="00DB6F63">
        <w:rPr>
          <w:rFonts w:ascii="Times New Roman" w:eastAsia="Times New Roman" w:hAnsi="Times New Roman"/>
          <w:sz w:val="24"/>
        </w:rPr>
        <w:t>. It</w:t>
      </w:r>
      <w:r w:rsidR="008868AA" w:rsidRPr="00CB2CB5">
        <w:rPr>
          <w:rFonts w:ascii="Times New Roman" w:eastAsia="Times New Roman" w:hAnsi="Times New Roman"/>
          <w:sz w:val="24"/>
        </w:rPr>
        <w:t xml:space="preserve"> </w:t>
      </w:r>
      <w:r w:rsidR="006A64BC">
        <w:rPr>
          <w:rFonts w:ascii="Times New Roman" w:eastAsia="Times New Roman" w:hAnsi="Times New Roman"/>
          <w:sz w:val="24"/>
        </w:rPr>
        <w:t xml:space="preserve">became </w:t>
      </w:r>
      <w:r w:rsidR="008868AA" w:rsidRPr="00CB2CB5">
        <w:rPr>
          <w:rFonts w:ascii="Times New Roman" w:eastAsia="Times New Roman" w:hAnsi="Times New Roman"/>
          <w:sz w:val="24"/>
        </w:rPr>
        <w:t xml:space="preserve">commercially operational </w:t>
      </w:r>
      <w:r w:rsidR="006A64BC">
        <w:rPr>
          <w:rFonts w:ascii="Times New Roman" w:eastAsia="Times New Roman" w:hAnsi="Times New Roman"/>
          <w:sz w:val="24"/>
        </w:rPr>
        <w:t xml:space="preserve">on </w:t>
      </w:r>
      <w:r w:rsidR="00DB6F63">
        <w:rPr>
          <w:rFonts w:ascii="Times New Roman" w:eastAsia="Times New Roman" w:hAnsi="Times New Roman"/>
          <w:sz w:val="24"/>
        </w:rPr>
        <w:t>October 18,</w:t>
      </w:r>
      <w:r w:rsidR="008868AA" w:rsidRPr="00CB2CB5">
        <w:rPr>
          <w:rFonts w:ascii="Times New Roman" w:eastAsia="Times New Roman" w:hAnsi="Times New Roman"/>
          <w:sz w:val="24"/>
        </w:rPr>
        <w:t xml:space="preserve"> 2018.</w:t>
      </w:r>
    </w:p>
    <w:p w14:paraId="248CD4D0" w14:textId="77777777"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p>
    <w:p w14:paraId="49CCE313" w14:textId="77777777"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proofErr w:type="spellStart"/>
      <w:r w:rsidRPr="00CB2CB5">
        <w:rPr>
          <w:rFonts w:ascii="Times New Roman" w:eastAsia="Times New Roman" w:hAnsi="Times New Roman"/>
          <w:sz w:val="24"/>
        </w:rPr>
        <w:t>PVNGS</w:t>
      </w:r>
      <w:proofErr w:type="spellEnd"/>
      <w:r w:rsidRPr="00CB2CB5">
        <w:rPr>
          <w:rFonts w:ascii="Times New Roman" w:eastAsia="Times New Roman" w:hAnsi="Times New Roman"/>
          <w:sz w:val="24"/>
        </w:rPr>
        <w:t xml:space="preserve">, located near Phoenix, Arizona, is considered EPE's remote generation.  EPE owns 15.8 percent of the </w:t>
      </w:r>
      <w:proofErr w:type="spellStart"/>
      <w:r w:rsidRPr="00CB2CB5">
        <w:rPr>
          <w:rFonts w:ascii="Times New Roman" w:eastAsia="Times New Roman" w:hAnsi="Times New Roman"/>
          <w:sz w:val="24"/>
        </w:rPr>
        <w:t>PVNGS</w:t>
      </w:r>
      <w:proofErr w:type="spellEnd"/>
      <w:r w:rsidRPr="00CB2CB5">
        <w:rPr>
          <w:rFonts w:ascii="Times New Roman" w:eastAsia="Times New Roman" w:hAnsi="Times New Roman"/>
          <w:sz w:val="24"/>
        </w:rPr>
        <w:t>' Units</w:t>
      </w:r>
      <w:r w:rsidR="001E34E4" w:rsidRPr="00CB2CB5">
        <w:rPr>
          <w:rFonts w:ascii="Times New Roman" w:eastAsia="Times New Roman" w:hAnsi="Times New Roman"/>
          <w:sz w:val="24"/>
        </w:rPr>
        <w:t> </w:t>
      </w:r>
      <w:r w:rsidRPr="00CB2CB5">
        <w:rPr>
          <w:rFonts w:ascii="Times New Roman" w:eastAsia="Times New Roman" w:hAnsi="Times New Roman"/>
          <w:sz w:val="24"/>
        </w:rPr>
        <w:t>1, 2</w:t>
      </w:r>
      <w:r w:rsidR="000F3C43" w:rsidRPr="00CB2CB5">
        <w:rPr>
          <w:rFonts w:ascii="Times New Roman" w:eastAsia="Times New Roman" w:hAnsi="Times New Roman"/>
          <w:sz w:val="24"/>
        </w:rPr>
        <w:t>,</w:t>
      </w:r>
      <w:r w:rsidRPr="00CB2CB5">
        <w:rPr>
          <w:rFonts w:ascii="Times New Roman" w:eastAsia="Times New Roman" w:hAnsi="Times New Roman"/>
          <w:sz w:val="24"/>
        </w:rPr>
        <w:t xml:space="preserve"> and 3.  </w:t>
      </w:r>
    </w:p>
    <w:p w14:paraId="5430383D" w14:textId="77777777"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p>
    <w:p w14:paraId="25A8D0B1" w14:textId="4B6C754F" w:rsidR="00EB31CB" w:rsidRPr="00CB2CB5" w:rsidRDefault="002E09F5" w:rsidP="004C0BEE">
      <w:pPr>
        <w:pStyle w:val="ListParagraph"/>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EPE's existing generating stations and fuel types are listed in T</w:t>
      </w:r>
      <w:r w:rsidR="00F66780" w:rsidRPr="00CB2CB5">
        <w:rPr>
          <w:rFonts w:ascii="Times New Roman" w:eastAsia="Times New Roman" w:hAnsi="Times New Roman"/>
          <w:sz w:val="24"/>
        </w:rPr>
        <w:t>able </w:t>
      </w:r>
      <w:r w:rsidR="00B415AA">
        <w:rPr>
          <w:rFonts w:ascii="Times New Roman" w:eastAsia="Times New Roman" w:hAnsi="Times New Roman"/>
          <w:sz w:val="24"/>
        </w:rPr>
        <w:t>1</w:t>
      </w:r>
      <w:r w:rsidR="00B415AA" w:rsidRPr="00CB2CB5">
        <w:rPr>
          <w:rFonts w:ascii="Times New Roman" w:eastAsia="Times New Roman" w:hAnsi="Times New Roman"/>
          <w:sz w:val="24"/>
        </w:rPr>
        <w:t xml:space="preserve"> </w:t>
      </w:r>
      <w:r w:rsidRPr="00CB2CB5">
        <w:rPr>
          <w:rFonts w:ascii="Times New Roman" w:eastAsia="Times New Roman" w:hAnsi="Times New Roman"/>
          <w:sz w:val="24"/>
        </w:rPr>
        <w:t xml:space="preserve">below, together with in-service and currently planned retirement dates. </w:t>
      </w:r>
      <w:r w:rsidR="00B00CE1" w:rsidRPr="00CB2CB5">
        <w:rPr>
          <w:rFonts w:ascii="Times New Roman" w:eastAsia="Times New Roman" w:hAnsi="Times New Roman"/>
          <w:sz w:val="24"/>
        </w:rPr>
        <w:t xml:space="preserve">Table </w:t>
      </w:r>
      <w:r w:rsidR="00B415AA">
        <w:rPr>
          <w:rFonts w:ascii="Times New Roman" w:eastAsia="Times New Roman" w:hAnsi="Times New Roman"/>
          <w:sz w:val="24"/>
        </w:rPr>
        <w:t>1</w:t>
      </w:r>
      <w:r w:rsidR="00B415AA" w:rsidRPr="00CB2CB5">
        <w:rPr>
          <w:rFonts w:ascii="Times New Roman" w:eastAsia="Times New Roman" w:hAnsi="Times New Roman"/>
          <w:sz w:val="24"/>
        </w:rPr>
        <w:t xml:space="preserve"> </w:t>
      </w:r>
      <w:r w:rsidR="00B00CE1" w:rsidRPr="00CB2CB5">
        <w:rPr>
          <w:rFonts w:ascii="Times New Roman" w:eastAsia="Times New Roman" w:hAnsi="Times New Roman"/>
          <w:sz w:val="24"/>
        </w:rPr>
        <w:t>includes Rio</w:t>
      </w:r>
      <w:r w:rsidR="00192CA0" w:rsidRPr="00CB2CB5">
        <w:rPr>
          <w:rFonts w:ascii="Times New Roman" w:eastAsia="Times New Roman" w:hAnsi="Times New Roman"/>
          <w:sz w:val="24"/>
        </w:rPr>
        <w:t> </w:t>
      </w:r>
      <w:r w:rsidR="00B00CE1" w:rsidRPr="00CB2CB5">
        <w:rPr>
          <w:rFonts w:ascii="Times New Roman" w:eastAsia="Times New Roman" w:hAnsi="Times New Roman"/>
          <w:sz w:val="24"/>
        </w:rPr>
        <w:t>Grande Unit</w:t>
      </w:r>
      <w:r w:rsidR="00192CA0" w:rsidRPr="00CB2CB5">
        <w:rPr>
          <w:rFonts w:ascii="Times New Roman" w:eastAsia="Times New Roman" w:hAnsi="Times New Roman"/>
          <w:sz w:val="24"/>
        </w:rPr>
        <w:t> </w:t>
      </w:r>
      <w:r w:rsidR="00B00CE1" w:rsidRPr="00CB2CB5">
        <w:rPr>
          <w:rFonts w:ascii="Times New Roman" w:eastAsia="Times New Roman" w:hAnsi="Times New Roman"/>
          <w:sz w:val="24"/>
        </w:rPr>
        <w:t xml:space="preserve">6 as required in the </w:t>
      </w:r>
      <w:r w:rsidR="00F73ABC" w:rsidRPr="00CB2CB5">
        <w:rPr>
          <w:rFonts w:ascii="Times New Roman" w:eastAsia="Times New Roman" w:hAnsi="Times New Roman"/>
          <w:sz w:val="24"/>
        </w:rPr>
        <w:t>F</w:t>
      </w:r>
      <w:r w:rsidR="00B00CE1" w:rsidRPr="00CB2CB5">
        <w:rPr>
          <w:rFonts w:ascii="Times New Roman" w:eastAsia="Times New Roman" w:hAnsi="Times New Roman"/>
          <w:sz w:val="24"/>
        </w:rPr>
        <w:t xml:space="preserve">inal </w:t>
      </w:r>
      <w:r w:rsidR="00F73ABC" w:rsidRPr="00CB2CB5">
        <w:rPr>
          <w:rFonts w:ascii="Times New Roman" w:eastAsia="Times New Roman" w:hAnsi="Times New Roman"/>
          <w:sz w:val="24"/>
        </w:rPr>
        <w:t>O</w:t>
      </w:r>
      <w:r w:rsidR="00B00CE1" w:rsidRPr="00CB2CB5">
        <w:rPr>
          <w:rFonts w:ascii="Times New Roman" w:eastAsia="Times New Roman" w:hAnsi="Times New Roman"/>
          <w:sz w:val="24"/>
        </w:rPr>
        <w:t xml:space="preserve">rder of </w:t>
      </w:r>
      <w:r w:rsidR="00F73ABC" w:rsidRPr="00CB2CB5">
        <w:rPr>
          <w:rFonts w:ascii="Times New Roman" w:eastAsia="Times New Roman" w:hAnsi="Times New Roman"/>
          <w:sz w:val="24"/>
        </w:rPr>
        <w:t>Case No.</w:t>
      </w:r>
      <w:r w:rsidR="00B00CE1" w:rsidRPr="00CB2CB5">
        <w:rPr>
          <w:rFonts w:ascii="Times New Roman" w:eastAsia="Times New Roman" w:hAnsi="Times New Roman"/>
          <w:sz w:val="24"/>
        </w:rPr>
        <w:t xml:space="preserve"> 17-00317-UT.  </w:t>
      </w:r>
      <w:r w:rsidR="00D53E41">
        <w:rPr>
          <w:rFonts w:ascii="Times New Roman" w:eastAsia="Times New Roman" w:hAnsi="Times New Roman"/>
          <w:sz w:val="24"/>
        </w:rPr>
        <w:t xml:space="preserve">It is also important to note that </w:t>
      </w:r>
      <w:r w:rsidRPr="00CB2CB5">
        <w:rPr>
          <w:rFonts w:ascii="Times New Roman" w:eastAsia="Times New Roman" w:hAnsi="Times New Roman"/>
          <w:sz w:val="24"/>
        </w:rPr>
        <w:t>the majority of EPE's generating facilities</w:t>
      </w:r>
      <w:r w:rsidR="00D53E41">
        <w:rPr>
          <w:rFonts w:ascii="Times New Roman" w:eastAsia="Times New Roman" w:hAnsi="Times New Roman"/>
          <w:sz w:val="24"/>
        </w:rPr>
        <w:t xml:space="preserve"> listed in Table 1</w:t>
      </w:r>
      <w:r w:rsidRPr="00CB2CB5">
        <w:rPr>
          <w:rFonts w:ascii="Times New Roman" w:eastAsia="Times New Roman" w:hAnsi="Times New Roman"/>
          <w:sz w:val="24"/>
        </w:rPr>
        <w:t xml:space="preserve"> have been in service for a significant number of years.  This is an important consideration for integrated resource planning because </w:t>
      </w:r>
      <w:r w:rsidR="00DB6F63">
        <w:rPr>
          <w:rFonts w:ascii="Times New Roman" w:eastAsia="Times New Roman" w:hAnsi="Times New Roman"/>
          <w:sz w:val="24"/>
        </w:rPr>
        <w:t xml:space="preserve">the </w:t>
      </w:r>
      <w:r w:rsidRPr="00CB2CB5">
        <w:rPr>
          <w:rFonts w:ascii="Times New Roman" w:eastAsia="Times New Roman" w:hAnsi="Times New Roman"/>
          <w:sz w:val="24"/>
        </w:rPr>
        <w:t>aging units being considered for retirement</w:t>
      </w:r>
      <w:r w:rsidR="00DB6F63">
        <w:rPr>
          <w:rFonts w:ascii="Times New Roman" w:eastAsia="Times New Roman" w:hAnsi="Times New Roman"/>
          <w:sz w:val="24"/>
        </w:rPr>
        <w:t>,</w:t>
      </w:r>
      <w:r w:rsidRPr="00CB2CB5">
        <w:rPr>
          <w:rFonts w:ascii="Times New Roman" w:eastAsia="Times New Roman" w:hAnsi="Times New Roman"/>
          <w:sz w:val="24"/>
        </w:rPr>
        <w:t xml:space="preserve"> within the </w:t>
      </w:r>
      <w:r w:rsidR="008A02BD" w:rsidRPr="00CB2CB5">
        <w:rPr>
          <w:rFonts w:ascii="Times New Roman" w:eastAsia="Times New Roman" w:hAnsi="Times New Roman"/>
          <w:sz w:val="24"/>
        </w:rPr>
        <w:t>P</w:t>
      </w:r>
      <w:r w:rsidRPr="00CB2CB5">
        <w:rPr>
          <w:rFonts w:ascii="Times New Roman" w:eastAsia="Times New Roman" w:hAnsi="Times New Roman"/>
          <w:sz w:val="24"/>
        </w:rPr>
        <w:t xml:space="preserve">lanning </w:t>
      </w:r>
      <w:r w:rsidR="008A02BD" w:rsidRPr="00CB2CB5">
        <w:rPr>
          <w:rFonts w:ascii="Times New Roman" w:eastAsia="Times New Roman" w:hAnsi="Times New Roman"/>
          <w:sz w:val="24"/>
        </w:rPr>
        <w:t>H</w:t>
      </w:r>
      <w:r w:rsidRPr="00CB2CB5">
        <w:rPr>
          <w:rFonts w:ascii="Times New Roman" w:eastAsia="Times New Roman" w:hAnsi="Times New Roman"/>
          <w:sz w:val="24"/>
        </w:rPr>
        <w:t>orizon</w:t>
      </w:r>
      <w:r w:rsidR="00DB6F63">
        <w:rPr>
          <w:rFonts w:ascii="Times New Roman" w:eastAsia="Times New Roman" w:hAnsi="Times New Roman"/>
          <w:sz w:val="24"/>
        </w:rPr>
        <w:t>,</w:t>
      </w:r>
      <w:r w:rsidRPr="00CB2CB5">
        <w:rPr>
          <w:rFonts w:ascii="Times New Roman" w:eastAsia="Times New Roman" w:hAnsi="Times New Roman"/>
          <w:sz w:val="24"/>
        </w:rPr>
        <w:t xml:space="preserve"> will affect EPE</w:t>
      </w:r>
      <w:r w:rsidR="00B81EE4" w:rsidRPr="00CB2CB5">
        <w:rPr>
          <w:rFonts w:ascii="Times New Roman" w:eastAsia="Times New Roman" w:hAnsi="Times New Roman"/>
          <w:sz w:val="24"/>
        </w:rPr>
        <w:t>'</w:t>
      </w:r>
      <w:r w:rsidRPr="00CB2CB5">
        <w:rPr>
          <w:rFonts w:ascii="Times New Roman" w:eastAsia="Times New Roman" w:hAnsi="Times New Roman"/>
          <w:sz w:val="24"/>
        </w:rPr>
        <w:t xml:space="preserve">s capacity needs.  Additional output data required by the IRP Rule, such as capacity factor, fuel costs, heat rate, and total </w:t>
      </w:r>
      <w:r w:rsidR="0046486E">
        <w:rPr>
          <w:rFonts w:ascii="Times New Roman" w:eastAsia="Times New Roman" w:hAnsi="Times New Roman"/>
          <w:sz w:val="24"/>
        </w:rPr>
        <w:t>o</w:t>
      </w:r>
      <w:r w:rsidR="00702622" w:rsidRPr="00CB2CB5">
        <w:rPr>
          <w:rFonts w:ascii="Times New Roman" w:eastAsia="Times New Roman" w:hAnsi="Times New Roman"/>
          <w:sz w:val="24"/>
        </w:rPr>
        <w:t>per</w:t>
      </w:r>
      <w:r w:rsidR="00953D30" w:rsidRPr="00CB2CB5">
        <w:rPr>
          <w:rFonts w:ascii="Times New Roman" w:eastAsia="Times New Roman" w:hAnsi="Times New Roman"/>
          <w:sz w:val="24"/>
        </w:rPr>
        <w:t>a</w:t>
      </w:r>
      <w:r w:rsidR="00702622" w:rsidRPr="00CB2CB5">
        <w:rPr>
          <w:rFonts w:ascii="Times New Roman" w:eastAsia="Times New Roman" w:hAnsi="Times New Roman"/>
          <w:sz w:val="24"/>
        </w:rPr>
        <w:t xml:space="preserve">tion and </w:t>
      </w:r>
      <w:r w:rsidR="0046486E">
        <w:rPr>
          <w:rFonts w:ascii="Times New Roman" w:eastAsia="Times New Roman" w:hAnsi="Times New Roman"/>
          <w:sz w:val="24"/>
        </w:rPr>
        <w:t>m</w:t>
      </w:r>
      <w:r w:rsidR="00702622" w:rsidRPr="00CB2CB5">
        <w:rPr>
          <w:rFonts w:ascii="Times New Roman" w:eastAsia="Times New Roman" w:hAnsi="Times New Roman"/>
          <w:sz w:val="24"/>
        </w:rPr>
        <w:t>ainten</w:t>
      </w:r>
      <w:r w:rsidR="00953D30" w:rsidRPr="00CB2CB5">
        <w:rPr>
          <w:rFonts w:ascii="Times New Roman" w:eastAsia="Times New Roman" w:hAnsi="Times New Roman"/>
          <w:sz w:val="24"/>
        </w:rPr>
        <w:t>an</w:t>
      </w:r>
      <w:r w:rsidR="00702622" w:rsidRPr="00CB2CB5">
        <w:rPr>
          <w:rFonts w:ascii="Times New Roman" w:eastAsia="Times New Roman" w:hAnsi="Times New Roman"/>
          <w:sz w:val="24"/>
        </w:rPr>
        <w:t>ce (</w:t>
      </w:r>
      <w:r w:rsidR="00B81EE4" w:rsidRPr="00CB2CB5">
        <w:rPr>
          <w:rFonts w:ascii="Times New Roman" w:eastAsia="Times New Roman" w:hAnsi="Times New Roman"/>
          <w:sz w:val="24"/>
        </w:rPr>
        <w:t>"</w:t>
      </w:r>
      <w:proofErr w:type="spellStart"/>
      <w:r w:rsidR="00702622" w:rsidRPr="00CB2CB5">
        <w:rPr>
          <w:rFonts w:ascii="Times New Roman" w:eastAsia="Times New Roman" w:hAnsi="Times New Roman"/>
          <w:sz w:val="24"/>
        </w:rPr>
        <w:t>O</w:t>
      </w:r>
      <w:r w:rsidRPr="00CB2CB5">
        <w:rPr>
          <w:rFonts w:ascii="Times New Roman" w:eastAsia="Times New Roman" w:hAnsi="Times New Roman"/>
          <w:sz w:val="24"/>
        </w:rPr>
        <w:t>&amp;M</w:t>
      </w:r>
      <w:proofErr w:type="spellEnd"/>
      <w:r w:rsidR="00B81EE4" w:rsidRPr="00CB2CB5">
        <w:rPr>
          <w:rFonts w:ascii="Times New Roman" w:eastAsia="Times New Roman" w:hAnsi="Times New Roman"/>
          <w:sz w:val="24"/>
        </w:rPr>
        <w:t>"</w:t>
      </w:r>
      <w:r w:rsidR="00702622" w:rsidRPr="00CB2CB5">
        <w:rPr>
          <w:rFonts w:ascii="Times New Roman" w:eastAsia="Times New Roman" w:hAnsi="Times New Roman"/>
          <w:sz w:val="24"/>
        </w:rPr>
        <w:t>)</w:t>
      </w:r>
      <w:r w:rsidR="0046486E">
        <w:rPr>
          <w:rFonts w:ascii="Times New Roman" w:eastAsia="Times New Roman" w:hAnsi="Times New Roman"/>
          <w:sz w:val="24"/>
        </w:rPr>
        <w:t xml:space="preserve"> costs</w:t>
      </w:r>
      <w:r w:rsidRPr="00CB2CB5">
        <w:rPr>
          <w:rFonts w:ascii="Times New Roman" w:eastAsia="Times New Roman" w:hAnsi="Times New Roman"/>
          <w:sz w:val="24"/>
        </w:rPr>
        <w:t xml:space="preserve">, </w:t>
      </w:r>
      <w:r w:rsidR="00D82AA7">
        <w:rPr>
          <w:rFonts w:ascii="Times New Roman" w:eastAsia="Times New Roman" w:hAnsi="Times New Roman"/>
          <w:sz w:val="24"/>
        </w:rPr>
        <w:t>will be</w:t>
      </w:r>
      <w:r w:rsidR="00D82AA7" w:rsidRPr="00CB2CB5">
        <w:rPr>
          <w:rFonts w:ascii="Times New Roman" w:eastAsia="Times New Roman" w:hAnsi="Times New Roman"/>
          <w:sz w:val="24"/>
        </w:rPr>
        <w:t xml:space="preserve"> </w:t>
      </w:r>
      <w:r w:rsidRPr="00CB2CB5">
        <w:rPr>
          <w:rFonts w:ascii="Times New Roman" w:eastAsia="Times New Roman" w:hAnsi="Times New Roman"/>
          <w:sz w:val="24"/>
        </w:rPr>
        <w:t xml:space="preserve">provided </w:t>
      </w:r>
      <w:r w:rsidR="00D82AA7">
        <w:rPr>
          <w:rFonts w:ascii="Times New Roman" w:eastAsia="Times New Roman" w:hAnsi="Times New Roman"/>
          <w:sz w:val="24"/>
        </w:rPr>
        <w:t>in the final report</w:t>
      </w:r>
      <w:r w:rsidR="00EC06D8" w:rsidRPr="00CB2CB5">
        <w:rPr>
          <w:rFonts w:ascii="Times New Roman" w:eastAsia="Times New Roman" w:hAnsi="Times New Roman"/>
          <w:sz w:val="24"/>
        </w:rPr>
        <w:t>.</w:t>
      </w:r>
      <w:r w:rsidR="001F7920" w:rsidRPr="00CB2CB5">
        <w:rPr>
          <w:rFonts w:ascii="Times New Roman" w:eastAsia="Times New Roman" w:hAnsi="Times New Roman"/>
          <w:sz w:val="24"/>
        </w:rPr>
        <w:t xml:space="preserve"> </w:t>
      </w:r>
    </w:p>
    <w:p w14:paraId="585ADD42" w14:textId="77777777" w:rsidR="00F038A5" w:rsidRPr="00CB2CB5" w:rsidRDefault="00F038A5" w:rsidP="008759DE">
      <w:pPr>
        <w:spacing w:after="160" w:line="276" w:lineRule="auto"/>
        <w:jc w:val="left"/>
        <w:rPr>
          <w:rFonts w:eastAsia="Times New Roman"/>
          <w:b/>
        </w:rPr>
      </w:pPr>
      <w:r w:rsidRPr="00CB2CB5">
        <w:br w:type="page"/>
      </w:r>
    </w:p>
    <w:p w14:paraId="30E70757" w14:textId="1AD2A7BF" w:rsidR="001E34E4" w:rsidRPr="00CB2CB5" w:rsidRDefault="00B74161" w:rsidP="008759DE">
      <w:pPr>
        <w:pStyle w:val="Caption"/>
        <w:spacing w:line="276" w:lineRule="auto"/>
        <w:jc w:val="center"/>
      </w:pPr>
      <w:bookmarkStart w:id="12" w:name="_Toc534193080"/>
      <w:r w:rsidRPr="008D5EFC">
        <w:lastRenderedPageBreak/>
        <w:t xml:space="preserve">Table </w:t>
      </w:r>
      <w:r w:rsidR="00961314">
        <w:rPr>
          <w:noProof/>
        </w:rPr>
        <w:t>1</w:t>
      </w:r>
      <w:r w:rsidRPr="008D5EFC">
        <w:t xml:space="preserve"> – </w:t>
      </w:r>
      <w:r w:rsidR="0018313F" w:rsidRPr="008D5EFC">
        <w:t>EPE-owned</w:t>
      </w:r>
      <w:r w:rsidRPr="008D5EFC">
        <w:t xml:space="preserve"> Existing Generation Stations and Fuel Types</w:t>
      </w:r>
      <w:bookmarkEnd w:id="12"/>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1170"/>
        <w:gridCol w:w="941"/>
        <w:gridCol w:w="1152"/>
        <w:gridCol w:w="1152"/>
        <w:gridCol w:w="1440"/>
        <w:gridCol w:w="1525"/>
        <w:gridCol w:w="1260"/>
      </w:tblGrid>
      <w:tr w:rsidR="00EC4B7B" w:rsidRPr="00CB2CB5" w14:paraId="40DF7926" w14:textId="77777777" w:rsidTr="00AF4CC2">
        <w:trPr>
          <w:cantSplit/>
          <w:trHeight w:val="827"/>
          <w:jc w:val="center"/>
        </w:trPr>
        <w:tc>
          <w:tcPr>
            <w:tcW w:w="2065" w:type="dxa"/>
            <w:shd w:val="clear" w:color="auto" w:fill="D9D9D9" w:themeFill="background1" w:themeFillShade="D9"/>
            <w:tcMar>
              <w:left w:w="58" w:type="dxa"/>
              <w:right w:w="58" w:type="dxa"/>
            </w:tcMar>
            <w:vAlign w:val="bottom"/>
          </w:tcPr>
          <w:p w14:paraId="2A1170B2" w14:textId="77777777" w:rsidR="00EC4B7B" w:rsidRPr="00CB2CB5" w:rsidRDefault="00EC4B7B" w:rsidP="008759DE">
            <w:pPr>
              <w:spacing w:line="276" w:lineRule="auto"/>
              <w:jc w:val="center"/>
              <w:rPr>
                <w:b/>
                <w:sz w:val="20"/>
                <w:szCs w:val="20"/>
              </w:rPr>
            </w:pPr>
            <w:bookmarkStart w:id="13" w:name="OLE_LINK1"/>
            <w:r w:rsidRPr="00CB2CB5">
              <w:rPr>
                <w:b/>
                <w:sz w:val="20"/>
                <w:szCs w:val="20"/>
              </w:rPr>
              <w:t>Generating Station</w:t>
            </w:r>
          </w:p>
        </w:tc>
        <w:tc>
          <w:tcPr>
            <w:tcW w:w="1170" w:type="dxa"/>
            <w:shd w:val="clear" w:color="auto" w:fill="D9D9D9" w:themeFill="background1" w:themeFillShade="D9"/>
            <w:tcMar>
              <w:left w:w="58" w:type="dxa"/>
              <w:right w:w="58" w:type="dxa"/>
            </w:tcMar>
            <w:vAlign w:val="bottom"/>
          </w:tcPr>
          <w:p w14:paraId="7A1D1934" w14:textId="77777777" w:rsidR="00EC4B7B" w:rsidRPr="00CB2CB5" w:rsidRDefault="00EC4B7B" w:rsidP="008759DE">
            <w:pPr>
              <w:spacing w:line="276" w:lineRule="auto"/>
              <w:jc w:val="center"/>
              <w:rPr>
                <w:b/>
                <w:sz w:val="20"/>
                <w:szCs w:val="20"/>
              </w:rPr>
            </w:pPr>
            <w:r w:rsidRPr="00CB2CB5">
              <w:rPr>
                <w:b/>
                <w:sz w:val="20"/>
                <w:szCs w:val="20"/>
              </w:rPr>
              <w:t>Location</w:t>
            </w:r>
          </w:p>
        </w:tc>
        <w:tc>
          <w:tcPr>
            <w:tcW w:w="941" w:type="dxa"/>
            <w:shd w:val="clear" w:color="auto" w:fill="D9D9D9" w:themeFill="background1" w:themeFillShade="D9"/>
            <w:tcMar>
              <w:left w:w="58" w:type="dxa"/>
              <w:right w:w="58" w:type="dxa"/>
            </w:tcMar>
            <w:vAlign w:val="bottom"/>
          </w:tcPr>
          <w:p w14:paraId="495CD71A" w14:textId="77777777" w:rsidR="00EC4B7B" w:rsidRPr="00CB2CB5" w:rsidRDefault="00EC4B7B" w:rsidP="008759DE">
            <w:pPr>
              <w:spacing w:line="276" w:lineRule="auto"/>
              <w:jc w:val="center"/>
              <w:rPr>
                <w:b/>
                <w:sz w:val="20"/>
                <w:szCs w:val="20"/>
              </w:rPr>
            </w:pPr>
            <w:r w:rsidRPr="00CB2CB5">
              <w:rPr>
                <w:b/>
                <w:sz w:val="20"/>
                <w:szCs w:val="20"/>
              </w:rPr>
              <w:t>Nominal</w:t>
            </w:r>
          </w:p>
          <w:p w14:paraId="09B4D9FD" w14:textId="77777777" w:rsidR="00EC4B7B" w:rsidRPr="00CB2CB5" w:rsidRDefault="00EC4B7B" w:rsidP="008759DE">
            <w:pPr>
              <w:spacing w:line="276" w:lineRule="auto"/>
              <w:jc w:val="center"/>
              <w:rPr>
                <w:b/>
                <w:sz w:val="20"/>
                <w:szCs w:val="20"/>
              </w:rPr>
            </w:pPr>
            <w:r w:rsidRPr="00CB2CB5">
              <w:rPr>
                <w:b/>
                <w:sz w:val="20"/>
                <w:szCs w:val="20"/>
              </w:rPr>
              <w:t>Capacity</w:t>
            </w:r>
          </w:p>
          <w:p w14:paraId="7A1B74B5" w14:textId="77777777" w:rsidR="00EC4B7B" w:rsidRPr="00CB2CB5" w:rsidRDefault="00EC4B7B" w:rsidP="008759DE">
            <w:pPr>
              <w:spacing w:line="276" w:lineRule="auto"/>
              <w:jc w:val="center"/>
              <w:rPr>
                <w:b/>
                <w:sz w:val="20"/>
                <w:szCs w:val="20"/>
              </w:rPr>
            </w:pPr>
            <w:r w:rsidRPr="00CB2CB5">
              <w:rPr>
                <w:b/>
                <w:sz w:val="20"/>
                <w:szCs w:val="20"/>
              </w:rPr>
              <w:t>(MW)</w:t>
            </w:r>
          </w:p>
        </w:tc>
        <w:tc>
          <w:tcPr>
            <w:tcW w:w="1152" w:type="dxa"/>
            <w:shd w:val="clear" w:color="auto" w:fill="D9D9D9" w:themeFill="background1" w:themeFillShade="D9"/>
            <w:tcMar>
              <w:left w:w="58" w:type="dxa"/>
              <w:right w:w="58" w:type="dxa"/>
            </w:tcMar>
            <w:vAlign w:val="bottom"/>
          </w:tcPr>
          <w:p w14:paraId="0A592DA2" w14:textId="77777777" w:rsidR="00EC4B7B" w:rsidRPr="00CB2CB5" w:rsidRDefault="00EC4B7B" w:rsidP="008759DE">
            <w:pPr>
              <w:spacing w:line="276" w:lineRule="auto"/>
              <w:jc w:val="center"/>
              <w:rPr>
                <w:b/>
                <w:sz w:val="20"/>
                <w:szCs w:val="20"/>
              </w:rPr>
            </w:pPr>
            <w:r w:rsidRPr="00CB2CB5">
              <w:rPr>
                <w:b/>
                <w:sz w:val="20"/>
                <w:szCs w:val="20"/>
              </w:rPr>
              <w:t>Primary</w:t>
            </w:r>
          </w:p>
          <w:p w14:paraId="1A38464B" w14:textId="77777777" w:rsidR="00EC4B7B" w:rsidRPr="00CB2CB5" w:rsidRDefault="00EC4B7B" w:rsidP="008759DE">
            <w:pPr>
              <w:spacing w:line="276" w:lineRule="auto"/>
              <w:jc w:val="center"/>
              <w:rPr>
                <w:b/>
                <w:sz w:val="20"/>
                <w:szCs w:val="20"/>
              </w:rPr>
            </w:pPr>
            <w:r w:rsidRPr="00CB2CB5">
              <w:rPr>
                <w:b/>
                <w:sz w:val="20"/>
                <w:szCs w:val="20"/>
              </w:rPr>
              <w:t>Fuel Type</w:t>
            </w:r>
          </w:p>
        </w:tc>
        <w:tc>
          <w:tcPr>
            <w:tcW w:w="1152" w:type="dxa"/>
            <w:shd w:val="clear" w:color="auto" w:fill="D9D9D9" w:themeFill="background1" w:themeFillShade="D9"/>
            <w:tcMar>
              <w:left w:w="58" w:type="dxa"/>
              <w:right w:w="58" w:type="dxa"/>
            </w:tcMar>
            <w:vAlign w:val="bottom"/>
          </w:tcPr>
          <w:p w14:paraId="7BED65B0" w14:textId="77777777" w:rsidR="00EC4B7B" w:rsidRPr="00CB2CB5" w:rsidRDefault="00EC4B7B" w:rsidP="008759DE">
            <w:pPr>
              <w:spacing w:line="276" w:lineRule="auto"/>
              <w:jc w:val="center"/>
              <w:rPr>
                <w:b/>
                <w:sz w:val="20"/>
                <w:szCs w:val="20"/>
              </w:rPr>
            </w:pPr>
            <w:r w:rsidRPr="00CB2CB5">
              <w:rPr>
                <w:b/>
                <w:sz w:val="20"/>
                <w:szCs w:val="20"/>
              </w:rPr>
              <w:t>Secondary</w:t>
            </w:r>
          </w:p>
          <w:p w14:paraId="5D6304DA" w14:textId="77777777" w:rsidR="00EC4B7B" w:rsidRPr="00CB2CB5" w:rsidRDefault="00EC4B7B" w:rsidP="008759DE">
            <w:pPr>
              <w:spacing w:line="276" w:lineRule="auto"/>
              <w:jc w:val="center"/>
              <w:rPr>
                <w:b/>
                <w:sz w:val="20"/>
                <w:szCs w:val="20"/>
              </w:rPr>
            </w:pPr>
            <w:r w:rsidRPr="00CB2CB5">
              <w:rPr>
                <w:b/>
                <w:sz w:val="20"/>
                <w:szCs w:val="20"/>
              </w:rPr>
              <w:t>Fuel Type</w:t>
            </w:r>
          </w:p>
        </w:tc>
        <w:tc>
          <w:tcPr>
            <w:tcW w:w="1440" w:type="dxa"/>
            <w:shd w:val="clear" w:color="auto" w:fill="D9D9D9" w:themeFill="background1" w:themeFillShade="D9"/>
            <w:tcMar>
              <w:left w:w="58" w:type="dxa"/>
              <w:right w:w="58" w:type="dxa"/>
            </w:tcMar>
            <w:vAlign w:val="bottom"/>
          </w:tcPr>
          <w:p w14:paraId="3ABDF909" w14:textId="77777777" w:rsidR="00EC4B7B" w:rsidRPr="00CB2CB5" w:rsidRDefault="00EC4B7B" w:rsidP="008759DE">
            <w:pPr>
              <w:spacing w:line="276" w:lineRule="auto"/>
              <w:jc w:val="center"/>
              <w:rPr>
                <w:b/>
                <w:sz w:val="20"/>
                <w:szCs w:val="20"/>
              </w:rPr>
            </w:pPr>
            <w:r w:rsidRPr="00CB2CB5">
              <w:rPr>
                <w:b/>
                <w:sz w:val="20"/>
                <w:szCs w:val="20"/>
              </w:rPr>
              <w:t>In-Service</w:t>
            </w:r>
          </w:p>
          <w:p w14:paraId="25079FF1" w14:textId="77777777" w:rsidR="00EC4B7B" w:rsidRPr="00CB2CB5" w:rsidRDefault="00EC4B7B" w:rsidP="008759DE">
            <w:pPr>
              <w:spacing w:line="276" w:lineRule="auto"/>
              <w:jc w:val="center"/>
              <w:rPr>
                <w:b/>
                <w:sz w:val="20"/>
                <w:szCs w:val="20"/>
              </w:rPr>
            </w:pPr>
            <w:r w:rsidRPr="00CB2CB5">
              <w:rPr>
                <w:b/>
                <w:sz w:val="20"/>
                <w:szCs w:val="20"/>
              </w:rPr>
              <w:t>Date</w:t>
            </w:r>
          </w:p>
        </w:tc>
        <w:tc>
          <w:tcPr>
            <w:tcW w:w="1525" w:type="dxa"/>
            <w:shd w:val="clear" w:color="auto" w:fill="D9D9D9" w:themeFill="background1" w:themeFillShade="D9"/>
            <w:tcMar>
              <w:left w:w="58" w:type="dxa"/>
              <w:right w:w="58" w:type="dxa"/>
            </w:tcMar>
            <w:vAlign w:val="bottom"/>
          </w:tcPr>
          <w:p w14:paraId="308FB9F1" w14:textId="77777777" w:rsidR="00EC4B7B" w:rsidRPr="00CB2CB5" w:rsidRDefault="00EC4B7B" w:rsidP="008759DE">
            <w:pPr>
              <w:spacing w:line="276" w:lineRule="auto"/>
              <w:jc w:val="center"/>
              <w:rPr>
                <w:b/>
                <w:sz w:val="20"/>
                <w:szCs w:val="20"/>
              </w:rPr>
            </w:pPr>
            <w:r w:rsidRPr="00CB2CB5">
              <w:rPr>
                <w:b/>
                <w:sz w:val="20"/>
                <w:szCs w:val="20"/>
              </w:rPr>
              <w:t>Planned</w:t>
            </w:r>
          </w:p>
          <w:p w14:paraId="14DD20C7" w14:textId="77777777" w:rsidR="00EC4B7B" w:rsidRPr="00CB2CB5" w:rsidRDefault="00EC4B7B" w:rsidP="008759DE">
            <w:pPr>
              <w:spacing w:line="276" w:lineRule="auto"/>
              <w:jc w:val="center"/>
              <w:rPr>
                <w:b/>
                <w:sz w:val="20"/>
                <w:szCs w:val="20"/>
              </w:rPr>
            </w:pPr>
            <w:r w:rsidRPr="00CB2CB5">
              <w:rPr>
                <w:b/>
                <w:sz w:val="20"/>
                <w:szCs w:val="20"/>
              </w:rPr>
              <w:t>Retirement</w:t>
            </w:r>
          </w:p>
          <w:p w14:paraId="023F3E0D" w14:textId="77777777" w:rsidR="00EC4B7B" w:rsidRPr="00CB2CB5" w:rsidRDefault="00EC4B7B" w:rsidP="008759DE">
            <w:pPr>
              <w:spacing w:line="276" w:lineRule="auto"/>
              <w:jc w:val="center"/>
              <w:rPr>
                <w:b/>
                <w:sz w:val="20"/>
                <w:szCs w:val="20"/>
              </w:rPr>
            </w:pPr>
            <w:r w:rsidRPr="00CB2CB5">
              <w:rPr>
                <w:b/>
                <w:sz w:val="20"/>
                <w:szCs w:val="20"/>
              </w:rPr>
              <w:t>Date</w:t>
            </w:r>
          </w:p>
        </w:tc>
        <w:tc>
          <w:tcPr>
            <w:tcW w:w="1260" w:type="dxa"/>
            <w:shd w:val="clear" w:color="auto" w:fill="D9D9D9" w:themeFill="background1" w:themeFillShade="D9"/>
            <w:vAlign w:val="bottom"/>
          </w:tcPr>
          <w:p w14:paraId="4F3C1E56" w14:textId="77777777" w:rsidR="00EC4B7B" w:rsidRPr="00CB2CB5" w:rsidRDefault="00EC4B7B" w:rsidP="008759DE">
            <w:pPr>
              <w:spacing w:line="276" w:lineRule="auto"/>
              <w:jc w:val="center"/>
              <w:rPr>
                <w:sz w:val="20"/>
                <w:szCs w:val="20"/>
              </w:rPr>
            </w:pPr>
          </w:p>
          <w:p w14:paraId="5064AA20" w14:textId="77777777" w:rsidR="00EC4B7B" w:rsidRPr="00CB2CB5" w:rsidRDefault="001A2448" w:rsidP="008759DE">
            <w:pPr>
              <w:spacing w:line="276" w:lineRule="auto"/>
              <w:jc w:val="center"/>
              <w:rPr>
                <w:b/>
                <w:sz w:val="20"/>
                <w:szCs w:val="20"/>
              </w:rPr>
            </w:pPr>
            <w:r w:rsidRPr="00CB2CB5">
              <w:rPr>
                <w:b/>
                <w:sz w:val="20"/>
                <w:szCs w:val="20"/>
              </w:rPr>
              <w:t>Unit Age at Planned Retirement</w:t>
            </w:r>
          </w:p>
        </w:tc>
      </w:tr>
      <w:tr w:rsidR="00EC4B7B" w:rsidRPr="00CB2CB5" w14:paraId="16B33C58" w14:textId="77777777" w:rsidTr="00AF4CC2">
        <w:trPr>
          <w:cantSplit/>
          <w:trHeight w:val="638"/>
          <w:jc w:val="center"/>
        </w:trPr>
        <w:tc>
          <w:tcPr>
            <w:tcW w:w="2065" w:type="dxa"/>
            <w:tcMar>
              <w:left w:w="58" w:type="dxa"/>
              <w:right w:w="58" w:type="dxa"/>
            </w:tcMar>
            <w:vAlign w:val="center"/>
          </w:tcPr>
          <w:p w14:paraId="58377361" w14:textId="77777777" w:rsidR="00EC4B7B" w:rsidRPr="00CB2CB5" w:rsidRDefault="00EC4B7B" w:rsidP="008759DE">
            <w:pPr>
              <w:spacing w:line="276" w:lineRule="auto"/>
              <w:rPr>
                <w:b/>
                <w:sz w:val="20"/>
                <w:szCs w:val="20"/>
                <w:u w:val="single"/>
              </w:rPr>
            </w:pPr>
            <w:proofErr w:type="spellStart"/>
            <w:r w:rsidRPr="00CB2CB5">
              <w:rPr>
                <w:b/>
                <w:sz w:val="20"/>
                <w:szCs w:val="20"/>
                <w:u w:val="single"/>
              </w:rPr>
              <w:t>PVNGS</w:t>
            </w:r>
            <w:proofErr w:type="spellEnd"/>
          </w:p>
          <w:p w14:paraId="62524281" w14:textId="77777777" w:rsidR="00EC4B7B" w:rsidRPr="00CB2CB5" w:rsidRDefault="00EC4B7B" w:rsidP="008759DE">
            <w:pPr>
              <w:spacing w:line="276" w:lineRule="auto"/>
              <w:rPr>
                <w:sz w:val="20"/>
                <w:szCs w:val="20"/>
              </w:rPr>
            </w:pPr>
            <w:r w:rsidRPr="00CB2CB5">
              <w:rPr>
                <w:sz w:val="20"/>
                <w:szCs w:val="20"/>
              </w:rPr>
              <w:t>Unit 1</w:t>
            </w:r>
          </w:p>
          <w:p w14:paraId="08CE28C8" w14:textId="77777777" w:rsidR="00EC4B7B" w:rsidRPr="00CB2CB5" w:rsidRDefault="00EC4B7B" w:rsidP="008759DE">
            <w:pPr>
              <w:spacing w:line="276" w:lineRule="auto"/>
              <w:rPr>
                <w:sz w:val="20"/>
                <w:szCs w:val="20"/>
              </w:rPr>
            </w:pPr>
            <w:r w:rsidRPr="00CB2CB5">
              <w:rPr>
                <w:sz w:val="20"/>
                <w:szCs w:val="20"/>
              </w:rPr>
              <w:t>Unit 2</w:t>
            </w:r>
          </w:p>
          <w:p w14:paraId="67FF32EE" w14:textId="77777777" w:rsidR="00EC4B7B" w:rsidRPr="00CB2CB5" w:rsidRDefault="00EC4B7B" w:rsidP="008759DE">
            <w:pPr>
              <w:spacing w:line="276" w:lineRule="auto"/>
              <w:rPr>
                <w:sz w:val="20"/>
                <w:szCs w:val="20"/>
              </w:rPr>
            </w:pPr>
            <w:r w:rsidRPr="00CB2CB5">
              <w:rPr>
                <w:sz w:val="20"/>
                <w:szCs w:val="20"/>
              </w:rPr>
              <w:t>Unit 3</w:t>
            </w:r>
          </w:p>
        </w:tc>
        <w:tc>
          <w:tcPr>
            <w:tcW w:w="1170" w:type="dxa"/>
            <w:tcMar>
              <w:left w:w="58" w:type="dxa"/>
              <w:right w:w="58" w:type="dxa"/>
            </w:tcMar>
            <w:vAlign w:val="center"/>
          </w:tcPr>
          <w:p w14:paraId="4451D018" w14:textId="77777777" w:rsidR="00EC4B7B" w:rsidRPr="00CB2CB5" w:rsidRDefault="00EC4B7B" w:rsidP="00AF4CC2">
            <w:pPr>
              <w:spacing w:line="276" w:lineRule="auto"/>
              <w:jc w:val="center"/>
              <w:rPr>
                <w:sz w:val="20"/>
                <w:szCs w:val="20"/>
              </w:rPr>
            </w:pPr>
            <w:r w:rsidRPr="00CB2CB5">
              <w:rPr>
                <w:sz w:val="20"/>
                <w:szCs w:val="20"/>
              </w:rPr>
              <w:t>Phoenix, AZ</w:t>
            </w:r>
          </w:p>
        </w:tc>
        <w:tc>
          <w:tcPr>
            <w:tcW w:w="941" w:type="dxa"/>
            <w:tcMar>
              <w:left w:w="58" w:type="dxa"/>
              <w:right w:w="58" w:type="dxa"/>
            </w:tcMar>
            <w:vAlign w:val="center"/>
          </w:tcPr>
          <w:p w14:paraId="11A8F752" w14:textId="6C01FB8E" w:rsidR="00EC4B7B" w:rsidRPr="00CB2CB5" w:rsidRDefault="00EC4B7B" w:rsidP="008759DE">
            <w:pPr>
              <w:spacing w:line="276" w:lineRule="auto"/>
              <w:jc w:val="center"/>
              <w:rPr>
                <w:sz w:val="20"/>
                <w:szCs w:val="20"/>
              </w:rPr>
            </w:pPr>
            <w:r w:rsidRPr="00CB2CB5">
              <w:rPr>
                <w:sz w:val="20"/>
                <w:szCs w:val="20"/>
              </w:rPr>
              <w:t>6</w:t>
            </w:r>
            <w:r w:rsidR="0046486E">
              <w:rPr>
                <w:sz w:val="20"/>
                <w:szCs w:val="20"/>
              </w:rPr>
              <w:t>22</w:t>
            </w:r>
          </w:p>
        </w:tc>
        <w:tc>
          <w:tcPr>
            <w:tcW w:w="1152" w:type="dxa"/>
            <w:tcMar>
              <w:left w:w="58" w:type="dxa"/>
              <w:right w:w="58" w:type="dxa"/>
            </w:tcMar>
            <w:vAlign w:val="center"/>
          </w:tcPr>
          <w:p w14:paraId="1A24CD06" w14:textId="77777777" w:rsidR="00EC4B7B" w:rsidRPr="00CB2CB5" w:rsidRDefault="00EC4B7B" w:rsidP="00AF4CC2">
            <w:pPr>
              <w:spacing w:line="276" w:lineRule="auto"/>
              <w:jc w:val="center"/>
              <w:rPr>
                <w:sz w:val="20"/>
                <w:szCs w:val="20"/>
              </w:rPr>
            </w:pPr>
            <w:r w:rsidRPr="00CB2CB5">
              <w:rPr>
                <w:sz w:val="20"/>
                <w:szCs w:val="20"/>
              </w:rPr>
              <w:t>Uranium</w:t>
            </w:r>
          </w:p>
        </w:tc>
        <w:tc>
          <w:tcPr>
            <w:tcW w:w="1152" w:type="dxa"/>
            <w:tcMar>
              <w:left w:w="58" w:type="dxa"/>
              <w:right w:w="58" w:type="dxa"/>
            </w:tcMar>
            <w:vAlign w:val="center"/>
          </w:tcPr>
          <w:p w14:paraId="10DA168E" w14:textId="77777777" w:rsidR="00EC4B7B" w:rsidRPr="00CB2CB5" w:rsidRDefault="00EC4B7B" w:rsidP="00AF4CC2">
            <w:pPr>
              <w:spacing w:line="276" w:lineRule="auto"/>
              <w:jc w:val="center"/>
              <w:rPr>
                <w:sz w:val="20"/>
                <w:szCs w:val="20"/>
              </w:rPr>
            </w:pPr>
            <w:r w:rsidRPr="00CB2CB5">
              <w:rPr>
                <w:sz w:val="20"/>
                <w:szCs w:val="20"/>
              </w:rPr>
              <w:t>N/A</w:t>
            </w:r>
          </w:p>
        </w:tc>
        <w:tc>
          <w:tcPr>
            <w:tcW w:w="1440" w:type="dxa"/>
            <w:tcMar>
              <w:left w:w="58" w:type="dxa"/>
              <w:right w:w="58" w:type="dxa"/>
            </w:tcMar>
            <w:vAlign w:val="center"/>
          </w:tcPr>
          <w:p w14:paraId="19A001FB" w14:textId="77777777" w:rsidR="00EC4B7B" w:rsidRPr="00CB2CB5" w:rsidRDefault="00EC4B7B" w:rsidP="00AF4CC2">
            <w:pPr>
              <w:spacing w:line="276" w:lineRule="auto"/>
              <w:jc w:val="center"/>
              <w:rPr>
                <w:sz w:val="20"/>
                <w:szCs w:val="20"/>
              </w:rPr>
            </w:pPr>
            <w:r w:rsidRPr="00CB2CB5">
              <w:rPr>
                <w:sz w:val="20"/>
                <w:szCs w:val="20"/>
              </w:rPr>
              <w:t>February 1986</w:t>
            </w:r>
          </w:p>
          <w:p w14:paraId="2A78BD19" w14:textId="77777777" w:rsidR="00EC4B7B" w:rsidRPr="00CB2CB5" w:rsidRDefault="00EC4B7B" w:rsidP="00AF4CC2">
            <w:pPr>
              <w:spacing w:line="276" w:lineRule="auto"/>
              <w:jc w:val="center"/>
              <w:rPr>
                <w:sz w:val="20"/>
                <w:szCs w:val="20"/>
              </w:rPr>
            </w:pPr>
            <w:r w:rsidRPr="00CB2CB5">
              <w:rPr>
                <w:sz w:val="20"/>
                <w:szCs w:val="20"/>
              </w:rPr>
              <w:t>September</w:t>
            </w:r>
            <w:r w:rsidR="00B92A5E" w:rsidRPr="00CB2CB5">
              <w:rPr>
                <w:sz w:val="20"/>
                <w:szCs w:val="20"/>
              </w:rPr>
              <w:t xml:space="preserve"> </w:t>
            </w:r>
            <w:r w:rsidRPr="00CB2CB5">
              <w:rPr>
                <w:sz w:val="20"/>
                <w:szCs w:val="20"/>
              </w:rPr>
              <w:t>1986</w:t>
            </w:r>
          </w:p>
          <w:p w14:paraId="74FB236C" w14:textId="77777777" w:rsidR="00EC4B7B" w:rsidRPr="00CB2CB5" w:rsidRDefault="00EC4B7B" w:rsidP="00AF4CC2">
            <w:pPr>
              <w:spacing w:line="276" w:lineRule="auto"/>
              <w:jc w:val="center"/>
              <w:rPr>
                <w:sz w:val="20"/>
                <w:szCs w:val="20"/>
              </w:rPr>
            </w:pPr>
            <w:r w:rsidRPr="00CB2CB5">
              <w:rPr>
                <w:sz w:val="20"/>
                <w:szCs w:val="20"/>
              </w:rPr>
              <w:t>January 1988</w:t>
            </w:r>
          </w:p>
        </w:tc>
        <w:tc>
          <w:tcPr>
            <w:tcW w:w="1525" w:type="dxa"/>
            <w:tcMar>
              <w:left w:w="58" w:type="dxa"/>
              <w:right w:w="58" w:type="dxa"/>
            </w:tcMar>
            <w:vAlign w:val="center"/>
          </w:tcPr>
          <w:p w14:paraId="618AE10A" w14:textId="77777777" w:rsidR="00EC4B7B" w:rsidRPr="00CB2CB5" w:rsidRDefault="00EC4B7B" w:rsidP="00AF4CC2">
            <w:pPr>
              <w:spacing w:line="276" w:lineRule="auto"/>
              <w:jc w:val="center"/>
              <w:rPr>
                <w:sz w:val="20"/>
                <w:szCs w:val="20"/>
              </w:rPr>
            </w:pPr>
            <w:r w:rsidRPr="00CB2CB5">
              <w:rPr>
                <w:sz w:val="20"/>
                <w:szCs w:val="20"/>
              </w:rPr>
              <w:t>June 2045</w:t>
            </w:r>
          </w:p>
          <w:p w14:paraId="27E831BF" w14:textId="77777777" w:rsidR="00EC4B7B" w:rsidRPr="00CB2CB5" w:rsidRDefault="00EC4B7B" w:rsidP="00AF4CC2">
            <w:pPr>
              <w:spacing w:line="276" w:lineRule="auto"/>
              <w:jc w:val="center"/>
              <w:rPr>
                <w:sz w:val="20"/>
                <w:szCs w:val="20"/>
              </w:rPr>
            </w:pPr>
            <w:r w:rsidRPr="00CB2CB5">
              <w:rPr>
                <w:sz w:val="20"/>
                <w:szCs w:val="20"/>
              </w:rPr>
              <w:t>April 2046</w:t>
            </w:r>
          </w:p>
          <w:p w14:paraId="11C9428F" w14:textId="77777777" w:rsidR="00EC4B7B" w:rsidRPr="00CB2CB5" w:rsidRDefault="00EC4B7B" w:rsidP="00AF4CC2">
            <w:pPr>
              <w:spacing w:line="276" w:lineRule="auto"/>
              <w:jc w:val="center"/>
              <w:rPr>
                <w:sz w:val="20"/>
                <w:szCs w:val="20"/>
              </w:rPr>
            </w:pPr>
            <w:r w:rsidRPr="00CB2CB5">
              <w:rPr>
                <w:sz w:val="20"/>
                <w:szCs w:val="20"/>
              </w:rPr>
              <w:t>November 2047</w:t>
            </w:r>
          </w:p>
        </w:tc>
        <w:tc>
          <w:tcPr>
            <w:tcW w:w="1260" w:type="dxa"/>
          </w:tcPr>
          <w:p w14:paraId="710B1714" w14:textId="77777777" w:rsidR="00EC4B7B" w:rsidRPr="00CB2CB5" w:rsidRDefault="00EC4B7B" w:rsidP="00D77AE8">
            <w:pPr>
              <w:spacing w:line="276" w:lineRule="auto"/>
              <w:jc w:val="center"/>
              <w:rPr>
                <w:sz w:val="20"/>
                <w:szCs w:val="20"/>
              </w:rPr>
            </w:pPr>
          </w:p>
          <w:p w14:paraId="51813DC5" w14:textId="77777777" w:rsidR="00EC4B7B" w:rsidRPr="00CB2CB5" w:rsidRDefault="00EC4B7B" w:rsidP="0018313F">
            <w:pPr>
              <w:spacing w:line="276" w:lineRule="auto"/>
              <w:jc w:val="center"/>
              <w:rPr>
                <w:sz w:val="20"/>
                <w:szCs w:val="20"/>
              </w:rPr>
            </w:pPr>
            <w:r w:rsidRPr="00CB2CB5">
              <w:rPr>
                <w:sz w:val="20"/>
                <w:szCs w:val="20"/>
              </w:rPr>
              <w:t>59</w:t>
            </w:r>
          </w:p>
          <w:p w14:paraId="662B90CC" w14:textId="77777777" w:rsidR="00EC4B7B" w:rsidRPr="00CB2CB5" w:rsidRDefault="00EC4B7B" w:rsidP="0018313F">
            <w:pPr>
              <w:spacing w:line="276" w:lineRule="auto"/>
              <w:jc w:val="center"/>
              <w:rPr>
                <w:sz w:val="20"/>
                <w:szCs w:val="20"/>
              </w:rPr>
            </w:pPr>
            <w:r w:rsidRPr="00CB2CB5">
              <w:rPr>
                <w:sz w:val="20"/>
                <w:szCs w:val="20"/>
              </w:rPr>
              <w:t>60</w:t>
            </w:r>
          </w:p>
          <w:p w14:paraId="305EC0F8" w14:textId="77777777" w:rsidR="00EC4B7B" w:rsidRPr="00CB2CB5" w:rsidRDefault="00EC4B7B" w:rsidP="00E14F9E">
            <w:pPr>
              <w:spacing w:line="276" w:lineRule="auto"/>
              <w:jc w:val="center"/>
              <w:rPr>
                <w:sz w:val="20"/>
                <w:szCs w:val="20"/>
              </w:rPr>
            </w:pPr>
            <w:r w:rsidRPr="00CB2CB5">
              <w:rPr>
                <w:sz w:val="20"/>
                <w:szCs w:val="20"/>
              </w:rPr>
              <w:t>59</w:t>
            </w:r>
          </w:p>
          <w:p w14:paraId="3E1DC249" w14:textId="77777777" w:rsidR="00EC4B7B" w:rsidRPr="00CB2CB5" w:rsidRDefault="00EC4B7B" w:rsidP="00F46AB0">
            <w:pPr>
              <w:spacing w:line="276" w:lineRule="auto"/>
              <w:jc w:val="center"/>
              <w:rPr>
                <w:sz w:val="20"/>
                <w:szCs w:val="20"/>
              </w:rPr>
            </w:pPr>
          </w:p>
        </w:tc>
      </w:tr>
      <w:tr w:rsidR="00EC4B7B" w:rsidRPr="00CB2CB5" w14:paraId="0A52CF72" w14:textId="77777777" w:rsidTr="00AF4CC2">
        <w:trPr>
          <w:cantSplit/>
          <w:jc w:val="center"/>
        </w:trPr>
        <w:tc>
          <w:tcPr>
            <w:tcW w:w="2065" w:type="dxa"/>
            <w:tcMar>
              <w:left w:w="58" w:type="dxa"/>
              <w:right w:w="58" w:type="dxa"/>
            </w:tcMar>
            <w:vAlign w:val="center"/>
          </w:tcPr>
          <w:p w14:paraId="751EBCEE" w14:textId="77777777" w:rsidR="00EC4B7B" w:rsidRPr="00CB2CB5" w:rsidRDefault="00EC4B7B" w:rsidP="008759DE">
            <w:pPr>
              <w:spacing w:line="276" w:lineRule="auto"/>
              <w:rPr>
                <w:b/>
                <w:sz w:val="20"/>
                <w:szCs w:val="20"/>
                <w:u w:val="single"/>
              </w:rPr>
            </w:pPr>
            <w:r w:rsidRPr="00CB2CB5">
              <w:rPr>
                <w:b/>
                <w:sz w:val="20"/>
                <w:szCs w:val="20"/>
                <w:u w:val="single"/>
              </w:rPr>
              <w:t>Montana</w:t>
            </w:r>
          </w:p>
          <w:p w14:paraId="3742E2CF" w14:textId="77777777" w:rsidR="00EC4B7B" w:rsidRPr="00CB2CB5" w:rsidRDefault="00EC4B7B" w:rsidP="008759DE">
            <w:pPr>
              <w:spacing w:line="276" w:lineRule="auto"/>
              <w:rPr>
                <w:sz w:val="20"/>
                <w:szCs w:val="20"/>
              </w:rPr>
            </w:pPr>
            <w:r w:rsidRPr="00CB2CB5">
              <w:rPr>
                <w:sz w:val="20"/>
                <w:szCs w:val="20"/>
              </w:rPr>
              <w:t>Unit 1</w:t>
            </w:r>
          </w:p>
          <w:p w14:paraId="1C03EBDA" w14:textId="77777777" w:rsidR="00EC4B7B" w:rsidRPr="00CB2CB5" w:rsidRDefault="00EC4B7B" w:rsidP="008759DE">
            <w:pPr>
              <w:spacing w:line="276" w:lineRule="auto"/>
              <w:rPr>
                <w:sz w:val="20"/>
                <w:szCs w:val="20"/>
              </w:rPr>
            </w:pPr>
            <w:r w:rsidRPr="00CB2CB5">
              <w:rPr>
                <w:sz w:val="20"/>
                <w:szCs w:val="20"/>
              </w:rPr>
              <w:t>Unit 2</w:t>
            </w:r>
          </w:p>
          <w:p w14:paraId="5D7BDD11" w14:textId="77777777" w:rsidR="00EC4B7B" w:rsidRPr="00CB2CB5" w:rsidRDefault="00EC4B7B" w:rsidP="008759DE">
            <w:pPr>
              <w:spacing w:line="276" w:lineRule="auto"/>
              <w:rPr>
                <w:sz w:val="20"/>
                <w:szCs w:val="20"/>
              </w:rPr>
            </w:pPr>
            <w:r w:rsidRPr="00CB2CB5">
              <w:rPr>
                <w:sz w:val="20"/>
                <w:szCs w:val="20"/>
              </w:rPr>
              <w:t>Unit 3</w:t>
            </w:r>
          </w:p>
          <w:p w14:paraId="73DCAAF7" w14:textId="77777777" w:rsidR="00EC4B7B" w:rsidRPr="00CB2CB5" w:rsidRDefault="00EC4B7B" w:rsidP="008759DE">
            <w:pPr>
              <w:spacing w:line="276" w:lineRule="auto"/>
              <w:rPr>
                <w:sz w:val="20"/>
                <w:szCs w:val="20"/>
              </w:rPr>
            </w:pPr>
            <w:r w:rsidRPr="00CB2CB5">
              <w:rPr>
                <w:sz w:val="20"/>
                <w:szCs w:val="20"/>
              </w:rPr>
              <w:t>Unit 4</w:t>
            </w:r>
          </w:p>
        </w:tc>
        <w:tc>
          <w:tcPr>
            <w:tcW w:w="1170" w:type="dxa"/>
            <w:tcMar>
              <w:left w:w="58" w:type="dxa"/>
              <w:right w:w="58" w:type="dxa"/>
            </w:tcMar>
            <w:vAlign w:val="center"/>
          </w:tcPr>
          <w:p w14:paraId="7397C51B" w14:textId="77777777" w:rsidR="00EC4B7B" w:rsidRPr="00CB2CB5" w:rsidRDefault="00EC4B7B" w:rsidP="00AF4CC2">
            <w:pPr>
              <w:spacing w:line="276" w:lineRule="auto"/>
              <w:jc w:val="center"/>
              <w:rPr>
                <w:sz w:val="20"/>
                <w:szCs w:val="20"/>
              </w:rPr>
            </w:pPr>
            <w:r w:rsidRPr="00CB2CB5">
              <w:rPr>
                <w:sz w:val="20"/>
                <w:szCs w:val="20"/>
              </w:rPr>
              <w:t>El Paso, TX</w:t>
            </w:r>
          </w:p>
        </w:tc>
        <w:tc>
          <w:tcPr>
            <w:tcW w:w="941" w:type="dxa"/>
            <w:tcMar>
              <w:left w:w="58" w:type="dxa"/>
              <w:right w:w="58" w:type="dxa"/>
            </w:tcMar>
            <w:vAlign w:val="center"/>
          </w:tcPr>
          <w:p w14:paraId="207194EC" w14:textId="231C5FCA" w:rsidR="00EC4B7B" w:rsidRPr="00CB2CB5" w:rsidRDefault="00EC4B7B" w:rsidP="008759DE">
            <w:pPr>
              <w:spacing w:line="276" w:lineRule="auto"/>
              <w:jc w:val="center"/>
              <w:rPr>
                <w:rFonts w:eastAsia="Times New Roman"/>
                <w:color w:val="FF0000"/>
                <w:sz w:val="20"/>
                <w:szCs w:val="20"/>
              </w:rPr>
            </w:pPr>
            <w:r w:rsidRPr="00CB2CB5">
              <w:rPr>
                <w:sz w:val="20"/>
                <w:szCs w:val="20"/>
              </w:rPr>
              <w:t>35</w:t>
            </w:r>
            <w:r w:rsidR="00A604C4">
              <w:rPr>
                <w:sz w:val="20"/>
                <w:szCs w:val="20"/>
              </w:rPr>
              <w:t>2</w:t>
            </w:r>
          </w:p>
        </w:tc>
        <w:tc>
          <w:tcPr>
            <w:tcW w:w="1152" w:type="dxa"/>
            <w:tcMar>
              <w:left w:w="58" w:type="dxa"/>
              <w:right w:w="58" w:type="dxa"/>
            </w:tcMar>
            <w:vAlign w:val="center"/>
          </w:tcPr>
          <w:p w14:paraId="406ADBCE" w14:textId="77777777" w:rsidR="00EC4B7B" w:rsidRPr="00CB2CB5" w:rsidRDefault="00EC4B7B" w:rsidP="00AF4CC2">
            <w:pPr>
              <w:spacing w:line="276" w:lineRule="auto"/>
              <w:jc w:val="center"/>
              <w:rPr>
                <w:sz w:val="20"/>
                <w:szCs w:val="20"/>
              </w:rPr>
            </w:pPr>
            <w:r w:rsidRPr="00CB2CB5">
              <w:rPr>
                <w:sz w:val="20"/>
                <w:szCs w:val="20"/>
              </w:rPr>
              <w:t>Natural Gas</w:t>
            </w:r>
          </w:p>
        </w:tc>
        <w:tc>
          <w:tcPr>
            <w:tcW w:w="1152" w:type="dxa"/>
            <w:tcMar>
              <w:left w:w="58" w:type="dxa"/>
              <w:right w:w="58" w:type="dxa"/>
            </w:tcMar>
            <w:vAlign w:val="center"/>
          </w:tcPr>
          <w:p w14:paraId="5E7F3EE8" w14:textId="77777777" w:rsidR="00EC4B7B" w:rsidRPr="00CB2CB5" w:rsidRDefault="00EC4B7B" w:rsidP="00AF4CC2">
            <w:pPr>
              <w:spacing w:line="276" w:lineRule="auto"/>
              <w:jc w:val="center"/>
              <w:rPr>
                <w:sz w:val="20"/>
                <w:szCs w:val="20"/>
              </w:rPr>
            </w:pPr>
            <w:r w:rsidRPr="00CB2CB5">
              <w:rPr>
                <w:sz w:val="20"/>
                <w:szCs w:val="20"/>
              </w:rPr>
              <w:t>Fuel Oil</w:t>
            </w:r>
          </w:p>
        </w:tc>
        <w:tc>
          <w:tcPr>
            <w:tcW w:w="1440" w:type="dxa"/>
            <w:tcMar>
              <w:left w:w="58" w:type="dxa"/>
              <w:right w:w="58" w:type="dxa"/>
            </w:tcMar>
            <w:vAlign w:val="center"/>
          </w:tcPr>
          <w:p w14:paraId="529D38A6" w14:textId="77777777" w:rsidR="00EC4B7B" w:rsidRPr="00CB2CB5" w:rsidRDefault="00EC4B7B" w:rsidP="00AF4CC2">
            <w:pPr>
              <w:spacing w:line="276" w:lineRule="auto"/>
              <w:jc w:val="center"/>
              <w:rPr>
                <w:sz w:val="20"/>
                <w:szCs w:val="20"/>
              </w:rPr>
            </w:pPr>
            <w:r w:rsidRPr="00CB2CB5">
              <w:rPr>
                <w:sz w:val="20"/>
                <w:szCs w:val="20"/>
              </w:rPr>
              <w:t>March 2015</w:t>
            </w:r>
          </w:p>
          <w:p w14:paraId="7493277F" w14:textId="77777777" w:rsidR="00EC4B7B" w:rsidRPr="00CB2CB5" w:rsidRDefault="00EC4B7B" w:rsidP="00AF4CC2">
            <w:pPr>
              <w:spacing w:line="276" w:lineRule="auto"/>
              <w:jc w:val="center"/>
              <w:rPr>
                <w:sz w:val="20"/>
                <w:szCs w:val="20"/>
              </w:rPr>
            </w:pPr>
            <w:r w:rsidRPr="00CB2CB5">
              <w:rPr>
                <w:sz w:val="20"/>
                <w:szCs w:val="20"/>
              </w:rPr>
              <w:t>March 2015</w:t>
            </w:r>
          </w:p>
          <w:p w14:paraId="4C5F2241" w14:textId="77777777" w:rsidR="00EC4B7B" w:rsidRPr="00CB2CB5" w:rsidRDefault="00EC4B7B" w:rsidP="00AF4CC2">
            <w:pPr>
              <w:spacing w:line="276" w:lineRule="auto"/>
              <w:jc w:val="center"/>
              <w:rPr>
                <w:sz w:val="20"/>
                <w:szCs w:val="20"/>
              </w:rPr>
            </w:pPr>
            <w:r w:rsidRPr="00CB2CB5">
              <w:rPr>
                <w:sz w:val="20"/>
                <w:szCs w:val="20"/>
              </w:rPr>
              <w:t>May 2016</w:t>
            </w:r>
          </w:p>
          <w:p w14:paraId="78B1FFD6" w14:textId="77777777" w:rsidR="00EC4B7B" w:rsidRPr="00CB2CB5" w:rsidRDefault="00EC4B7B" w:rsidP="00AF4CC2">
            <w:pPr>
              <w:spacing w:line="276" w:lineRule="auto"/>
              <w:jc w:val="center"/>
              <w:rPr>
                <w:rFonts w:eastAsia="Times New Roman"/>
                <w:color w:val="FF0000"/>
                <w:sz w:val="20"/>
                <w:szCs w:val="20"/>
              </w:rPr>
            </w:pPr>
            <w:r w:rsidRPr="00CB2CB5">
              <w:rPr>
                <w:sz w:val="20"/>
                <w:szCs w:val="20"/>
              </w:rPr>
              <w:t>September 2016</w:t>
            </w:r>
          </w:p>
        </w:tc>
        <w:tc>
          <w:tcPr>
            <w:tcW w:w="1525" w:type="dxa"/>
            <w:tcMar>
              <w:left w:w="58" w:type="dxa"/>
              <w:right w:w="58" w:type="dxa"/>
            </w:tcMar>
            <w:vAlign w:val="center"/>
          </w:tcPr>
          <w:p w14:paraId="5FB0A7FB" w14:textId="071F0227" w:rsidR="00EC4B7B" w:rsidRPr="00CB2CB5" w:rsidRDefault="00EC4B7B" w:rsidP="00AF4CC2">
            <w:pPr>
              <w:spacing w:line="276" w:lineRule="auto"/>
              <w:jc w:val="center"/>
              <w:rPr>
                <w:sz w:val="20"/>
                <w:szCs w:val="20"/>
              </w:rPr>
            </w:pPr>
            <w:r w:rsidRPr="00CB2CB5">
              <w:rPr>
                <w:sz w:val="20"/>
                <w:szCs w:val="20"/>
              </w:rPr>
              <w:t>December 20</w:t>
            </w:r>
            <w:r w:rsidR="00683215">
              <w:rPr>
                <w:sz w:val="20"/>
                <w:szCs w:val="20"/>
              </w:rPr>
              <w:t>60</w:t>
            </w:r>
          </w:p>
          <w:p w14:paraId="1729301D" w14:textId="710662B2" w:rsidR="00EC4B7B" w:rsidRPr="00CB2CB5" w:rsidRDefault="00EC4B7B" w:rsidP="00AF4CC2">
            <w:pPr>
              <w:spacing w:line="276" w:lineRule="auto"/>
              <w:jc w:val="center"/>
              <w:rPr>
                <w:sz w:val="20"/>
                <w:szCs w:val="20"/>
              </w:rPr>
            </w:pPr>
            <w:r w:rsidRPr="00CB2CB5">
              <w:rPr>
                <w:sz w:val="20"/>
                <w:szCs w:val="20"/>
              </w:rPr>
              <w:t>December 20</w:t>
            </w:r>
            <w:r w:rsidR="00683215">
              <w:rPr>
                <w:sz w:val="20"/>
                <w:szCs w:val="20"/>
              </w:rPr>
              <w:t>60</w:t>
            </w:r>
          </w:p>
          <w:p w14:paraId="2227798A" w14:textId="3E0C67C1" w:rsidR="00EC4B7B" w:rsidRPr="00CB2CB5" w:rsidRDefault="00EC4B7B" w:rsidP="00AF4CC2">
            <w:pPr>
              <w:spacing w:line="276" w:lineRule="auto"/>
              <w:jc w:val="center"/>
              <w:rPr>
                <w:sz w:val="20"/>
                <w:szCs w:val="20"/>
              </w:rPr>
            </w:pPr>
            <w:r w:rsidRPr="00CB2CB5">
              <w:rPr>
                <w:sz w:val="20"/>
                <w:szCs w:val="20"/>
              </w:rPr>
              <w:t>December 20</w:t>
            </w:r>
            <w:r w:rsidR="00683215">
              <w:rPr>
                <w:sz w:val="20"/>
                <w:szCs w:val="20"/>
              </w:rPr>
              <w:t>61</w:t>
            </w:r>
          </w:p>
          <w:p w14:paraId="5F6E7507" w14:textId="6CB0C487" w:rsidR="00EC4B7B" w:rsidRPr="00CB2CB5" w:rsidRDefault="00EC4B7B" w:rsidP="00AF4CC2">
            <w:pPr>
              <w:spacing w:line="276" w:lineRule="auto"/>
              <w:jc w:val="center"/>
              <w:rPr>
                <w:sz w:val="20"/>
                <w:szCs w:val="20"/>
              </w:rPr>
            </w:pPr>
            <w:r w:rsidRPr="00CB2CB5">
              <w:rPr>
                <w:sz w:val="20"/>
                <w:szCs w:val="20"/>
              </w:rPr>
              <w:t>December 20</w:t>
            </w:r>
            <w:r w:rsidR="00683215">
              <w:rPr>
                <w:sz w:val="20"/>
                <w:szCs w:val="20"/>
              </w:rPr>
              <w:t>61</w:t>
            </w:r>
          </w:p>
        </w:tc>
        <w:tc>
          <w:tcPr>
            <w:tcW w:w="1260" w:type="dxa"/>
            <w:vAlign w:val="center"/>
          </w:tcPr>
          <w:p w14:paraId="2B8C7BD7" w14:textId="34101B91" w:rsidR="00EC4B7B" w:rsidRPr="00CB2CB5" w:rsidRDefault="00EC4B7B" w:rsidP="00D77AE8">
            <w:pPr>
              <w:spacing w:line="276" w:lineRule="auto"/>
              <w:jc w:val="center"/>
              <w:rPr>
                <w:sz w:val="20"/>
                <w:szCs w:val="20"/>
              </w:rPr>
            </w:pPr>
            <w:r w:rsidRPr="00CB2CB5">
              <w:rPr>
                <w:sz w:val="20"/>
                <w:szCs w:val="20"/>
              </w:rPr>
              <w:t>4</w:t>
            </w:r>
            <w:r w:rsidR="00683215">
              <w:rPr>
                <w:sz w:val="20"/>
                <w:szCs w:val="20"/>
              </w:rPr>
              <w:t>5</w:t>
            </w:r>
          </w:p>
          <w:p w14:paraId="4777A8F8" w14:textId="02B54B33" w:rsidR="00EC4B7B" w:rsidRPr="00CB2CB5" w:rsidRDefault="00EC4B7B" w:rsidP="0018313F">
            <w:pPr>
              <w:spacing w:line="276" w:lineRule="auto"/>
              <w:jc w:val="center"/>
              <w:rPr>
                <w:sz w:val="20"/>
                <w:szCs w:val="20"/>
              </w:rPr>
            </w:pPr>
            <w:r w:rsidRPr="00CB2CB5">
              <w:rPr>
                <w:sz w:val="20"/>
                <w:szCs w:val="20"/>
              </w:rPr>
              <w:t>4</w:t>
            </w:r>
            <w:r w:rsidR="00683215">
              <w:rPr>
                <w:sz w:val="20"/>
                <w:szCs w:val="20"/>
              </w:rPr>
              <w:t>5</w:t>
            </w:r>
          </w:p>
          <w:p w14:paraId="5499FEF8" w14:textId="613575B2" w:rsidR="00EC4B7B" w:rsidRPr="00CB2CB5" w:rsidRDefault="00EC4B7B" w:rsidP="0018313F">
            <w:pPr>
              <w:spacing w:line="276" w:lineRule="auto"/>
              <w:jc w:val="center"/>
              <w:rPr>
                <w:sz w:val="20"/>
                <w:szCs w:val="20"/>
              </w:rPr>
            </w:pPr>
            <w:r w:rsidRPr="00CB2CB5">
              <w:rPr>
                <w:sz w:val="20"/>
                <w:szCs w:val="20"/>
              </w:rPr>
              <w:t>4</w:t>
            </w:r>
            <w:r w:rsidR="00683215">
              <w:rPr>
                <w:sz w:val="20"/>
                <w:szCs w:val="20"/>
              </w:rPr>
              <w:t>5</w:t>
            </w:r>
          </w:p>
          <w:p w14:paraId="32D757DF" w14:textId="6DE44147" w:rsidR="00EC4B7B" w:rsidRPr="00CB2CB5" w:rsidRDefault="00EC4B7B" w:rsidP="00E14F9E">
            <w:pPr>
              <w:spacing w:line="276" w:lineRule="auto"/>
              <w:jc w:val="center"/>
              <w:rPr>
                <w:sz w:val="20"/>
                <w:szCs w:val="20"/>
              </w:rPr>
            </w:pPr>
            <w:r w:rsidRPr="00CB2CB5">
              <w:rPr>
                <w:sz w:val="20"/>
                <w:szCs w:val="20"/>
              </w:rPr>
              <w:t>4</w:t>
            </w:r>
            <w:r w:rsidR="00683215">
              <w:rPr>
                <w:sz w:val="20"/>
                <w:szCs w:val="20"/>
              </w:rPr>
              <w:t>5</w:t>
            </w:r>
          </w:p>
        </w:tc>
      </w:tr>
      <w:tr w:rsidR="00EC4B7B" w:rsidRPr="00CB2CB5" w14:paraId="6EEEF148" w14:textId="77777777" w:rsidTr="00AF4CC2">
        <w:trPr>
          <w:cantSplit/>
          <w:jc w:val="center"/>
        </w:trPr>
        <w:tc>
          <w:tcPr>
            <w:tcW w:w="2065" w:type="dxa"/>
            <w:tcMar>
              <w:left w:w="58" w:type="dxa"/>
              <w:right w:w="58" w:type="dxa"/>
            </w:tcMar>
            <w:vAlign w:val="center"/>
          </w:tcPr>
          <w:p w14:paraId="25ECFC31" w14:textId="77777777" w:rsidR="00EC4B7B" w:rsidRPr="00CB2CB5" w:rsidRDefault="00EC4B7B" w:rsidP="008759DE">
            <w:pPr>
              <w:spacing w:line="276" w:lineRule="auto"/>
              <w:rPr>
                <w:b/>
                <w:sz w:val="20"/>
                <w:szCs w:val="20"/>
                <w:u w:val="single"/>
              </w:rPr>
            </w:pPr>
            <w:r w:rsidRPr="00CB2CB5">
              <w:rPr>
                <w:b/>
                <w:sz w:val="20"/>
                <w:szCs w:val="20"/>
                <w:u w:val="single"/>
              </w:rPr>
              <w:t>Rio Grande</w:t>
            </w:r>
          </w:p>
          <w:p w14:paraId="0F93AAFC" w14:textId="6B9B5D05" w:rsidR="00EC4B7B" w:rsidRPr="00CB2CB5" w:rsidRDefault="00EC4B7B" w:rsidP="008759DE">
            <w:pPr>
              <w:spacing w:line="276" w:lineRule="auto"/>
              <w:rPr>
                <w:sz w:val="20"/>
                <w:szCs w:val="20"/>
              </w:rPr>
            </w:pPr>
            <w:r w:rsidRPr="00CB2CB5">
              <w:rPr>
                <w:sz w:val="20"/>
                <w:szCs w:val="20"/>
              </w:rPr>
              <w:t>Unit 6</w:t>
            </w:r>
            <w:r w:rsidR="00E14F9E" w:rsidRPr="00AF4CC2">
              <w:rPr>
                <w:sz w:val="20"/>
                <w:szCs w:val="20"/>
                <w:vertAlign w:val="superscript"/>
              </w:rPr>
              <w:t xml:space="preserve"> (1)</w:t>
            </w:r>
          </w:p>
          <w:p w14:paraId="2F134E74" w14:textId="77777777" w:rsidR="00EC4B7B" w:rsidRPr="00CB2CB5" w:rsidRDefault="00EC4B7B" w:rsidP="008759DE">
            <w:pPr>
              <w:spacing w:line="276" w:lineRule="auto"/>
              <w:rPr>
                <w:sz w:val="20"/>
                <w:szCs w:val="20"/>
              </w:rPr>
            </w:pPr>
            <w:r w:rsidRPr="00CB2CB5">
              <w:rPr>
                <w:sz w:val="20"/>
                <w:szCs w:val="20"/>
              </w:rPr>
              <w:t>Unit 7</w:t>
            </w:r>
          </w:p>
          <w:p w14:paraId="12B587DE" w14:textId="77777777" w:rsidR="00EC4B7B" w:rsidRPr="00CB2CB5" w:rsidRDefault="00EC4B7B" w:rsidP="008759DE">
            <w:pPr>
              <w:spacing w:line="276" w:lineRule="auto"/>
              <w:rPr>
                <w:sz w:val="20"/>
                <w:szCs w:val="20"/>
              </w:rPr>
            </w:pPr>
            <w:r w:rsidRPr="00CB2CB5">
              <w:rPr>
                <w:sz w:val="20"/>
                <w:szCs w:val="20"/>
              </w:rPr>
              <w:t>Unit 8</w:t>
            </w:r>
          </w:p>
          <w:p w14:paraId="592A0D50" w14:textId="77777777" w:rsidR="00EC4B7B" w:rsidRPr="00CB2CB5" w:rsidRDefault="00EC4B7B" w:rsidP="008759DE">
            <w:pPr>
              <w:spacing w:line="276" w:lineRule="auto"/>
              <w:rPr>
                <w:sz w:val="20"/>
                <w:szCs w:val="20"/>
              </w:rPr>
            </w:pPr>
            <w:r w:rsidRPr="00CB2CB5">
              <w:rPr>
                <w:sz w:val="20"/>
                <w:szCs w:val="20"/>
              </w:rPr>
              <w:t>Unit 9</w:t>
            </w:r>
          </w:p>
        </w:tc>
        <w:tc>
          <w:tcPr>
            <w:tcW w:w="1170" w:type="dxa"/>
            <w:tcMar>
              <w:left w:w="58" w:type="dxa"/>
              <w:right w:w="58" w:type="dxa"/>
            </w:tcMar>
            <w:vAlign w:val="center"/>
          </w:tcPr>
          <w:p w14:paraId="3D4DA2B6" w14:textId="23B8AD58" w:rsidR="00EC4B7B" w:rsidRPr="00CB2CB5" w:rsidRDefault="00EC4B7B" w:rsidP="00AF4CC2">
            <w:pPr>
              <w:spacing w:line="276" w:lineRule="auto"/>
              <w:jc w:val="center"/>
              <w:rPr>
                <w:sz w:val="20"/>
                <w:szCs w:val="20"/>
              </w:rPr>
            </w:pPr>
            <w:r w:rsidRPr="00CB2CB5">
              <w:rPr>
                <w:sz w:val="20"/>
                <w:szCs w:val="20"/>
              </w:rPr>
              <w:t>Sunland Park, NM</w:t>
            </w:r>
          </w:p>
        </w:tc>
        <w:tc>
          <w:tcPr>
            <w:tcW w:w="941" w:type="dxa"/>
            <w:tcMar>
              <w:left w:w="58" w:type="dxa"/>
              <w:right w:w="58" w:type="dxa"/>
            </w:tcMar>
            <w:vAlign w:val="center"/>
          </w:tcPr>
          <w:p w14:paraId="6667E221" w14:textId="3F25F70B" w:rsidR="00EC4B7B" w:rsidRPr="00CB2CB5" w:rsidRDefault="00EC4B7B" w:rsidP="008759DE">
            <w:pPr>
              <w:spacing w:line="276" w:lineRule="auto"/>
              <w:jc w:val="center"/>
              <w:rPr>
                <w:rFonts w:eastAsia="Times New Roman"/>
                <w:color w:val="FF0000"/>
                <w:sz w:val="20"/>
                <w:szCs w:val="20"/>
              </w:rPr>
            </w:pPr>
            <w:r w:rsidRPr="00CB2CB5">
              <w:rPr>
                <w:sz w:val="20"/>
                <w:szCs w:val="20"/>
              </w:rPr>
              <w:t>3</w:t>
            </w:r>
            <w:r w:rsidR="005B2BB0">
              <w:rPr>
                <w:sz w:val="20"/>
                <w:szCs w:val="20"/>
              </w:rPr>
              <w:t>23</w:t>
            </w:r>
          </w:p>
        </w:tc>
        <w:tc>
          <w:tcPr>
            <w:tcW w:w="1152" w:type="dxa"/>
            <w:tcMar>
              <w:left w:w="58" w:type="dxa"/>
              <w:right w:w="58" w:type="dxa"/>
            </w:tcMar>
            <w:vAlign w:val="center"/>
          </w:tcPr>
          <w:p w14:paraId="3A5AE6CD" w14:textId="77777777" w:rsidR="00EC4B7B" w:rsidRPr="00CB2CB5" w:rsidRDefault="00EC4B7B" w:rsidP="00AF4CC2">
            <w:pPr>
              <w:spacing w:line="276" w:lineRule="auto"/>
              <w:jc w:val="center"/>
              <w:rPr>
                <w:sz w:val="20"/>
                <w:szCs w:val="20"/>
              </w:rPr>
            </w:pPr>
            <w:r w:rsidRPr="00CB2CB5">
              <w:rPr>
                <w:sz w:val="20"/>
                <w:szCs w:val="20"/>
              </w:rPr>
              <w:t>Natural Gas</w:t>
            </w:r>
          </w:p>
        </w:tc>
        <w:tc>
          <w:tcPr>
            <w:tcW w:w="1152" w:type="dxa"/>
            <w:tcMar>
              <w:left w:w="58" w:type="dxa"/>
              <w:right w:w="58" w:type="dxa"/>
            </w:tcMar>
            <w:vAlign w:val="center"/>
          </w:tcPr>
          <w:p w14:paraId="4C552601" w14:textId="77777777" w:rsidR="00EC4B7B" w:rsidRPr="00CB2CB5" w:rsidRDefault="00EC4B7B" w:rsidP="00AF4CC2">
            <w:pPr>
              <w:spacing w:line="276" w:lineRule="auto"/>
              <w:jc w:val="center"/>
              <w:rPr>
                <w:sz w:val="20"/>
                <w:szCs w:val="20"/>
              </w:rPr>
            </w:pPr>
            <w:r w:rsidRPr="00CB2CB5">
              <w:rPr>
                <w:sz w:val="20"/>
                <w:szCs w:val="20"/>
              </w:rPr>
              <w:t>N/A</w:t>
            </w:r>
          </w:p>
        </w:tc>
        <w:tc>
          <w:tcPr>
            <w:tcW w:w="1440" w:type="dxa"/>
            <w:tcMar>
              <w:left w:w="58" w:type="dxa"/>
              <w:right w:w="58" w:type="dxa"/>
            </w:tcMar>
            <w:vAlign w:val="center"/>
          </w:tcPr>
          <w:p w14:paraId="799FE4E7" w14:textId="77777777" w:rsidR="00EC4B7B" w:rsidRPr="00CB2CB5" w:rsidRDefault="00EC4B7B" w:rsidP="00AF4CC2">
            <w:pPr>
              <w:spacing w:line="276" w:lineRule="auto"/>
              <w:jc w:val="center"/>
              <w:rPr>
                <w:sz w:val="20"/>
                <w:szCs w:val="20"/>
              </w:rPr>
            </w:pPr>
            <w:r w:rsidRPr="00CB2CB5">
              <w:rPr>
                <w:sz w:val="20"/>
                <w:szCs w:val="20"/>
              </w:rPr>
              <w:t>June 1957</w:t>
            </w:r>
          </w:p>
          <w:p w14:paraId="061D6B61" w14:textId="77777777" w:rsidR="00EC4B7B" w:rsidRPr="00CB2CB5" w:rsidRDefault="00EC4B7B" w:rsidP="00AF4CC2">
            <w:pPr>
              <w:spacing w:line="276" w:lineRule="auto"/>
              <w:jc w:val="center"/>
              <w:rPr>
                <w:sz w:val="20"/>
                <w:szCs w:val="20"/>
              </w:rPr>
            </w:pPr>
            <w:r w:rsidRPr="00CB2CB5">
              <w:rPr>
                <w:sz w:val="20"/>
                <w:szCs w:val="20"/>
              </w:rPr>
              <w:t>June 1958</w:t>
            </w:r>
          </w:p>
          <w:p w14:paraId="31AD2CA6" w14:textId="77777777" w:rsidR="00EC4B7B" w:rsidRPr="00CB2CB5" w:rsidRDefault="00EC4B7B" w:rsidP="00AF4CC2">
            <w:pPr>
              <w:spacing w:line="276" w:lineRule="auto"/>
              <w:jc w:val="center"/>
              <w:rPr>
                <w:sz w:val="20"/>
                <w:szCs w:val="20"/>
              </w:rPr>
            </w:pPr>
            <w:r w:rsidRPr="00CB2CB5">
              <w:rPr>
                <w:sz w:val="20"/>
                <w:szCs w:val="20"/>
              </w:rPr>
              <w:t>July 1972</w:t>
            </w:r>
          </w:p>
          <w:p w14:paraId="5B96AFEC" w14:textId="77777777" w:rsidR="00EC4B7B" w:rsidRPr="00CB2CB5" w:rsidRDefault="00EC4B7B" w:rsidP="00AF4CC2">
            <w:pPr>
              <w:spacing w:line="276" w:lineRule="auto"/>
              <w:jc w:val="center"/>
              <w:rPr>
                <w:sz w:val="20"/>
                <w:szCs w:val="20"/>
              </w:rPr>
            </w:pPr>
            <w:r w:rsidRPr="00CB2CB5">
              <w:rPr>
                <w:sz w:val="20"/>
                <w:szCs w:val="20"/>
              </w:rPr>
              <w:t>May 2013</w:t>
            </w:r>
          </w:p>
        </w:tc>
        <w:tc>
          <w:tcPr>
            <w:tcW w:w="1525" w:type="dxa"/>
            <w:tcMar>
              <w:left w:w="58" w:type="dxa"/>
              <w:right w:w="58" w:type="dxa"/>
            </w:tcMar>
            <w:vAlign w:val="center"/>
          </w:tcPr>
          <w:p w14:paraId="3EE7E5D9" w14:textId="2E832F4C" w:rsidR="00EC4B7B" w:rsidRPr="00CB2CB5" w:rsidRDefault="00EC4B7B" w:rsidP="00AF4CC2">
            <w:pPr>
              <w:spacing w:line="276" w:lineRule="auto"/>
              <w:jc w:val="center"/>
              <w:rPr>
                <w:sz w:val="20"/>
                <w:szCs w:val="20"/>
              </w:rPr>
            </w:pPr>
            <w:r w:rsidRPr="00CB2CB5">
              <w:rPr>
                <w:sz w:val="20"/>
                <w:szCs w:val="20"/>
              </w:rPr>
              <w:t>December 20</w:t>
            </w:r>
            <w:r w:rsidR="00E14F9E">
              <w:rPr>
                <w:sz w:val="20"/>
                <w:szCs w:val="20"/>
              </w:rPr>
              <w:t>21</w:t>
            </w:r>
          </w:p>
          <w:p w14:paraId="61698BFF" w14:textId="77777777" w:rsidR="00EC4B7B" w:rsidRPr="00CB2CB5" w:rsidRDefault="00EC4B7B" w:rsidP="00AF4CC2">
            <w:pPr>
              <w:spacing w:line="276" w:lineRule="auto"/>
              <w:jc w:val="center"/>
              <w:rPr>
                <w:sz w:val="20"/>
                <w:szCs w:val="20"/>
              </w:rPr>
            </w:pPr>
            <w:r w:rsidRPr="00CB2CB5">
              <w:rPr>
                <w:sz w:val="20"/>
                <w:szCs w:val="20"/>
              </w:rPr>
              <w:t>December</w:t>
            </w:r>
            <w:r w:rsidRPr="00CB2CB5" w:rsidDel="00575BB8">
              <w:rPr>
                <w:sz w:val="20"/>
                <w:szCs w:val="20"/>
              </w:rPr>
              <w:t xml:space="preserve"> </w:t>
            </w:r>
            <w:r w:rsidRPr="00CB2CB5">
              <w:rPr>
                <w:sz w:val="20"/>
                <w:szCs w:val="20"/>
              </w:rPr>
              <w:t>2022</w:t>
            </w:r>
          </w:p>
          <w:p w14:paraId="292CB17F" w14:textId="77777777" w:rsidR="00EC4B7B" w:rsidRPr="00CB2CB5" w:rsidRDefault="00EC4B7B" w:rsidP="00AF4CC2">
            <w:pPr>
              <w:spacing w:line="276" w:lineRule="auto"/>
              <w:jc w:val="center"/>
              <w:rPr>
                <w:sz w:val="20"/>
                <w:szCs w:val="20"/>
              </w:rPr>
            </w:pPr>
            <w:r w:rsidRPr="00CB2CB5">
              <w:rPr>
                <w:sz w:val="20"/>
                <w:szCs w:val="20"/>
              </w:rPr>
              <w:t>December 2033</w:t>
            </w:r>
          </w:p>
          <w:p w14:paraId="32A21248" w14:textId="77777777" w:rsidR="00EC4B7B" w:rsidRPr="00CB2CB5" w:rsidRDefault="00EC4B7B" w:rsidP="00AF4CC2">
            <w:pPr>
              <w:spacing w:line="276" w:lineRule="auto"/>
              <w:jc w:val="center"/>
              <w:rPr>
                <w:sz w:val="20"/>
                <w:szCs w:val="20"/>
              </w:rPr>
            </w:pPr>
            <w:r w:rsidRPr="00CB2CB5">
              <w:rPr>
                <w:sz w:val="20"/>
                <w:szCs w:val="20"/>
              </w:rPr>
              <w:t>December 2058</w:t>
            </w:r>
          </w:p>
        </w:tc>
        <w:tc>
          <w:tcPr>
            <w:tcW w:w="1260" w:type="dxa"/>
            <w:vAlign w:val="center"/>
          </w:tcPr>
          <w:p w14:paraId="0EA41007" w14:textId="5F860628" w:rsidR="00EC4B7B" w:rsidRPr="00CB2CB5" w:rsidRDefault="00EC4B7B" w:rsidP="00D77AE8">
            <w:pPr>
              <w:spacing w:line="276" w:lineRule="auto"/>
              <w:jc w:val="center"/>
              <w:rPr>
                <w:sz w:val="20"/>
                <w:szCs w:val="20"/>
              </w:rPr>
            </w:pPr>
            <w:r w:rsidRPr="00CB2CB5">
              <w:rPr>
                <w:sz w:val="20"/>
                <w:szCs w:val="20"/>
              </w:rPr>
              <w:t>6</w:t>
            </w:r>
            <w:r w:rsidR="00683215">
              <w:rPr>
                <w:sz w:val="20"/>
                <w:szCs w:val="20"/>
              </w:rPr>
              <w:t>4</w:t>
            </w:r>
          </w:p>
          <w:p w14:paraId="4707950A" w14:textId="77777777" w:rsidR="00EC4B7B" w:rsidRPr="00CB2CB5" w:rsidRDefault="00EC4B7B" w:rsidP="0018313F">
            <w:pPr>
              <w:spacing w:line="276" w:lineRule="auto"/>
              <w:jc w:val="center"/>
              <w:rPr>
                <w:sz w:val="20"/>
                <w:szCs w:val="20"/>
              </w:rPr>
            </w:pPr>
            <w:r w:rsidRPr="00CB2CB5">
              <w:rPr>
                <w:sz w:val="20"/>
                <w:szCs w:val="20"/>
              </w:rPr>
              <w:t>64</w:t>
            </w:r>
          </w:p>
          <w:p w14:paraId="08ED78D4" w14:textId="77777777" w:rsidR="00EC4B7B" w:rsidRPr="00CB2CB5" w:rsidRDefault="00EC4B7B" w:rsidP="0018313F">
            <w:pPr>
              <w:spacing w:line="276" w:lineRule="auto"/>
              <w:jc w:val="center"/>
              <w:rPr>
                <w:sz w:val="20"/>
                <w:szCs w:val="20"/>
              </w:rPr>
            </w:pPr>
            <w:r w:rsidRPr="00CB2CB5">
              <w:rPr>
                <w:sz w:val="20"/>
                <w:szCs w:val="20"/>
              </w:rPr>
              <w:t>61</w:t>
            </w:r>
          </w:p>
          <w:p w14:paraId="1941087A" w14:textId="77777777" w:rsidR="00EC4B7B" w:rsidRPr="00CB2CB5" w:rsidRDefault="00EC4B7B" w:rsidP="00E14F9E">
            <w:pPr>
              <w:spacing w:line="276" w:lineRule="auto"/>
              <w:jc w:val="center"/>
              <w:rPr>
                <w:sz w:val="20"/>
                <w:szCs w:val="20"/>
              </w:rPr>
            </w:pPr>
            <w:r w:rsidRPr="00CB2CB5">
              <w:rPr>
                <w:sz w:val="20"/>
                <w:szCs w:val="20"/>
              </w:rPr>
              <w:t>45</w:t>
            </w:r>
          </w:p>
        </w:tc>
      </w:tr>
      <w:tr w:rsidR="00EC4B7B" w:rsidRPr="00CB2CB5" w14:paraId="0B0AF0DD" w14:textId="77777777" w:rsidTr="00AF4CC2">
        <w:trPr>
          <w:cantSplit/>
          <w:jc w:val="center"/>
        </w:trPr>
        <w:tc>
          <w:tcPr>
            <w:tcW w:w="2065" w:type="dxa"/>
            <w:tcMar>
              <w:left w:w="58" w:type="dxa"/>
              <w:right w:w="58" w:type="dxa"/>
            </w:tcMar>
          </w:tcPr>
          <w:p w14:paraId="5FAB4380" w14:textId="77777777" w:rsidR="00EC4B7B" w:rsidRPr="00CB2CB5" w:rsidRDefault="00EC4B7B" w:rsidP="008759DE">
            <w:pPr>
              <w:spacing w:line="276" w:lineRule="auto"/>
              <w:rPr>
                <w:b/>
                <w:sz w:val="20"/>
                <w:szCs w:val="20"/>
                <w:u w:val="single"/>
              </w:rPr>
            </w:pPr>
            <w:r w:rsidRPr="00CB2CB5">
              <w:rPr>
                <w:b/>
                <w:sz w:val="20"/>
                <w:szCs w:val="20"/>
                <w:u w:val="single"/>
              </w:rPr>
              <w:t>Newman</w:t>
            </w:r>
          </w:p>
          <w:p w14:paraId="48497884" w14:textId="77777777" w:rsidR="00EC4B7B" w:rsidRPr="00CB2CB5" w:rsidRDefault="00EC4B7B" w:rsidP="008759DE">
            <w:pPr>
              <w:spacing w:line="276" w:lineRule="auto"/>
              <w:rPr>
                <w:sz w:val="20"/>
                <w:szCs w:val="20"/>
              </w:rPr>
            </w:pPr>
            <w:r w:rsidRPr="00CB2CB5">
              <w:rPr>
                <w:sz w:val="20"/>
                <w:szCs w:val="20"/>
              </w:rPr>
              <w:t>Unit 1</w:t>
            </w:r>
          </w:p>
          <w:p w14:paraId="45A132D3" w14:textId="77777777" w:rsidR="00EC4B7B" w:rsidRPr="00CB2CB5" w:rsidRDefault="00EC4B7B" w:rsidP="008759DE">
            <w:pPr>
              <w:spacing w:line="276" w:lineRule="auto"/>
              <w:rPr>
                <w:sz w:val="20"/>
                <w:szCs w:val="20"/>
              </w:rPr>
            </w:pPr>
            <w:r w:rsidRPr="00CB2CB5">
              <w:rPr>
                <w:sz w:val="20"/>
                <w:szCs w:val="20"/>
              </w:rPr>
              <w:t>Unit 2</w:t>
            </w:r>
          </w:p>
          <w:p w14:paraId="54279E72" w14:textId="77777777" w:rsidR="00EC4B7B" w:rsidRPr="00CB2CB5" w:rsidRDefault="00EC4B7B" w:rsidP="008759DE">
            <w:pPr>
              <w:spacing w:line="276" w:lineRule="auto"/>
              <w:rPr>
                <w:sz w:val="20"/>
                <w:szCs w:val="20"/>
              </w:rPr>
            </w:pPr>
            <w:r w:rsidRPr="00CB2CB5">
              <w:rPr>
                <w:sz w:val="20"/>
                <w:szCs w:val="20"/>
              </w:rPr>
              <w:t>Unit 3</w:t>
            </w:r>
          </w:p>
          <w:p w14:paraId="0EF6546F" w14:textId="77777777" w:rsidR="00EC4B7B" w:rsidRPr="00CB2CB5" w:rsidRDefault="00EC4B7B" w:rsidP="008759DE">
            <w:pPr>
              <w:spacing w:line="276" w:lineRule="auto"/>
              <w:rPr>
                <w:sz w:val="20"/>
                <w:szCs w:val="20"/>
              </w:rPr>
            </w:pPr>
            <w:r w:rsidRPr="00CB2CB5">
              <w:rPr>
                <w:sz w:val="20"/>
                <w:szCs w:val="20"/>
              </w:rPr>
              <w:t>Unit 4</w:t>
            </w:r>
          </w:p>
          <w:p w14:paraId="1B11D1B6" w14:textId="77777777" w:rsidR="00EC4B7B" w:rsidRPr="00CB2CB5" w:rsidRDefault="00EC4B7B" w:rsidP="008759DE">
            <w:pPr>
              <w:spacing w:line="276" w:lineRule="auto"/>
              <w:rPr>
                <w:sz w:val="20"/>
                <w:szCs w:val="20"/>
              </w:rPr>
            </w:pPr>
            <w:r w:rsidRPr="00CB2CB5">
              <w:rPr>
                <w:sz w:val="20"/>
                <w:szCs w:val="20"/>
              </w:rPr>
              <w:t xml:space="preserve">Unit 5 – </w:t>
            </w:r>
            <w:proofErr w:type="spellStart"/>
            <w:r w:rsidRPr="00CB2CB5">
              <w:rPr>
                <w:sz w:val="20"/>
                <w:szCs w:val="20"/>
              </w:rPr>
              <w:t>CTs</w:t>
            </w:r>
            <w:proofErr w:type="spellEnd"/>
          </w:p>
          <w:p w14:paraId="15A6ED1D" w14:textId="77777777" w:rsidR="00EC4B7B" w:rsidRPr="00CB2CB5" w:rsidRDefault="00EC4B7B" w:rsidP="008759DE">
            <w:pPr>
              <w:spacing w:line="276" w:lineRule="auto"/>
              <w:rPr>
                <w:sz w:val="20"/>
                <w:szCs w:val="20"/>
              </w:rPr>
            </w:pPr>
            <w:r w:rsidRPr="00CB2CB5">
              <w:rPr>
                <w:sz w:val="20"/>
                <w:szCs w:val="20"/>
              </w:rPr>
              <w:t xml:space="preserve">Unit 5 – </w:t>
            </w:r>
            <w:proofErr w:type="spellStart"/>
            <w:r w:rsidRPr="00CB2CB5">
              <w:rPr>
                <w:sz w:val="20"/>
                <w:szCs w:val="20"/>
              </w:rPr>
              <w:t>HRSG</w:t>
            </w:r>
            <w:proofErr w:type="spellEnd"/>
          </w:p>
        </w:tc>
        <w:tc>
          <w:tcPr>
            <w:tcW w:w="1170" w:type="dxa"/>
            <w:tcMar>
              <w:left w:w="58" w:type="dxa"/>
              <w:right w:w="58" w:type="dxa"/>
            </w:tcMar>
            <w:vAlign w:val="center"/>
          </w:tcPr>
          <w:p w14:paraId="3FE33BA4" w14:textId="77777777" w:rsidR="00EC4B7B" w:rsidRPr="00CB2CB5" w:rsidRDefault="00EC4B7B" w:rsidP="00AF4CC2">
            <w:pPr>
              <w:spacing w:line="276" w:lineRule="auto"/>
              <w:jc w:val="center"/>
              <w:rPr>
                <w:sz w:val="20"/>
                <w:szCs w:val="20"/>
              </w:rPr>
            </w:pPr>
            <w:r w:rsidRPr="00CB2CB5">
              <w:rPr>
                <w:sz w:val="20"/>
                <w:szCs w:val="20"/>
              </w:rPr>
              <w:t>El Paso, TX</w:t>
            </w:r>
          </w:p>
        </w:tc>
        <w:tc>
          <w:tcPr>
            <w:tcW w:w="941" w:type="dxa"/>
            <w:tcMar>
              <w:left w:w="58" w:type="dxa"/>
              <w:right w:w="58" w:type="dxa"/>
            </w:tcMar>
            <w:vAlign w:val="center"/>
          </w:tcPr>
          <w:p w14:paraId="0B73CEB5" w14:textId="79BA4954" w:rsidR="00EC4B7B" w:rsidRPr="00CB2CB5" w:rsidRDefault="00EC4B7B" w:rsidP="008759DE">
            <w:pPr>
              <w:spacing w:line="276" w:lineRule="auto"/>
              <w:jc w:val="center"/>
              <w:rPr>
                <w:rFonts w:eastAsia="Times New Roman"/>
                <w:color w:val="FF0000"/>
                <w:sz w:val="20"/>
                <w:szCs w:val="20"/>
              </w:rPr>
            </w:pPr>
            <w:r w:rsidRPr="00CB2CB5">
              <w:rPr>
                <w:sz w:val="20"/>
                <w:szCs w:val="20"/>
              </w:rPr>
              <w:t>7</w:t>
            </w:r>
            <w:r w:rsidR="00A604C4">
              <w:rPr>
                <w:sz w:val="20"/>
                <w:szCs w:val="20"/>
              </w:rPr>
              <w:t>29</w:t>
            </w:r>
          </w:p>
        </w:tc>
        <w:tc>
          <w:tcPr>
            <w:tcW w:w="1152" w:type="dxa"/>
            <w:tcMar>
              <w:left w:w="58" w:type="dxa"/>
              <w:right w:w="58" w:type="dxa"/>
            </w:tcMar>
            <w:vAlign w:val="center"/>
          </w:tcPr>
          <w:p w14:paraId="74CDBE35" w14:textId="77777777" w:rsidR="00EC4B7B" w:rsidRPr="00CB2CB5" w:rsidRDefault="00EC4B7B" w:rsidP="00AF4CC2">
            <w:pPr>
              <w:spacing w:line="276" w:lineRule="auto"/>
              <w:jc w:val="center"/>
              <w:rPr>
                <w:sz w:val="20"/>
                <w:szCs w:val="20"/>
              </w:rPr>
            </w:pPr>
            <w:r w:rsidRPr="00CB2CB5">
              <w:rPr>
                <w:sz w:val="20"/>
                <w:szCs w:val="20"/>
              </w:rPr>
              <w:t>Natural Gas</w:t>
            </w:r>
          </w:p>
        </w:tc>
        <w:tc>
          <w:tcPr>
            <w:tcW w:w="1152" w:type="dxa"/>
            <w:tcMar>
              <w:left w:w="58" w:type="dxa"/>
              <w:right w:w="58" w:type="dxa"/>
            </w:tcMar>
            <w:vAlign w:val="center"/>
          </w:tcPr>
          <w:p w14:paraId="6847CCBB" w14:textId="3F24C288" w:rsidR="00EC4B7B" w:rsidRPr="00CB2CB5" w:rsidRDefault="00827CAC" w:rsidP="00AF4CC2">
            <w:pPr>
              <w:spacing w:line="276" w:lineRule="auto"/>
              <w:jc w:val="center"/>
              <w:rPr>
                <w:sz w:val="20"/>
                <w:szCs w:val="20"/>
              </w:rPr>
            </w:pPr>
            <w:r w:rsidRPr="00CB2CB5">
              <w:rPr>
                <w:sz w:val="20"/>
                <w:szCs w:val="20"/>
              </w:rPr>
              <w:t>N/A</w:t>
            </w:r>
          </w:p>
        </w:tc>
        <w:tc>
          <w:tcPr>
            <w:tcW w:w="1440" w:type="dxa"/>
            <w:tcMar>
              <w:left w:w="58" w:type="dxa"/>
              <w:right w:w="58" w:type="dxa"/>
            </w:tcMar>
            <w:vAlign w:val="center"/>
          </w:tcPr>
          <w:p w14:paraId="25861A45" w14:textId="77777777" w:rsidR="00EC4B7B" w:rsidRPr="00CB2CB5" w:rsidRDefault="00EC4B7B" w:rsidP="00AF4CC2">
            <w:pPr>
              <w:spacing w:line="276" w:lineRule="auto"/>
              <w:jc w:val="center"/>
              <w:rPr>
                <w:sz w:val="20"/>
                <w:szCs w:val="20"/>
              </w:rPr>
            </w:pPr>
            <w:r w:rsidRPr="00CB2CB5">
              <w:rPr>
                <w:sz w:val="20"/>
                <w:szCs w:val="20"/>
              </w:rPr>
              <w:t>May 1960</w:t>
            </w:r>
          </w:p>
          <w:p w14:paraId="24AA97F8" w14:textId="77777777" w:rsidR="00EC4B7B" w:rsidRPr="00CB2CB5" w:rsidRDefault="00EC4B7B" w:rsidP="00AF4CC2">
            <w:pPr>
              <w:spacing w:line="276" w:lineRule="auto"/>
              <w:jc w:val="center"/>
              <w:rPr>
                <w:sz w:val="20"/>
                <w:szCs w:val="20"/>
              </w:rPr>
            </w:pPr>
            <w:r w:rsidRPr="00CB2CB5">
              <w:rPr>
                <w:sz w:val="20"/>
                <w:szCs w:val="20"/>
              </w:rPr>
              <w:t>June 1963</w:t>
            </w:r>
          </w:p>
          <w:p w14:paraId="3F94C2D6" w14:textId="77777777" w:rsidR="00EC4B7B" w:rsidRPr="00CB2CB5" w:rsidRDefault="00EC4B7B" w:rsidP="00AF4CC2">
            <w:pPr>
              <w:spacing w:line="276" w:lineRule="auto"/>
              <w:jc w:val="center"/>
              <w:rPr>
                <w:sz w:val="20"/>
                <w:szCs w:val="20"/>
              </w:rPr>
            </w:pPr>
            <w:r w:rsidRPr="00CB2CB5">
              <w:rPr>
                <w:sz w:val="20"/>
                <w:szCs w:val="20"/>
              </w:rPr>
              <w:t>March 1966</w:t>
            </w:r>
          </w:p>
          <w:p w14:paraId="490358FE" w14:textId="77777777" w:rsidR="00EC4B7B" w:rsidRPr="00CB2CB5" w:rsidRDefault="00EC4B7B" w:rsidP="00AF4CC2">
            <w:pPr>
              <w:spacing w:line="276" w:lineRule="auto"/>
              <w:jc w:val="center"/>
              <w:rPr>
                <w:sz w:val="20"/>
                <w:szCs w:val="20"/>
              </w:rPr>
            </w:pPr>
            <w:r w:rsidRPr="00CB2CB5">
              <w:rPr>
                <w:sz w:val="20"/>
                <w:szCs w:val="20"/>
              </w:rPr>
              <w:t>June 1975</w:t>
            </w:r>
          </w:p>
          <w:p w14:paraId="2079EC88" w14:textId="77777777" w:rsidR="00EC4B7B" w:rsidRPr="00CB2CB5" w:rsidRDefault="00EC4B7B" w:rsidP="00AF4CC2">
            <w:pPr>
              <w:spacing w:line="276" w:lineRule="auto"/>
              <w:jc w:val="center"/>
              <w:rPr>
                <w:sz w:val="20"/>
                <w:szCs w:val="20"/>
              </w:rPr>
            </w:pPr>
            <w:r w:rsidRPr="00CB2CB5">
              <w:rPr>
                <w:sz w:val="20"/>
                <w:szCs w:val="20"/>
              </w:rPr>
              <w:t>May 2009</w:t>
            </w:r>
          </w:p>
          <w:p w14:paraId="0073D23C" w14:textId="77777777" w:rsidR="00EC4B7B" w:rsidRPr="00CB2CB5" w:rsidRDefault="00EC4B7B" w:rsidP="00AF4CC2">
            <w:pPr>
              <w:spacing w:line="276" w:lineRule="auto"/>
              <w:jc w:val="center"/>
              <w:rPr>
                <w:sz w:val="20"/>
                <w:szCs w:val="20"/>
              </w:rPr>
            </w:pPr>
            <w:r w:rsidRPr="00CB2CB5">
              <w:rPr>
                <w:sz w:val="20"/>
                <w:szCs w:val="20"/>
              </w:rPr>
              <w:t>April 2011</w:t>
            </w:r>
          </w:p>
        </w:tc>
        <w:tc>
          <w:tcPr>
            <w:tcW w:w="1525" w:type="dxa"/>
            <w:tcMar>
              <w:left w:w="58" w:type="dxa"/>
              <w:right w:w="58" w:type="dxa"/>
            </w:tcMar>
            <w:vAlign w:val="center"/>
          </w:tcPr>
          <w:p w14:paraId="7654FD71" w14:textId="77777777" w:rsidR="00EC4B7B" w:rsidRPr="00CB2CB5" w:rsidRDefault="00EC4B7B" w:rsidP="00D77AE8">
            <w:pPr>
              <w:spacing w:line="276" w:lineRule="auto"/>
              <w:jc w:val="center"/>
              <w:rPr>
                <w:sz w:val="20"/>
                <w:szCs w:val="20"/>
              </w:rPr>
            </w:pPr>
            <w:r w:rsidRPr="00CB2CB5">
              <w:rPr>
                <w:sz w:val="20"/>
                <w:szCs w:val="20"/>
              </w:rPr>
              <w:t>December</w:t>
            </w:r>
            <w:r w:rsidRPr="00CB2CB5" w:rsidDel="00575BB8">
              <w:rPr>
                <w:sz w:val="20"/>
                <w:szCs w:val="20"/>
              </w:rPr>
              <w:t xml:space="preserve"> </w:t>
            </w:r>
            <w:r w:rsidRPr="00CB2CB5">
              <w:rPr>
                <w:sz w:val="20"/>
                <w:szCs w:val="20"/>
              </w:rPr>
              <w:t>2022</w:t>
            </w:r>
          </w:p>
          <w:p w14:paraId="358BDA5A" w14:textId="77777777" w:rsidR="00EC4B7B" w:rsidRPr="00CB2CB5" w:rsidRDefault="00EC4B7B" w:rsidP="0018313F">
            <w:pPr>
              <w:spacing w:line="276" w:lineRule="auto"/>
              <w:jc w:val="center"/>
              <w:rPr>
                <w:sz w:val="20"/>
                <w:szCs w:val="20"/>
              </w:rPr>
            </w:pPr>
            <w:r w:rsidRPr="00CB2CB5">
              <w:rPr>
                <w:sz w:val="20"/>
                <w:szCs w:val="20"/>
              </w:rPr>
              <w:t>December</w:t>
            </w:r>
            <w:r w:rsidRPr="00CB2CB5" w:rsidDel="00575BB8">
              <w:rPr>
                <w:sz w:val="20"/>
                <w:szCs w:val="20"/>
              </w:rPr>
              <w:t xml:space="preserve"> </w:t>
            </w:r>
            <w:r w:rsidRPr="00CB2CB5">
              <w:rPr>
                <w:sz w:val="20"/>
                <w:szCs w:val="20"/>
              </w:rPr>
              <w:t>2022</w:t>
            </w:r>
          </w:p>
          <w:p w14:paraId="51448F47" w14:textId="77777777" w:rsidR="00EC4B7B" w:rsidRPr="00CB2CB5" w:rsidRDefault="00EC4B7B" w:rsidP="0018313F">
            <w:pPr>
              <w:spacing w:line="276" w:lineRule="auto"/>
              <w:jc w:val="center"/>
              <w:rPr>
                <w:sz w:val="20"/>
                <w:szCs w:val="20"/>
              </w:rPr>
            </w:pPr>
            <w:r w:rsidRPr="00CB2CB5">
              <w:rPr>
                <w:sz w:val="20"/>
                <w:szCs w:val="20"/>
              </w:rPr>
              <w:t>December</w:t>
            </w:r>
            <w:r w:rsidRPr="00CB2CB5" w:rsidDel="00575BB8">
              <w:rPr>
                <w:sz w:val="20"/>
                <w:szCs w:val="20"/>
              </w:rPr>
              <w:t xml:space="preserve"> </w:t>
            </w:r>
            <w:r w:rsidRPr="00CB2CB5">
              <w:rPr>
                <w:sz w:val="20"/>
                <w:szCs w:val="20"/>
              </w:rPr>
              <w:t>2026</w:t>
            </w:r>
          </w:p>
          <w:p w14:paraId="4E3975CD" w14:textId="77777777" w:rsidR="00EC4B7B" w:rsidRPr="00CB2CB5" w:rsidRDefault="00EC4B7B" w:rsidP="00E14F9E">
            <w:pPr>
              <w:spacing w:line="276" w:lineRule="auto"/>
              <w:jc w:val="center"/>
              <w:rPr>
                <w:sz w:val="20"/>
                <w:szCs w:val="20"/>
              </w:rPr>
            </w:pPr>
            <w:r w:rsidRPr="00CB2CB5">
              <w:rPr>
                <w:sz w:val="20"/>
                <w:szCs w:val="20"/>
              </w:rPr>
              <w:t>December 2026</w:t>
            </w:r>
          </w:p>
          <w:p w14:paraId="0D691F9A" w14:textId="04CB139C" w:rsidR="00EC4B7B" w:rsidRPr="00CB2CB5" w:rsidRDefault="00EC4B7B" w:rsidP="00F46AB0">
            <w:pPr>
              <w:spacing w:line="276" w:lineRule="auto"/>
              <w:jc w:val="center"/>
              <w:rPr>
                <w:sz w:val="20"/>
                <w:szCs w:val="20"/>
              </w:rPr>
            </w:pPr>
            <w:r w:rsidRPr="00CB2CB5">
              <w:rPr>
                <w:sz w:val="20"/>
                <w:szCs w:val="20"/>
              </w:rPr>
              <w:t>December 20</w:t>
            </w:r>
            <w:r w:rsidR="00683215">
              <w:rPr>
                <w:sz w:val="20"/>
                <w:szCs w:val="20"/>
              </w:rPr>
              <w:t>61</w:t>
            </w:r>
          </w:p>
          <w:p w14:paraId="14EE2087" w14:textId="4B4779A5" w:rsidR="00EC4B7B" w:rsidRPr="00CB2CB5" w:rsidRDefault="00EC4B7B">
            <w:pPr>
              <w:spacing w:line="276" w:lineRule="auto"/>
              <w:jc w:val="center"/>
              <w:rPr>
                <w:sz w:val="20"/>
                <w:szCs w:val="20"/>
              </w:rPr>
            </w:pPr>
            <w:r w:rsidRPr="00CB2CB5">
              <w:rPr>
                <w:sz w:val="20"/>
                <w:szCs w:val="20"/>
              </w:rPr>
              <w:t>December 20</w:t>
            </w:r>
            <w:r w:rsidR="00683215">
              <w:rPr>
                <w:sz w:val="20"/>
                <w:szCs w:val="20"/>
              </w:rPr>
              <w:t>61</w:t>
            </w:r>
          </w:p>
        </w:tc>
        <w:tc>
          <w:tcPr>
            <w:tcW w:w="1260" w:type="dxa"/>
            <w:vAlign w:val="center"/>
          </w:tcPr>
          <w:p w14:paraId="0E629CC2" w14:textId="77777777" w:rsidR="00EC4B7B" w:rsidRPr="00CB2CB5" w:rsidRDefault="00EC4B7B">
            <w:pPr>
              <w:spacing w:line="276" w:lineRule="auto"/>
              <w:jc w:val="center"/>
              <w:rPr>
                <w:sz w:val="20"/>
                <w:szCs w:val="20"/>
              </w:rPr>
            </w:pPr>
            <w:r w:rsidRPr="00CB2CB5">
              <w:rPr>
                <w:sz w:val="20"/>
                <w:szCs w:val="20"/>
              </w:rPr>
              <w:t>62</w:t>
            </w:r>
          </w:p>
          <w:p w14:paraId="78247D6A" w14:textId="77777777" w:rsidR="00EC4B7B" w:rsidRPr="00CB2CB5" w:rsidRDefault="00EC4B7B">
            <w:pPr>
              <w:spacing w:line="276" w:lineRule="auto"/>
              <w:jc w:val="center"/>
              <w:rPr>
                <w:sz w:val="20"/>
                <w:szCs w:val="20"/>
              </w:rPr>
            </w:pPr>
            <w:r w:rsidRPr="00CB2CB5">
              <w:rPr>
                <w:sz w:val="20"/>
                <w:szCs w:val="20"/>
              </w:rPr>
              <w:t>59</w:t>
            </w:r>
          </w:p>
          <w:p w14:paraId="2AEC3B87" w14:textId="77777777" w:rsidR="00EC4B7B" w:rsidRPr="00CB2CB5" w:rsidRDefault="00EC4B7B">
            <w:pPr>
              <w:spacing w:line="276" w:lineRule="auto"/>
              <w:jc w:val="center"/>
              <w:rPr>
                <w:sz w:val="20"/>
                <w:szCs w:val="20"/>
              </w:rPr>
            </w:pPr>
            <w:r w:rsidRPr="00CB2CB5">
              <w:rPr>
                <w:sz w:val="20"/>
                <w:szCs w:val="20"/>
              </w:rPr>
              <w:t>60</w:t>
            </w:r>
          </w:p>
          <w:p w14:paraId="43B472CC" w14:textId="77777777" w:rsidR="00EC4B7B" w:rsidRPr="00CB2CB5" w:rsidRDefault="00EC4B7B">
            <w:pPr>
              <w:spacing w:line="276" w:lineRule="auto"/>
              <w:jc w:val="center"/>
              <w:rPr>
                <w:sz w:val="20"/>
                <w:szCs w:val="20"/>
              </w:rPr>
            </w:pPr>
            <w:r w:rsidRPr="00CB2CB5">
              <w:rPr>
                <w:sz w:val="20"/>
                <w:szCs w:val="20"/>
              </w:rPr>
              <w:t>51</w:t>
            </w:r>
          </w:p>
          <w:p w14:paraId="7CA4E442" w14:textId="161D63B3" w:rsidR="00EC4B7B" w:rsidRPr="00CB2CB5" w:rsidRDefault="00683215">
            <w:pPr>
              <w:spacing w:line="276" w:lineRule="auto"/>
              <w:jc w:val="center"/>
              <w:rPr>
                <w:sz w:val="20"/>
                <w:szCs w:val="20"/>
              </w:rPr>
            </w:pPr>
            <w:r>
              <w:rPr>
                <w:sz w:val="20"/>
                <w:szCs w:val="20"/>
              </w:rPr>
              <w:t>52</w:t>
            </w:r>
          </w:p>
          <w:p w14:paraId="5CD5A43F" w14:textId="641C360E" w:rsidR="00EC4B7B" w:rsidRPr="00CB2CB5" w:rsidRDefault="00683215">
            <w:pPr>
              <w:spacing w:line="276" w:lineRule="auto"/>
              <w:jc w:val="center"/>
              <w:rPr>
                <w:sz w:val="20"/>
                <w:szCs w:val="20"/>
              </w:rPr>
            </w:pPr>
            <w:r>
              <w:rPr>
                <w:sz w:val="20"/>
                <w:szCs w:val="20"/>
              </w:rPr>
              <w:t>50</w:t>
            </w:r>
          </w:p>
        </w:tc>
      </w:tr>
      <w:tr w:rsidR="00EC4B7B" w:rsidRPr="00CB2CB5" w14:paraId="47847109" w14:textId="77777777" w:rsidTr="00AF4CC2">
        <w:trPr>
          <w:cantSplit/>
          <w:trHeight w:val="674"/>
          <w:jc w:val="center"/>
        </w:trPr>
        <w:tc>
          <w:tcPr>
            <w:tcW w:w="2065" w:type="dxa"/>
            <w:tcMar>
              <w:left w:w="58" w:type="dxa"/>
              <w:right w:w="58" w:type="dxa"/>
            </w:tcMar>
            <w:vAlign w:val="center"/>
          </w:tcPr>
          <w:p w14:paraId="3DC6F7F2" w14:textId="77777777" w:rsidR="00EC4B7B" w:rsidRPr="00CB2CB5" w:rsidRDefault="00EC4B7B" w:rsidP="008759DE">
            <w:pPr>
              <w:spacing w:line="276" w:lineRule="auto"/>
              <w:rPr>
                <w:b/>
                <w:sz w:val="20"/>
                <w:szCs w:val="20"/>
                <w:u w:val="single"/>
              </w:rPr>
            </w:pPr>
            <w:r w:rsidRPr="00CB2CB5">
              <w:rPr>
                <w:b/>
                <w:sz w:val="20"/>
                <w:szCs w:val="20"/>
                <w:u w:val="single"/>
              </w:rPr>
              <w:t>Copper</w:t>
            </w:r>
          </w:p>
          <w:p w14:paraId="1522D875" w14:textId="77777777" w:rsidR="00EC4B7B" w:rsidRPr="00CB2CB5" w:rsidRDefault="00EC4B7B" w:rsidP="008759DE">
            <w:pPr>
              <w:spacing w:line="276" w:lineRule="auto"/>
              <w:rPr>
                <w:sz w:val="20"/>
                <w:szCs w:val="20"/>
              </w:rPr>
            </w:pPr>
            <w:r w:rsidRPr="00CB2CB5">
              <w:rPr>
                <w:sz w:val="20"/>
                <w:szCs w:val="20"/>
              </w:rPr>
              <w:t>Unit 1</w:t>
            </w:r>
          </w:p>
        </w:tc>
        <w:tc>
          <w:tcPr>
            <w:tcW w:w="1170" w:type="dxa"/>
            <w:tcMar>
              <w:left w:w="58" w:type="dxa"/>
              <w:right w:w="58" w:type="dxa"/>
            </w:tcMar>
            <w:vAlign w:val="center"/>
          </w:tcPr>
          <w:p w14:paraId="74D6B64D" w14:textId="77777777" w:rsidR="00EC4B7B" w:rsidRPr="00CB2CB5" w:rsidRDefault="00EC4B7B" w:rsidP="00AF4CC2">
            <w:pPr>
              <w:spacing w:line="276" w:lineRule="auto"/>
              <w:jc w:val="center"/>
              <w:rPr>
                <w:sz w:val="20"/>
                <w:szCs w:val="20"/>
              </w:rPr>
            </w:pPr>
            <w:r w:rsidRPr="00CB2CB5">
              <w:rPr>
                <w:sz w:val="20"/>
                <w:szCs w:val="20"/>
              </w:rPr>
              <w:t>El Paso, TX</w:t>
            </w:r>
          </w:p>
        </w:tc>
        <w:tc>
          <w:tcPr>
            <w:tcW w:w="941" w:type="dxa"/>
            <w:tcMar>
              <w:left w:w="58" w:type="dxa"/>
              <w:right w:w="58" w:type="dxa"/>
            </w:tcMar>
            <w:vAlign w:val="center"/>
          </w:tcPr>
          <w:p w14:paraId="6C1C91D8" w14:textId="00479F4C" w:rsidR="00EC4B7B" w:rsidRPr="00CB2CB5" w:rsidRDefault="00EC4B7B" w:rsidP="008759DE">
            <w:pPr>
              <w:spacing w:line="276" w:lineRule="auto"/>
              <w:jc w:val="center"/>
              <w:rPr>
                <w:rFonts w:eastAsia="Times New Roman"/>
                <w:color w:val="FF0000"/>
                <w:sz w:val="20"/>
                <w:szCs w:val="20"/>
              </w:rPr>
            </w:pPr>
            <w:r w:rsidRPr="00CB2CB5">
              <w:rPr>
                <w:sz w:val="20"/>
                <w:szCs w:val="20"/>
              </w:rPr>
              <w:t>6</w:t>
            </w:r>
            <w:r w:rsidR="00A604C4">
              <w:rPr>
                <w:sz w:val="20"/>
                <w:szCs w:val="20"/>
              </w:rPr>
              <w:t>3</w:t>
            </w:r>
          </w:p>
        </w:tc>
        <w:tc>
          <w:tcPr>
            <w:tcW w:w="1152" w:type="dxa"/>
            <w:tcMar>
              <w:left w:w="58" w:type="dxa"/>
              <w:right w:w="58" w:type="dxa"/>
            </w:tcMar>
            <w:vAlign w:val="center"/>
          </w:tcPr>
          <w:p w14:paraId="1F13FEA3" w14:textId="77777777" w:rsidR="00EC4B7B" w:rsidRPr="00CB2CB5" w:rsidRDefault="00EC4B7B" w:rsidP="00AF4CC2">
            <w:pPr>
              <w:spacing w:line="276" w:lineRule="auto"/>
              <w:jc w:val="center"/>
              <w:rPr>
                <w:sz w:val="20"/>
                <w:szCs w:val="20"/>
              </w:rPr>
            </w:pPr>
            <w:r w:rsidRPr="00CB2CB5">
              <w:rPr>
                <w:sz w:val="20"/>
                <w:szCs w:val="20"/>
              </w:rPr>
              <w:t>Natural Gas</w:t>
            </w:r>
          </w:p>
        </w:tc>
        <w:tc>
          <w:tcPr>
            <w:tcW w:w="1152" w:type="dxa"/>
            <w:tcMar>
              <w:left w:w="58" w:type="dxa"/>
              <w:right w:w="58" w:type="dxa"/>
            </w:tcMar>
            <w:vAlign w:val="center"/>
          </w:tcPr>
          <w:p w14:paraId="5D1C6DBB" w14:textId="77777777" w:rsidR="00EC4B7B" w:rsidRPr="00CB2CB5" w:rsidRDefault="00EC4B7B" w:rsidP="00AF4CC2">
            <w:pPr>
              <w:spacing w:line="276" w:lineRule="auto"/>
              <w:jc w:val="center"/>
              <w:rPr>
                <w:sz w:val="20"/>
                <w:szCs w:val="20"/>
              </w:rPr>
            </w:pPr>
            <w:r w:rsidRPr="00CB2CB5">
              <w:rPr>
                <w:sz w:val="20"/>
                <w:szCs w:val="20"/>
              </w:rPr>
              <w:t>N/A</w:t>
            </w:r>
          </w:p>
        </w:tc>
        <w:tc>
          <w:tcPr>
            <w:tcW w:w="1440" w:type="dxa"/>
            <w:tcMar>
              <w:left w:w="58" w:type="dxa"/>
              <w:right w:w="58" w:type="dxa"/>
            </w:tcMar>
            <w:vAlign w:val="center"/>
          </w:tcPr>
          <w:p w14:paraId="26AA99D1" w14:textId="77777777" w:rsidR="00EC4B7B" w:rsidRPr="00CB2CB5" w:rsidRDefault="00EC4B7B" w:rsidP="00AF4CC2">
            <w:pPr>
              <w:spacing w:line="276" w:lineRule="auto"/>
              <w:jc w:val="center"/>
              <w:rPr>
                <w:sz w:val="20"/>
                <w:szCs w:val="20"/>
              </w:rPr>
            </w:pPr>
            <w:r w:rsidRPr="00CB2CB5">
              <w:rPr>
                <w:sz w:val="20"/>
                <w:szCs w:val="20"/>
              </w:rPr>
              <w:t>July 1980</w:t>
            </w:r>
          </w:p>
        </w:tc>
        <w:tc>
          <w:tcPr>
            <w:tcW w:w="1525" w:type="dxa"/>
            <w:tcMar>
              <w:left w:w="58" w:type="dxa"/>
              <w:right w:w="58" w:type="dxa"/>
            </w:tcMar>
            <w:vAlign w:val="center"/>
          </w:tcPr>
          <w:p w14:paraId="79DBBC91" w14:textId="77777777" w:rsidR="00EC4B7B" w:rsidRPr="00CB2CB5" w:rsidRDefault="00EC4B7B" w:rsidP="00AF4CC2">
            <w:pPr>
              <w:spacing w:line="276" w:lineRule="auto"/>
              <w:jc w:val="center"/>
              <w:rPr>
                <w:rFonts w:eastAsia="Times New Roman"/>
                <w:color w:val="FF0000"/>
                <w:sz w:val="20"/>
                <w:szCs w:val="20"/>
              </w:rPr>
            </w:pPr>
            <w:r w:rsidRPr="00CB2CB5">
              <w:rPr>
                <w:sz w:val="20"/>
                <w:szCs w:val="20"/>
              </w:rPr>
              <w:t>December 2030</w:t>
            </w:r>
          </w:p>
        </w:tc>
        <w:tc>
          <w:tcPr>
            <w:tcW w:w="1260" w:type="dxa"/>
            <w:vAlign w:val="center"/>
          </w:tcPr>
          <w:p w14:paraId="7DDDF81D" w14:textId="77777777" w:rsidR="00EC4B7B" w:rsidRPr="00CB2CB5" w:rsidRDefault="00EC4B7B" w:rsidP="00D77AE8">
            <w:pPr>
              <w:spacing w:line="276" w:lineRule="auto"/>
              <w:jc w:val="center"/>
              <w:rPr>
                <w:sz w:val="20"/>
                <w:szCs w:val="20"/>
              </w:rPr>
            </w:pPr>
            <w:r w:rsidRPr="00CB2CB5">
              <w:rPr>
                <w:sz w:val="20"/>
                <w:szCs w:val="20"/>
              </w:rPr>
              <w:t>50</w:t>
            </w:r>
          </w:p>
        </w:tc>
      </w:tr>
      <w:tr w:rsidR="00EC4B7B" w:rsidRPr="00CB2CB5" w14:paraId="7D14E952" w14:textId="77777777" w:rsidTr="00AF4CC2">
        <w:trPr>
          <w:cantSplit/>
          <w:jc w:val="center"/>
        </w:trPr>
        <w:tc>
          <w:tcPr>
            <w:tcW w:w="2065" w:type="dxa"/>
            <w:shd w:val="clear" w:color="auto" w:fill="auto"/>
            <w:tcMar>
              <w:left w:w="58" w:type="dxa"/>
              <w:right w:w="58" w:type="dxa"/>
            </w:tcMar>
            <w:vAlign w:val="center"/>
          </w:tcPr>
          <w:p w14:paraId="3EF153E4" w14:textId="56B6C973" w:rsidR="00EC4B7B" w:rsidRPr="00CB2CB5" w:rsidRDefault="00EC4B7B" w:rsidP="008759DE">
            <w:pPr>
              <w:spacing w:line="276" w:lineRule="auto"/>
              <w:rPr>
                <w:b/>
                <w:sz w:val="20"/>
                <w:szCs w:val="20"/>
                <w:u w:val="single"/>
              </w:rPr>
            </w:pPr>
            <w:r w:rsidRPr="00CB2CB5">
              <w:rPr>
                <w:b/>
                <w:sz w:val="20"/>
                <w:szCs w:val="20"/>
                <w:u w:val="single"/>
              </w:rPr>
              <w:t>EPE</w:t>
            </w:r>
            <w:r w:rsidR="00A604C4">
              <w:rPr>
                <w:b/>
                <w:sz w:val="20"/>
                <w:szCs w:val="20"/>
                <w:u w:val="single"/>
              </w:rPr>
              <w:t>-o</w:t>
            </w:r>
            <w:r w:rsidRPr="00CB2CB5">
              <w:rPr>
                <w:b/>
                <w:sz w:val="20"/>
                <w:szCs w:val="20"/>
                <w:u w:val="single"/>
              </w:rPr>
              <w:t>wned Solar</w:t>
            </w:r>
          </w:p>
          <w:p w14:paraId="4B2C21B4" w14:textId="7F9744BF" w:rsidR="00EC4B7B" w:rsidRPr="00CB2CB5" w:rsidRDefault="00A604C4" w:rsidP="008759DE">
            <w:pPr>
              <w:spacing w:line="276" w:lineRule="auto"/>
              <w:rPr>
                <w:sz w:val="20"/>
                <w:szCs w:val="20"/>
              </w:rPr>
            </w:pPr>
            <w:r>
              <w:rPr>
                <w:sz w:val="20"/>
                <w:szCs w:val="20"/>
              </w:rPr>
              <w:t xml:space="preserve">Texas </w:t>
            </w:r>
            <w:r w:rsidR="00EC4B7B" w:rsidRPr="00CB2CB5">
              <w:rPr>
                <w:sz w:val="20"/>
                <w:szCs w:val="20"/>
              </w:rPr>
              <w:t>Community Solar</w:t>
            </w:r>
          </w:p>
          <w:p w14:paraId="7715C1FE" w14:textId="7D1C7BDA" w:rsidR="00EC4B7B" w:rsidRPr="00CB2CB5" w:rsidRDefault="00EC4B7B" w:rsidP="008759DE">
            <w:pPr>
              <w:spacing w:line="276" w:lineRule="auto"/>
              <w:rPr>
                <w:sz w:val="20"/>
                <w:szCs w:val="20"/>
              </w:rPr>
            </w:pPr>
            <w:r w:rsidRPr="00CB2CB5">
              <w:rPr>
                <w:sz w:val="20"/>
                <w:szCs w:val="20"/>
              </w:rPr>
              <w:t>Holloman Solar</w:t>
            </w:r>
          </w:p>
          <w:p w14:paraId="18C011AE" w14:textId="77777777" w:rsidR="00EC4B7B" w:rsidRPr="00CB2CB5" w:rsidRDefault="00EC4B7B" w:rsidP="008759DE">
            <w:pPr>
              <w:spacing w:line="276" w:lineRule="auto"/>
              <w:rPr>
                <w:sz w:val="20"/>
                <w:szCs w:val="20"/>
              </w:rPr>
            </w:pPr>
            <w:r w:rsidRPr="00CB2CB5">
              <w:rPr>
                <w:sz w:val="20"/>
                <w:szCs w:val="20"/>
              </w:rPr>
              <w:t>Small Solar Systems</w:t>
            </w:r>
          </w:p>
        </w:tc>
        <w:tc>
          <w:tcPr>
            <w:tcW w:w="1170" w:type="dxa"/>
            <w:shd w:val="clear" w:color="auto" w:fill="auto"/>
            <w:tcMar>
              <w:left w:w="58" w:type="dxa"/>
              <w:right w:w="58" w:type="dxa"/>
            </w:tcMar>
            <w:vAlign w:val="center"/>
          </w:tcPr>
          <w:p w14:paraId="1B7302F9" w14:textId="77777777" w:rsidR="00EC4B7B" w:rsidRPr="00CB2CB5" w:rsidRDefault="00EC4B7B" w:rsidP="00AF4CC2">
            <w:pPr>
              <w:spacing w:line="276" w:lineRule="auto"/>
              <w:jc w:val="center"/>
              <w:rPr>
                <w:sz w:val="20"/>
                <w:szCs w:val="20"/>
              </w:rPr>
            </w:pPr>
            <w:r w:rsidRPr="00CB2CB5">
              <w:rPr>
                <w:sz w:val="20"/>
                <w:szCs w:val="20"/>
              </w:rPr>
              <w:t>EPE Service Territory</w:t>
            </w:r>
          </w:p>
        </w:tc>
        <w:tc>
          <w:tcPr>
            <w:tcW w:w="941" w:type="dxa"/>
            <w:shd w:val="clear" w:color="auto" w:fill="auto"/>
            <w:tcMar>
              <w:left w:w="58" w:type="dxa"/>
              <w:right w:w="58" w:type="dxa"/>
            </w:tcMar>
            <w:vAlign w:val="center"/>
          </w:tcPr>
          <w:p w14:paraId="7F713474" w14:textId="77777777" w:rsidR="00A604C4" w:rsidRDefault="00A604C4" w:rsidP="008759DE">
            <w:pPr>
              <w:spacing w:line="276" w:lineRule="auto"/>
              <w:jc w:val="center"/>
              <w:rPr>
                <w:sz w:val="20"/>
                <w:szCs w:val="20"/>
              </w:rPr>
            </w:pPr>
          </w:p>
          <w:p w14:paraId="2645DE3B" w14:textId="3AEBB450" w:rsidR="00EC4B7B" w:rsidRPr="00CB2CB5" w:rsidRDefault="00EC4B7B" w:rsidP="008759DE">
            <w:pPr>
              <w:spacing w:line="276" w:lineRule="auto"/>
              <w:jc w:val="center"/>
              <w:rPr>
                <w:sz w:val="20"/>
                <w:szCs w:val="20"/>
              </w:rPr>
            </w:pPr>
            <w:r w:rsidRPr="00CB2CB5">
              <w:rPr>
                <w:sz w:val="20"/>
                <w:szCs w:val="20"/>
              </w:rPr>
              <w:t>3</w:t>
            </w:r>
          </w:p>
          <w:p w14:paraId="616B33C1" w14:textId="77777777" w:rsidR="00EC4B7B" w:rsidRPr="00CB2CB5" w:rsidRDefault="00EC4B7B" w:rsidP="008759DE">
            <w:pPr>
              <w:spacing w:line="276" w:lineRule="auto"/>
              <w:jc w:val="center"/>
              <w:rPr>
                <w:sz w:val="20"/>
                <w:szCs w:val="20"/>
              </w:rPr>
            </w:pPr>
            <w:r w:rsidRPr="00CB2CB5">
              <w:rPr>
                <w:sz w:val="20"/>
                <w:szCs w:val="20"/>
              </w:rPr>
              <w:t>5</w:t>
            </w:r>
          </w:p>
          <w:p w14:paraId="68AD6766" w14:textId="754028DA" w:rsidR="00EC4B7B" w:rsidRPr="00CB2CB5" w:rsidRDefault="00EC4B7B" w:rsidP="008759DE">
            <w:pPr>
              <w:spacing w:line="276" w:lineRule="auto"/>
              <w:jc w:val="center"/>
              <w:rPr>
                <w:sz w:val="20"/>
                <w:szCs w:val="20"/>
              </w:rPr>
            </w:pPr>
            <w:r w:rsidRPr="00CB2CB5">
              <w:rPr>
                <w:sz w:val="20"/>
                <w:szCs w:val="20"/>
              </w:rPr>
              <w:t>&lt;</w:t>
            </w:r>
            <w:r w:rsidR="00D77AE8">
              <w:rPr>
                <w:sz w:val="20"/>
                <w:szCs w:val="20"/>
              </w:rPr>
              <w:t xml:space="preserve"> </w:t>
            </w:r>
            <w:r w:rsidRPr="00CB2CB5">
              <w:rPr>
                <w:sz w:val="20"/>
                <w:szCs w:val="20"/>
              </w:rPr>
              <w:t>1</w:t>
            </w:r>
          </w:p>
        </w:tc>
        <w:tc>
          <w:tcPr>
            <w:tcW w:w="1152" w:type="dxa"/>
            <w:shd w:val="clear" w:color="auto" w:fill="auto"/>
            <w:tcMar>
              <w:left w:w="58" w:type="dxa"/>
              <w:right w:w="58" w:type="dxa"/>
            </w:tcMar>
            <w:vAlign w:val="center"/>
          </w:tcPr>
          <w:p w14:paraId="5F64B0A9" w14:textId="77777777" w:rsidR="00EC4B7B" w:rsidRPr="00CB2CB5" w:rsidRDefault="00EC4B7B" w:rsidP="00AF4CC2">
            <w:pPr>
              <w:spacing w:line="276" w:lineRule="auto"/>
              <w:jc w:val="center"/>
              <w:rPr>
                <w:sz w:val="20"/>
                <w:szCs w:val="20"/>
              </w:rPr>
            </w:pPr>
            <w:r w:rsidRPr="00CB2CB5">
              <w:rPr>
                <w:sz w:val="20"/>
                <w:szCs w:val="20"/>
              </w:rPr>
              <w:t>N/A</w:t>
            </w:r>
          </w:p>
        </w:tc>
        <w:tc>
          <w:tcPr>
            <w:tcW w:w="1152" w:type="dxa"/>
            <w:shd w:val="clear" w:color="auto" w:fill="auto"/>
            <w:tcMar>
              <w:left w:w="58" w:type="dxa"/>
              <w:right w:w="58" w:type="dxa"/>
            </w:tcMar>
            <w:vAlign w:val="center"/>
          </w:tcPr>
          <w:p w14:paraId="34DA1FDB" w14:textId="77777777" w:rsidR="00EC4B7B" w:rsidRPr="00CB2CB5" w:rsidRDefault="00EC4B7B" w:rsidP="00AF4CC2">
            <w:pPr>
              <w:spacing w:line="276" w:lineRule="auto"/>
              <w:jc w:val="center"/>
              <w:rPr>
                <w:sz w:val="20"/>
                <w:szCs w:val="20"/>
              </w:rPr>
            </w:pPr>
            <w:r w:rsidRPr="00CB2CB5">
              <w:rPr>
                <w:sz w:val="20"/>
                <w:szCs w:val="20"/>
              </w:rPr>
              <w:t>N/A</w:t>
            </w:r>
          </w:p>
        </w:tc>
        <w:tc>
          <w:tcPr>
            <w:tcW w:w="1440" w:type="dxa"/>
            <w:shd w:val="clear" w:color="auto" w:fill="auto"/>
            <w:tcMar>
              <w:left w:w="58" w:type="dxa"/>
              <w:right w:w="58" w:type="dxa"/>
            </w:tcMar>
            <w:vAlign w:val="center"/>
          </w:tcPr>
          <w:p w14:paraId="2F04F3F2" w14:textId="77777777" w:rsidR="00EC4B7B" w:rsidRPr="00CB2CB5" w:rsidRDefault="00EC4B7B" w:rsidP="00AF4CC2">
            <w:pPr>
              <w:spacing w:line="276" w:lineRule="auto"/>
              <w:jc w:val="center"/>
              <w:rPr>
                <w:sz w:val="20"/>
                <w:szCs w:val="20"/>
              </w:rPr>
            </w:pPr>
            <w:r w:rsidRPr="00CB2CB5">
              <w:rPr>
                <w:sz w:val="20"/>
                <w:szCs w:val="20"/>
              </w:rPr>
              <w:t>May 2017</w:t>
            </w:r>
          </w:p>
          <w:p w14:paraId="6C0F4727" w14:textId="3D5B2C60" w:rsidR="00EC4B7B" w:rsidRPr="00CB2CB5" w:rsidRDefault="00D77AE8" w:rsidP="00AF4CC2">
            <w:pPr>
              <w:spacing w:line="276" w:lineRule="auto"/>
              <w:jc w:val="center"/>
              <w:rPr>
                <w:sz w:val="20"/>
                <w:szCs w:val="20"/>
              </w:rPr>
            </w:pPr>
            <w:r>
              <w:rPr>
                <w:sz w:val="20"/>
                <w:szCs w:val="20"/>
              </w:rPr>
              <w:t xml:space="preserve"> Oct </w:t>
            </w:r>
            <w:r w:rsidR="00EC4B7B" w:rsidRPr="00CB2CB5">
              <w:rPr>
                <w:sz w:val="20"/>
                <w:szCs w:val="20"/>
              </w:rPr>
              <w:t>2018</w:t>
            </w:r>
          </w:p>
          <w:p w14:paraId="2129A4DF" w14:textId="77777777" w:rsidR="00EC4B7B" w:rsidRPr="00CB2CB5" w:rsidRDefault="00EC4B7B" w:rsidP="00AF4CC2">
            <w:pPr>
              <w:spacing w:line="276" w:lineRule="auto"/>
              <w:jc w:val="center"/>
              <w:rPr>
                <w:sz w:val="20"/>
                <w:szCs w:val="20"/>
              </w:rPr>
            </w:pPr>
            <w:r w:rsidRPr="00CB2CB5">
              <w:rPr>
                <w:sz w:val="20"/>
                <w:szCs w:val="20"/>
              </w:rPr>
              <w:t>2009 – 2011</w:t>
            </w:r>
          </w:p>
        </w:tc>
        <w:tc>
          <w:tcPr>
            <w:tcW w:w="1525" w:type="dxa"/>
            <w:shd w:val="clear" w:color="auto" w:fill="auto"/>
            <w:tcMar>
              <w:left w:w="58" w:type="dxa"/>
              <w:right w:w="58" w:type="dxa"/>
            </w:tcMar>
            <w:vAlign w:val="center"/>
          </w:tcPr>
          <w:p w14:paraId="55A6C2AC" w14:textId="77777777" w:rsidR="00EC4B7B" w:rsidRPr="00CB2CB5" w:rsidRDefault="00EC4B7B" w:rsidP="00AF4CC2">
            <w:pPr>
              <w:spacing w:line="276" w:lineRule="auto"/>
              <w:jc w:val="center"/>
              <w:rPr>
                <w:sz w:val="20"/>
                <w:szCs w:val="20"/>
              </w:rPr>
            </w:pPr>
            <w:r w:rsidRPr="00CB2CB5">
              <w:rPr>
                <w:sz w:val="20"/>
                <w:szCs w:val="20"/>
              </w:rPr>
              <w:t>May 2047</w:t>
            </w:r>
          </w:p>
          <w:p w14:paraId="79871B25" w14:textId="6DC240CE" w:rsidR="00EC4B7B" w:rsidRPr="00CB2CB5" w:rsidRDefault="00D77AE8" w:rsidP="00AF4CC2">
            <w:pPr>
              <w:spacing w:line="276" w:lineRule="auto"/>
              <w:jc w:val="center"/>
              <w:rPr>
                <w:sz w:val="20"/>
                <w:szCs w:val="20"/>
              </w:rPr>
            </w:pPr>
            <w:r>
              <w:rPr>
                <w:sz w:val="20"/>
                <w:szCs w:val="20"/>
              </w:rPr>
              <w:t>Oct</w:t>
            </w:r>
            <w:r w:rsidR="00EC4B7B" w:rsidRPr="00CB2CB5">
              <w:rPr>
                <w:sz w:val="20"/>
                <w:szCs w:val="20"/>
              </w:rPr>
              <w:t xml:space="preserve"> 2048</w:t>
            </w:r>
          </w:p>
          <w:p w14:paraId="4F295267" w14:textId="77777777" w:rsidR="00EC4B7B" w:rsidRPr="00CB2CB5" w:rsidRDefault="00EC4B7B" w:rsidP="00AF4CC2">
            <w:pPr>
              <w:spacing w:line="276" w:lineRule="auto"/>
              <w:jc w:val="center"/>
              <w:rPr>
                <w:sz w:val="20"/>
                <w:szCs w:val="20"/>
              </w:rPr>
            </w:pPr>
            <w:r w:rsidRPr="00CB2CB5">
              <w:rPr>
                <w:sz w:val="20"/>
                <w:szCs w:val="20"/>
              </w:rPr>
              <w:t>2029 – 2032</w:t>
            </w:r>
          </w:p>
        </w:tc>
        <w:tc>
          <w:tcPr>
            <w:tcW w:w="1260" w:type="dxa"/>
            <w:vAlign w:val="center"/>
          </w:tcPr>
          <w:p w14:paraId="7F4B0BE9" w14:textId="77777777" w:rsidR="00EC4B7B" w:rsidRPr="00CB2CB5" w:rsidRDefault="00F66C68" w:rsidP="00D77AE8">
            <w:pPr>
              <w:spacing w:line="276" w:lineRule="auto"/>
              <w:jc w:val="center"/>
              <w:rPr>
                <w:sz w:val="20"/>
                <w:szCs w:val="20"/>
              </w:rPr>
            </w:pPr>
            <w:r w:rsidRPr="00CB2CB5">
              <w:rPr>
                <w:sz w:val="20"/>
                <w:szCs w:val="20"/>
              </w:rPr>
              <w:t>Various</w:t>
            </w:r>
          </w:p>
        </w:tc>
      </w:tr>
      <w:bookmarkEnd w:id="13"/>
    </w:tbl>
    <w:p w14:paraId="2647DC69" w14:textId="69B919E7" w:rsidR="002E09F5" w:rsidRDefault="002E09F5" w:rsidP="008759DE">
      <w:pPr>
        <w:pStyle w:val="ListParagraph"/>
        <w:widowControl w:val="0"/>
        <w:tabs>
          <w:tab w:val="left" w:pos="720"/>
        </w:tabs>
        <w:spacing w:before="40" w:after="0" w:line="276" w:lineRule="auto"/>
        <w:ind w:left="0"/>
        <w:contextualSpacing w:val="0"/>
        <w:jc w:val="both"/>
        <w:rPr>
          <w:rFonts w:ascii="Times New Roman" w:hAnsi="Times New Roman"/>
          <w:sz w:val="18"/>
        </w:rPr>
      </w:pPr>
    </w:p>
    <w:p w14:paraId="7D239406" w14:textId="58F2939A" w:rsidR="00E14F9E" w:rsidRDefault="00E14F9E" w:rsidP="008759DE">
      <w:pPr>
        <w:pStyle w:val="ListParagraph"/>
        <w:widowControl w:val="0"/>
        <w:tabs>
          <w:tab w:val="left" w:pos="720"/>
        </w:tabs>
        <w:spacing w:before="40" w:after="0" w:line="276" w:lineRule="auto"/>
        <w:ind w:left="0"/>
        <w:contextualSpacing w:val="0"/>
        <w:jc w:val="both"/>
        <w:rPr>
          <w:rFonts w:ascii="Times New Roman" w:hAnsi="Times New Roman"/>
          <w:sz w:val="18"/>
        </w:rPr>
      </w:pPr>
    </w:p>
    <w:p w14:paraId="6D156AA9" w14:textId="5729CB66" w:rsidR="00E14F9E" w:rsidRPr="00E14F9E" w:rsidRDefault="00E14F9E" w:rsidP="00AF4CC2">
      <w:pPr>
        <w:pStyle w:val="ListParagraph"/>
        <w:widowControl w:val="0"/>
        <w:numPr>
          <w:ilvl w:val="0"/>
          <w:numId w:val="135"/>
        </w:numPr>
        <w:tabs>
          <w:tab w:val="left" w:pos="720"/>
        </w:tabs>
        <w:spacing w:before="40" w:after="0" w:line="276" w:lineRule="auto"/>
        <w:contextualSpacing w:val="0"/>
        <w:jc w:val="both"/>
        <w:rPr>
          <w:rFonts w:ascii="Times New Roman" w:hAnsi="Times New Roman"/>
          <w:sz w:val="18"/>
        </w:rPr>
      </w:pPr>
      <w:r w:rsidRPr="00E14F9E">
        <w:rPr>
          <w:rFonts w:ascii="Times New Roman" w:hAnsi="Times New Roman"/>
          <w:sz w:val="18"/>
        </w:rPr>
        <w:t>R</w:t>
      </w:r>
      <w:r w:rsidRPr="00AF4CC2">
        <w:rPr>
          <w:rFonts w:ascii="Times New Roman" w:hAnsi="Times New Roman"/>
          <w:sz w:val="18"/>
          <w:szCs w:val="18"/>
        </w:rPr>
        <w:t xml:space="preserve">io Grande Unit 6 is </w:t>
      </w:r>
      <w:r w:rsidR="00A0546A">
        <w:rPr>
          <w:rFonts w:ascii="Times New Roman" w:hAnsi="Times New Roman"/>
          <w:sz w:val="18"/>
          <w:szCs w:val="18"/>
        </w:rPr>
        <w:t>subject to a</w:t>
      </w:r>
      <w:r w:rsidR="006362AE">
        <w:rPr>
          <w:rFonts w:ascii="Times New Roman" w:hAnsi="Times New Roman"/>
          <w:sz w:val="18"/>
          <w:szCs w:val="18"/>
        </w:rPr>
        <w:t xml:space="preserve"> </w:t>
      </w:r>
      <w:r w:rsidR="00A0546A">
        <w:rPr>
          <w:rFonts w:ascii="Times New Roman" w:hAnsi="Times New Roman"/>
          <w:sz w:val="18"/>
          <w:szCs w:val="18"/>
        </w:rPr>
        <w:t>pending abandonment</w:t>
      </w:r>
      <w:r w:rsidR="006362AE">
        <w:rPr>
          <w:rFonts w:ascii="Times New Roman" w:hAnsi="Times New Roman"/>
          <w:sz w:val="18"/>
          <w:szCs w:val="18"/>
        </w:rPr>
        <w:t xml:space="preserve"> proceeding</w:t>
      </w:r>
      <w:r w:rsidR="00A0546A">
        <w:rPr>
          <w:rFonts w:ascii="Times New Roman" w:hAnsi="Times New Roman"/>
          <w:sz w:val="18"/>
          <w:szCs w:val="18"/>
        </w:rPr>
        <w:t xml:space="preserve"> in Case No. 20-00194-UT.</w:t>
      </w:r>
    </w:p>
    <w:p w14:paraId="2DDF7818" w14:textId="77777777" w:rsidR="003C0EF8" w:rsidRPr="00CB2CB5" w:rsidRDefault="003C0EF8" w:rsidP="008759DE">
      <w:pPr>
        <w:pStyle w:val="Heading3"/>
        <w:spacing w:line="276" w:lineRule="auto"/>
        <w:ind w:left="1440"/>
        <w:rPr>
          <w:rFonts w:eastAsia="Times New Roman"/>
        </w:rPr>
      </w:pPr>
      <w:bookmarkStart w:id="14" w:name="_Toc534190294"/>
      <w:r w:rsidRPr="00CB2CB5">
        <w:rPr>
          <w:rFonts w:eastAsia="Times New Roman"/>
        </w:rPr>
        <w:lastRenderedPageBreak/>
        <w:t>Purchased Power Agreements</w:t>
      </w:r>
      <w:bookmarkEnd w:id="14"/>
      <w:r w:rsidRPr="00CB2CB5">
        <w:rPr>
          <w:rFonts w:eastAsia="Times New Roman"/>
        </w:rPr>
        <w:t xml:space="preserve"> </w:t>
      </w:r>
    </w:p>
    <w:p w14:paraId="710F0349" w14:textId="77777777" w:rsidR="002E09F5" w:rsidRPr="00CB2CB5" w:rsidRDefault="002E09F5" w:rsidP="008759DE">
      <w:pPr>
        <w:pStyle w:val="ListParagraph"/>
        <w:keepNext/>
        <w:keepLines/>
        <w:tabs>
          <w:tab w:val="left" w:pos="1620"/>
        </w:tabs>
        <w:spacing w:after="0" w:line="276" w:lineRule="auto"/>
        <w:ind w:left="1080"/>
        <w:contextualSpacing w:val="0"/>
        <w:jc w:val="both"/>
        <w:rPr>
          <w:rFonts w:ascii="Times New Roman" w:eastAsia="Times New Roman" w:hAnsi="Times New Roman"/>
          <w:sz w:val="24"/>
        </w:rPr>
      </w:pPr>
    </w:p>
    <w:p w14:paraId="67FE0E2A" w14:textId="328E8F22" w:rsidR="002E09F5" w:rsidRPr="00CB2CB5" w:rsidRDefault="002E09F5" w:rsidP="008759DE">
      <w:pPr>
        <w:pStyle w:val="ListParagraph"/>
        <w:keepNext/>
        <w:keepLines/>
        <w:tabs>
          <w:tab w:val="left" w:pos="1620"/>
        </w:tabs>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In addition to relying on its own generating facilities, EPE also relies on resources acquired from wholesale suppliers or other sources.  The current </w:t>
      </w:r>
      <w:r w:rsidR="00953D30" w:rsidRPr="00CB2CB5">
        <w:rPr>
          <w:rFonts w:ascii="Times New Roman" w:eastAsia="Times New Roman" w:hAnsi="Times New Roman"/>
          <w:sz w:val="24"/>
        </w:rPr>
        <w:t>long</w:t>
      </w:r>
      <w:r w:rsidR="00D77AE8">
        <w:rPr>
          <w:rFonts w:ascii="Times New Roman" w:eastAsia="Times New Roman" w:hAnsi="Times New Roman"/>
          <w:sz w:val="24"/>
        </w:rPr>
        <w:t>-</w:t>
      </w:r>
      <w:r w:rsidR="00953D30" w:rsidRPr="00CB2CB5">
        <w:rPr>
          <w:rFonts w:ascii="Times New Roman" w:eastAsia="Times New Roman" w:hAnsi="Times New Roman"/>
          <w:sz w:val="24"/>
        </w:rPr>
        <w:t xml:space="preserve">term </w:t>
      </w:r>
      <w:r w:rsidRPr="00CB2CB5">
        <w:rPr>
          <w:rFonts w:ascii="Times New Roman" w:eastAsia="Times New Roman" w:hAnsi="Times New Roman"/>
          <w:sz w:val="24"/>
        </w:rPr>
        <w:t xml:space="preserve">PPAs that EPE has in place </w:t>
      </w:r>
      <w:r w:rsidR="00960592" w:rsidRPr="00CB2CB5">
        <w:rPr>
          <w:rFonts w:ascii="Times New Roman" w:eastAsia="Times New Roman" w:hAnsi="Times New Roman"/>
          <w:sz w:val="24"/>
        </w:rPr>
        <w:t xml:space="preserve">to serve its </w:t>
      </w:r>
      <w:r w:rsidR="00BC7AA0" w:rsidRPr="00CB2CB5">
        <w:rPr>
          <w:rFonts w:ascii="Times New Roman" w:eastAsia="Times New Roman" w:hAnsi="Times New Roman"/>
          <w:sz w:val="24"/>
        </w:rPr>
        <w:t>customers</w:t>
      </w:r>
      <w:r w:rsidR="00953D30" w:rsidRPr="00CB2CB5">
        <w:rPr>
          <w:rFonts w:ascii="Times New Roman" w:eastAsia="Times New Roman" w:hAnsi="Times New Roman"/>
          <w:sz w:val="24"/>
        </w:rPr>
        <w:t xml:space="preserve"> </w:t>
      </w:r>
      <w:r w:rsidR="00960592" w:rsidRPr="00CB2CB5">
        <w:rPr>
          <w:rFonts w:ascii="Times New Roman" w:eastAsia="Times New Roman" w:hAnsi="Times New Roman"/>
          <w:sz w:val="24"/>
        </w:rPr>
        <w:t>are listed in Table </w:t>
      </w:r>
      <w:r w:rsidR="00B415AA">
        <w:rPr>
          <w:rFonts w:ascii="Times New Roman" w:eastAsia="Times New Roman" w:hAnsi="Times New Roman"/>
          <w:sz w:val="24"/>
        </w:rPr>
        <w:t>2</w:t>
      </w:r>
      <w:r w:rsidR="00B415AA" w:rsidRPr="00CB2CB5">
        <w:rPr>
          <w:rFonts w:ascii="Times New Roman" w:eastAsia="Times New Roman" w:hAnsi="Times New Roman"/>
          <w:sz w:val="24"/>
        </w:rPr>
        <w:t xml:space="preserve"> </w:t>
      </w:r>
      <w:r w:rsidRPr="00CB2CB5">
        <w:rPr>
          <w:rFonts w:ascii="Times New Roman" w:eastAsia="Times New Roman" w:hAnsi="Times New Roman"/>
          <w:sz w:val="24"/>
        </w:rPr>
        <w:t>below:</w:t>
      </w:r>
    </w:p>
    <w:p w14:paraId="18724AD6" w14:textId="77777777" w:rsidR="00DF1273" w:rsidRPr="00CB2CB5" w:rsidRDefault="00DF1273" w:rsidP="008759DE">
      <w:pPr>
        <w:pStyle w:val="ListParagraph"/>
        <w:keepNext/>
        <w:keepLines/>
        <w:tabs>
          <w:tab w:val="left" w:pos="1620"/>
        </w:tabs>
        <w:spacing w:after="0" w:line="276" w:lineRule="auto"/>
        <w:ind w:left="1080"/>
        <w:contextualSpacing w:val="0"/>
        <w:jc w:val="both"/>
        <w:rPr>
          <w:rFonts w:ascii="Times New Roman" w:eastAsia="Times New Roman" w:hAnsi="Times New Roman"/>
          <w:sz w:val="24"/>
        </w:rPr>
      </w:pPr>
    </w:p>
    <w:p w14:paraId="73ADA498" w14:textId="4A462ADC" w:rsidR="00C7724E" w:rsidRPr="00CB2CB5" w:rsidRDefault="00AC4F8C" w:rsidP="008759DE">
      <w:pPr>
        <w:pStyle w:val="Caption"/>
        <w:keepNext/>
        <w:spacing w:line="276" w:lineRule="auto"/>
        <w:jc w:val="center"/>
      </w:pPr>
      <w:bookmarkStart w:id="15" w:name="_Toc534193081"/>
      <w:r w:rsidRPr="00CB2CB5">
        <w:t>Table</w:t>
      </w:r>
      <w:r w:rsidR="00C7724E" w:rsidRPr="00CB2CB5">
        <w:t xml:space="preserve"> </w:t>
      </w:r>
      <w:r w:rsidR="00961314">
        <w:rPr>
          <w:noProof/>
        </w:rPr>
        <w:t>2</w:t>
      </w:r>
      <w:r w:rsidR="00C7724E" w:rsidRPr="00CB2CB5">
        <w:t xml:space="preserve"> </w:t>
      </w:r>
      <w:r w:rsidR="005065DF" w:rsidRPr="00CB2CB5">
        <w:t>–</w:t>
      </w:r>
      <w:r w:rsidR="00C7724E" w:rsidRPr="00CB2CB5">
        <w:t xml:space="preserve"> EPE Existing </w:t>
      </w:r>
      <w:r w:rsidRPr="00CB2CB5">
        <w:t xml:space="preserve">Renewable </w:t>
      </w:r>
      <w:r w:rsidR="00C7724E" w:rsidRPr="00CB2CB5">
        <w:t xml:space="preserve">Generation </w:t>
      </w:r>
      <w:r w:rsidRPr="00CB2CB5">
        <w:t>Resources</w:t>
      </w:r>
      <w:bookmarkEnd w:id="15"/>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978"/>
        <w:gridCol w:w="1082"/>
        <w:gridCol w:w="1530"/>
        <w:gridCol w:w="1079"/>
      </w:tblGrid>
      <w:tr w:rsidR="00A92D54" w:rsidRPr="00CB2CB5" w14:paraId="070ACBAD" w14:textId="77777777" w:rsidTr="00A92D54">
        <w:trPr>
          <w:cantSplit/>
          <w:trHeight w:val="827"/>
          <w:jc w:val="right"/>
        </w:trPr>
        <w:tc>
          <w:tcPr>
            <w:tcW w:w="3240" w:type="dxa"/>
            <w:shd w:val="clear" w:color="auto" w:fill="D9D9D9" w:themeFill="background1" w:themeFillShade="D9"/>
            <w:vAlign w:val="bottom"/>
          </w:tcPr>
          <w:p w14:paraId="6790458A" w14:textId="77777777" w:rsidR="00A92D54" w:rsidRPr="00CB2CB5" w:rsidRDefault="00A92D54" w:rsidP="008759DE">
            <w:pPr>
              <w:keepNext/>
              <w:keepLines/>
              <w:spacing w:line="276" w:lineRule="auto"/>
              <w:jc w:val="center"/>
              <w:rPr>
                <w:b/>
                <w:sz w:val="20"/>
                <w:szCs w:val="20"/>
              </w:rPr>
            </w:pPr>
            <w:r w:rsidRPr="00CB2CB5">
              <w:rPr>
                <w:b/>
                <w:sz w:val="20"/>
                <w:szCs w:val="20"/>
              </w:rPr>
              <w:t>Purchase Power Agreement</w:t>
            </w:r>
          </w:p>
        </w:tc>
        <w:tc>
          <w:tcPr>
            <w:tcW w:w="1978" w:type="dxa"/>
            <w:shd w:val="clear" w:color="auto" w:fill="D9D9D9" w:themeFill="background1" w:themeFillShade="D9"/>
            <w:vAlign w:val="bottom"/>
          </w:tcPr>
          <w:p w14:paraId="24C8B5BF" w14:textId="77777777" w:rsidR="00A92D54" w:rsidRPr="00CB2CB5" w:rsidRDefault="00A92D54" w:rsidP="008759DE">
            <w:pPr>
              <w:keepNext/>
              <w:keepLines/>
              <w:spacing w:line="276" w:lineRule="auto"/>
              <w:jc w:val="center"/>
              <w:rPr>
                <w:b/>
                <w:sz w:val="20"/>
                <w:szCs w:val="20"/>
              </w:rPr>
            </w:pPr>
            <w:r w:rsidRPr="00CB2CB5">
              <w:rPr>
                <w:b/>
                <w:sz w:val="20"/>
                <w:szCs w:val="20"/>
              </w:rPr>
              <w:t>Location</w:t>
            </w:r>
          </w:p>
        </w:tc>
        <w:tc>
          <w:tcPr>
            <w:tcW w:w="1082" w:type="dxa"/>
            <w:shd w:val="clear" w:color="auto" w:fill="D9D9D9" w:themeFill="background1" w:themeFillShade="D9"/>
            <w:vAlign w:val="bottom"/>
          </w:tcPr>
          <w:p w14:paraId="42F12878" w14:textId="77777777" w:rsidR="00A92D54" w:rsidRPr="00CB2CB5" w:rsidRDefault="00A92D54" w:rsidP="008759DE">
            <w:pPr>
              <w:keepNext/>
              <w:keepLines/>
              <w:spacing w:line="276" w:lineRule="auto"/>
              <w:jc w:val="center"/>
              <w:rPr>
                <w:b/>
                <w:sz w:val="20"/>
                <w:szCs w:val="20"/>
              </w:rPr>
            </w:pPr>
            <w:r w:rsidRPr="00CB2CB5">
              <w:rPr>
                <w:b/>
                <w:sz w:val="20"/>
                <w:szCs w:val="20"/>
              </w:rPr>
              <w:t>Nominal Capacity (MW)</w:t>
            </w:r>
          </w:p>
        </w:tc>
        <w:tc>
          <w:tcPr>
            <w:tcW w:w="1530" w:type="dxa"/>
            <w:shd w:val="clear" w:color="auto" w:fill="D9D9D9" w:themeFill="background1" w:themeFillShade="D9"/>
            <w:vAlign w:val="bottom"/>
          </w:tcPr>
          <w:p w14:paraId="38AA5365" w14:textId="77777777" w:rsidR="00A92D54" w:rsidRPr="00CB2CB5" w:rsidRDefault="00A92D54" w:rsidP="008759DE">
            <w:pPr>
              <w:keepNext/>
              <w:keepLines/>
              <w:spacing w:line="276" w:lineRule="auto"/>
              <w:jc w:val="center"/>
              <w:rPr>
                <w:b/>
                <w:sz w:val="20"/>
                <w:szCs w:val="20"/>
              </w:rPr>
            </w:pPr>
            <w:r w:rsidRPr="00CB2CB5">
              <w:rPr>
                <w:b/>
                <w:sz w:val="20"/>
                <w:szCs w:val="20"/>
              </w:rPr>
              <w:t>In-Service</w:t>
            </w:r>
          </w:p>
          <w:p w14:paraId="794E0E53" w14:textId="77777777" w:rsidR="00A92D54" w:rsidRPr="00CB2CB5" w:rsidRDefault="00A92D54" w:rsidP="008759DE">
            <w:pPr>
              <w:keepNext/>
              <w:keepLines/>
              <w:spacing w:line="276" w:lineRule="auto"/>
              <w:jc w:val="center"/>
              <w:rPr>
                <w:b/>
                <w:sz w:val="20"/>
                <w:szCs w:val="20"/>
              </w:rPr>
            </w:pPr>
            <w:r w:rsidRPr="00CB2CB5">
              <w:rPr>
                <w:b/>
                <w:sz w:val="20"/>
                <w:szCs w:val="20"/>
              </w:rPr>
              <w:t>Date</w:t>
            </w:r>
          </w:p>
        </w:tc>
        <w:tc>
          <w:tcPr>
            <w:tcW w:w="1079" w:type="dxa"/>
            <w:shd w:val="clear" w:color="auto" w:fill="D9D9D9" w:themeFill="background1" w:themeFillShade="D9"/>
            <w:vAlign w:val="bottom"/>
          </w:tcPr>
          <w:p w14:paraId="42886EAD" w14:textId="77777777" w:rsidR="00A92D54" w:rsidRPr="00CB2CB5" w:rsidRDefault="00A92D54" w:rsidP="008759DE">
            <w:pPr>
              <w:keepNext/>
              <w:keepLines/>
              <w:spacing w:line="276" w:lineRule="auto"/>
              <w:jc w:val="center"/>
              <w:rPr>
                <w:b/>
                <w:sz w:val="20"/>
                <w:szCs w:val="20"/>
              </w:rPr>
            </w:pPr>
            <w:r w:rsidRPr="00CB2CB5">
              <w:rPr>
                <w:b/>
                <w:sz w:val="20"/>
                <w:szCs w:val="20"/>
              </w:rPr>
              <w:t>Term</w:t>
            </w:r>
          </w:p>
        </w:tc>
      </w:tr>
      <w:tr w:rsidR="00A92D54" w:rsidRPr="00CB2CB5" w14:paraId="04D49454" w14:textId="77777777" w:rsidTr="00A92D54">
        <w:trPr>
          <w:cantSplit/>
          <w:trHeight w:val="331"/>
          <w:jc w:val="right"/>
        </w:trPr>
        <w:tc>
          <w:tcPr>
            <w:tcW w:w="3240" w:type="dxa"/>
            <w:vAlign w:val="center"/>
          </w:tcPr>
          <w:p w14:paraId="443463BF" w14:textId="77777777" w:rsidR="00A92D54" w:rsidRPr="00CB2CB5" w:rsidRDefault="00A92D54" w:rsidP="008759DE">
            <w:pPr>
              <w:keepNext/>
              <w:keepLines/>
              <w:spacing w:line="276" w:lineRule="auto"/>
              <w:jc w:val="left"/>
              <w:rPr>
                <w:sz w:val="20"/>
                <w:szCs w:val="20"/>
              </w:rPr>
            </w:pPr>
            <w:r w:rsidRPr="00CB2CB5">
              <w:rPr>
                <w:sz w:val="20"/>
                <w:szCs w:val="20"/>
              </w:rPr>
              <w:t>NRG Solar Roadrunner LLC</w:t>
            </w:r>
            <w:r w:rsidR="00F07A35" w:rsidRPr="00CB2CB5">
              <w:rPr>
                <w:sz w:val="20"/>
                <w:szCs w:val="20"/>
              </w:rPr>
              <w:t xml:space="preserve"> (</w:t>
            </w:r>
            <w:r w:rsidR="00B81EE4" w:rsidRPr="00CB2CB5">
              <w:rPr>
                <w:sz w:val="20"/>
                <w:szCs w:val="20"/>
              </w:rPr>
              <w:t>"</w:t>
            </w:r>
            <w:r w:rsidR="00F07A35" w:rsidRPr="00CB2CB5">
              <w:rPr>
                <w:sz w:val="20"/>
                <w:szCs w:val="20"/>
              </w:rPr>
              <w:t>NRG</w:t>
            </w:r>
            <w:r w:rsidR="00B81EE4" w:rsidRPr="00CB2CB5">
              <w:rPr>
                <w:sz w:val="20"/>
                <w:szCs w:val="20"/>
              </w:rPr>
              <w:t>"</w:t>
            </w:r>
            <w:r w:rsidR="00F07A35" w:rsidRPr="00CB2CB5">
              <w:rPr>
                <w:sz w:val="20"/>
                <w:szCs w:val="20"/>
              </w:rPr>
              <w:t>)</w:t>
            </w:r>
          </w:p>
        </w:tc>
        <w:tc>
          <w:tcPr>
            <w:tcW w:w="1978" w:type="dxa"/>
            <w:vAlign w:val="center"/>
          </w:tcPr>
          <w:p w14:paraId="28E35D32" w14:textId="77777777" w:rsidR="00A92D54" w:rsidRPr="00CB2CB5" w:rsidRDefault="00A92D54" w:rsidP="008759DE">
            <w:pPr>
              <w:keepNext/>
              <w:keepLines/>
              <w:spacing w:line="276" w:lineRule="auto"/>
              <w:jc w:val="center"/>
              <w:rPr>
                <w:sz w:val="20"/>
                <w:szCs w:val="20"/>
              </w:rPr>
            </w:pPr>
            <w:r w:rsidRPr="00CB2CB5">
              <w:rPr>
                <w:sz w:val="20"/>
                <w:szCs w:val="20"/>
              </w:rPr>
              <w:t>Santa Teresa, NM</w:t>
            </w:r>
          </w:p>
        </w:tc>
        <w:tc>
          <w:tcPr>
            <w:tcW w:w="1082" w:type="dxa"/>
            <w:vAlign w:val="center"/>
          </w:tcPr>
          <w:p w14:paraId="357B1398" w14:textId="77777777" w:rsidR="00A92D54" w:rsidRPr="00CB2CB5" w:rsidRDefault="00A92D54" w:rsidP="008759DE">
            <w:pPr>
              <w:keepNext/>
              <w:keepLines/>
              <w:spacing w:line="276" w:lineRule="auto"/>
              <w:jc w:val="center"/>
              <w:rPr>
                <w:sz w:val="20"/>
                <w:szCs w:val="20"/>
              </w:rPr>
            </w:pPr>
            <w:r w:rsidRPr="00CB2CB5">
              <w:rPr>
                <w:sz w:val="20"/>
                <w:szCs w:val="20"/>
              </w:rPr>
              <w:t>20</w:t>
            </w:r>
          </w:p>
        </w:tc>
        <w:tc>
          <w:tcPr>
            <w:tcW w:w="1530" w:type="dxa"/>
            <w:vAlign w:val="center"/>
          </w:tcPr>
          <w:p w14:paraId="4DAB6C2F" w14:textId="77777777" w:rsidR="00A92D54" w:rsidRPr="00CB2CB5" w:rsidRDefault="00A92D54" w:rsidP="008759DE">
            <w:pPr>
              <w:keepNext/>
              <w:keepLines/>
              <w:spacing w:line="276" w:lineRule="auto"/>
              <w:jc w:val="center"/>
              <w:rPr>
                <w:sz w:val="20"/>
                <w:szCs w:val="20"/>
              </w:rPr>
            </w:pPr>
            <w:r w:rsidRPr="00CB2CB5">
              <w:rPr>
                <w:sz w:val="20"/>
                <w:szCs w:val="20"/>
              </w:rPr>
              <w:t>August 2011</w:t>
            </w:r>
          </w:p>
        </w:tc>
        <w:tc>
          <w:tcPr>
            <w:tcW w:w="1079" w:type="dxa"/>
            <w:vAlign w:val="center"/>
          </w:tcPr>
          <w:p w14:paraId="4462293B" w14:textId="77777777" w:rsidR="00A92D54" w:rsidRPr="00CB2CB5" w:rsidRDefault="00A92D54" w:rsidP="008759DE">
            <w:pPr>
              <w:keepNext/>
              <w:keepLines/>
              <w:spacing w:line="276" w:lineRule="auto"/>
              <w:jc w:val="center"/>
              <w:rPr>
                <w:sz w:val="20"/>
                <w:szCs w:val="20"/>
              </w:rPr>
            </w:pPr>
            <w:r w:rsidRPr="00CB2CB5">
              <w:rPr>
                <w:sz w:val="20"/>
                <w:szCs w:val="20"/>
              </w:rPr>
              <w:t>20 years</w:t>
            </w:r>
          </w:p>
        </w:tc>
      </w:tr>
      <w:tr w:rsidR="00ED3154" w:rsidRPr="00CB2CB5" w14:paraId="38F11111" w14:textId="77777777" w:rsidTr="00A92D54">
        <w:trPr>
          <w:cantSplit/>
          <w:trHeight w:val="331"/>
          <w:jc w:val="right"/>
        </w:trPr>
        <w:tc>
          <w:tcPr>
            <w:tcW w:w="3240" w:type="dxa"/>
            <w:vAlign w:val="center"/>
          </w:tcPr>
          <w:p w14:paraId="6A4B1076" w14:textId="586059D9" w:rsidR="00ED3154" w:rsidRPr="00CB2CB5" w:rsidRDefault="00ED3154" w:rsidP="008759DE">
            <w:pPr>
              <w:keepNext/>
              <w:keepLines/>
              <w:spacing w:line="276" w:lineRule="auto"/>
              <w:jc w:val="left"/>
              <w:rPr>
                <w:sz w:val="20"/>
                <w:szCs w:val="20"/>
              </w:rPr>
            </w:pPr>
            <w:r w:rsidRPr="00CB2CB5">
              <w:rPr>
                <w:sz w:val="20"/>
                <w:szCs w:val="20"/>
              </w:rPr>
              <w:t>Hatch Solar Energy Center I, LLC ("Hatch")</w:t>
            </w:r>
          </w:p>
        </w:tc>
        <w:tc>
          <w:tcPr>
            <w:tcW w:w="1978" w:type="dxa"/>
            <w:vAlign w:val="center"/>
          </w:tcPr>
          <w:p w14:paraId="5CC376AD" w14:textId="0363B9E5" w:rsidR="00ED3154" w:rsidRPr="00CB2CB5" w:rsidRDefault="00ED3154" w:rsidP="008759DE">
            <w:pPr>
              <w:keepNext/>
              <w:keepLines/>
              <w:spacing w:line="276" w:lineRule="auto"/>
              <w:jc w:val="center"/>
              <w:rPr>
                <w:sz w:val="20"/>
                <w:szCs w:val="20"/>
              </w:rPr>
            </w:pPr>
            <w:r w:rsidRPr="00CB2CB5">
              <w:rPr>
                <w:sz w:val="20"/>
                <w:szCs w:val="20"/>
              </w:rPr>
              <w:t>Hatch, NM</w:t>
            </w:r>
          </w:p>
        </w:tc>
        <w:tc>
          <w:tcPr>
            <w:tcW w:w="1082" w:type="dxa"/>
            <w:vAlign w:val="center"/>
          </w:tcPr>
          <w:p w14:paraId="51ACB5B2" w14:textId="23DF346D" w:rsidR="00ED3154" w:rsidRPr="00CB2CB5" w:rsidRDefault="00ED3154" w:rsidP="008759DE">
            <w:pPr>
              <w:keepNext/>
              <w:keepLines/>
              <w:spacing w:line="276" w:lineRule="auto"/>
              <w:jc w:val="center"/>
              <w:rPr>
                <w:rFonts w:eastAsia="Times New Roman"/>
                <w:color w:val="FF0000"/>
                <w:sz w:val="20"/>
                <w:szCs w:val="20"/>
              </w:rPr>
            </w:pPr>
            <w:r w:rsidRPr="00CB2CB5">
              <w:rPr>
                <w:sz w:val="20"/>
                <w:szCs w:val="20"/>
              </w:rPr>
              <w:t>5</w:t>
            </w:r>
          </w:p>
        </w:tc>
        <w:tc>
          <w:tcPr>
            <w:tcW w:w="1530" w:type="dxa"/>
            <w:vAlign w:val="center"/>
          </w:tcPr>
          <w:p w14:paraId="69C34840" w14:textId="44EAEFD9" w:rsidR="00ED3154" w:rsidRPr="00CB2CB5" w:rsidRDefault="00ED3154" w:rsidP="008759DE">
            <w:pPr>
              <w:keepNext/>
              <w:keepLines/>
              <w:spacing w:line="276" w:lineRule="auto"/>
              <w:jc w:val="center"/>
              <w:rPr>
                <w:rFonts w:eastAsia="Times New Roman"/>
                <w:color w:val="FF0000"/>
                <w:sz w:val="20"/>
                <w:szCs w:val="20"/>
              </w:rPr>
            </w:pPr>
            <w:r w:rsidRPr="00CB2CB5">
              <w:rPr>
                <w:sz w:val="20"/>
                <w:szCs w:val="20"/>
              </w:rPr>
              <w:t>July 2011</w:t>
            </w:r>
          </w:p>
        </w:tc>
        <w:tc>
          <w:tcPr>
            <w:tcW w:w="1079" w:type="dxa"/>
            <w:vAlign w:val="center"/>
          </w:tcPr>
          <w:p w14:paraId="03B7B03F" w14:textId="04001ECB" w:rsidR="00ED3154" w:rsidRPr="00CB2CB5" w:rsidRDefault="00ED3154" w:rsidP="008759DE">
            <w:pPr>
              <w:keepNext/>
              <w:keepLines/>
              <w:spacing w:line="276" w:lineRule="auto"/>
              <w:jc w:val="center"/>
              <w:rPr>
                <w:sz w:val="20"/>
                <w:szCs w:val="20"/>
              </w:rPr>
            </w:pPr>
            <w:r w:rsidRPr="00CB2CB5">
              <w:rPr>
                <w:sz w:val="20"/>
                <w:szCs w:val="20"/>
              </w:rPr>
              <w:t>25 years</w:t>
            </w:r>
          </w:p>
        </w:tc>
      </w:tr>
      <w:tr w:rsidR="00ED3154" w:rsidRPr="00CB2CB5" w14:paraId="24A98EAF" w14:textId="77777777" w:rsidTr="00A92D54">
        <w:trPr>
          <w:cantSplit/>
          <w:trHeight w:val="331"/>
          <w:jc w:val="right"/>
        </w:trPr>
        <w:tc>
          <w:tcPr>
            <w:tcW w:w="3240" w:type="dxa"/>
            <w:vAlign w:val="center"/>
          </w:tcPr>
          <w:p w14:paraId="2B4D0DA2" w14:textId="77777777" w:rsidR="00ED3154" w:rsidRPr="00CB2CB5" w:rsidRDefault="00ED3154" w:rsidP="008759DE">
            <w:pPr>
              <w:keepNext/>
              <w:keepLines/>
              <w:spacing w:line="276" w:lineRule="auto"/>
              <w:jc w:val="left"/>
              <w:rPr>
                <w:sz w:val="20"/>
                <w:szCs w:val="20"/>
              </w:rPr>
            </w:pPr>
            <w:proofErr w:type="spellStart"/>
            <w:r w:rsidRPr="00CB2CB5">
              <w:rPr>
                <w:sz w:val="20"/>
                <w:szCs w:val="20"/>
              </w:rPr>
              <w:t>SunE</w:t>
            </w:r>
            <w:proofErr w:type="spellEnd"/>
            <w:r w:rsidRPr="00CB2CB5">
              <w:rPr>
                <w:sz w:val="20"/>
                <w:szCs w:val="20"/>
              </w:rPr>
              <w:t xml:space="preserve"> EPE1, LLC </w:t>
            </w:r>
          </w:p>
          <w:p w14:paraId="13288B27" w14:textId="13AA05C0" w:rsidR="00ED3154" w:rsidRPr="00CB2CB5" w:rsidRDefault="00ED3154" w:rsidP="008759DE">
            <w:pPr>
              <w:keepNext/>
              <w:keepLines/>
              <w:spacing w:line="276" w:lineRule="auto"/>
              <w:jc w:val="left"/>
              <w:rPr>
                <w:sz w:val="20"/>
                <w:szCs w:val="20"/>
              </w:rPr>
            </w:pPr>
            <w:r w:rsidRPr="00CB2CB5">
              <w:rPr>
                <w:sz w:val="20"/>
                <w:szCs w:val="20"/>
              </w:rPr>
              <w:t>("SunEdison")</w:t>
            </w:r>
          </w:p>
        </w:tc>
        <w:tc>
          <w:tcPr>
            <w:tcW w:w="1978" w:type="dxa"/>
            <w:vAlign w:val="center"/>
          </w:tcPr>
          <w:p w14:paraId="156EFFB5" w14:textId="7CAB4C78" w:rsidR="00ED3154" w:rsidRPr="00CB2CB5" w:rsidRDefault="00ED3154" w:rsidP="008759DE">
            <w:pPr>
              <w:keepNext/>
              <w:keepLines/>
              <w:spacing w:line="276" w:lineRule="auto"/>
              <w:jc w:val="center"/>
              <w:rPr>
                <w:sz w:val="20"/>
                <w:szCs w:val="20"/>
              </w:rPr>
            </w:pPr>
            <w:r w:rsidRPr="00CB2CB5">
              <w:rPr>
                <w:sz w:val="20"/>
                <w:szCs w:val="20"/>
              </w:rPr>
              <w:t>Chaparral, NM</w:t>
            </w:r>
          </w:p>
        </w:tc>
        <w:tc>
          <w:tcPr>
            <w:tcW w:w="1082" w:type="dxa"/>
            <w:vAlign w:val="center"/>
          </w:tcPr>
          <w:p w14:paraId="5E54807E" w14:textId="52A1A0DD" w:rsidR="00ED3154" w:rsidRPr="00CB2CB5" w:rsidRDefault="00ED3154" w:rsidP="008759DE">
            <w:pPr>
              <w:keepNext/>
              <w:keepLines/>
              <w:spacing w:line="276" w:lineRule="auto"/>
              <w:jc w:val="center"/>
              <w:rPr>
                <w:rFonts w:eastAsia="Times New Roman"/>
                <w:color w:val="FF0000"/>
                <w:sz w:val="20"/>
                <w:szCs w:val="20"/>
              </w:rPr>
            </w:pPr>
            <w:r w:rsidRPr="00CB2CB5">
              <w:rPr>
                <w:sz w:val="20"/>
                <w:szCs w:val="20"/>
              </w:rPr>
              <w:t>10</w:t>
            </w:r>
          </w:p>
        </w:tc>
        <w:tc>
          <w:tcPr>
            <w:tcW w:w="1530" w:type="dxa"/>
            <w:vAlign w:val="center"/>
          </w:tcPr>
          <w:p w14:paraId="6AD25563" w14:textId="1DA50F23" w:rsidR="00ED3154" w:rsidRPr="00CB2CB5" w:rsidRDefault="00ED3154" w:rsidP="008759DE">
            <w:pPr>
              <w:keepNext/>
              <w:keepLines/>
              <w:spacing w:line="276" w:lineRule="auto"/>
              <w:jc w:val="center"/>
              <w:rPr>
                <w:sz w:val="20"/>
                <w:szCs w:val="20"/>
              </w:rPr>
            </w:pPr>
            <w:r w:rsidRPr="00CB2CB5">
              <w:rPr>
                <w:sz w:val="20"/>
                <w:szCs w:val="20"/>
              </w:rPr>
              <w:t>June 2012</w:t>
            </w:r>
          </w:p>
        </w:tc>
        <w:tc>
          <w:tcPr>
            <w:tcW w:w="1079" w:type="dxa"/>
            <w:vAlign w:val="center"/>
          </w:tcPr>
          <w:p w14:paraId="22229B39" w14:textId="6E227B1E" w:rsidR="00ED3154" w:rsidRPr="00CB2CB5" w:rsidRDefault="00ED3154" w:rsidP="008759DE">
            <w:pPr>
              <w:keepNext/>
              <w:keepLines/>
              <w:spacing w:line="276" w:lineRule="auto"/>
              <w:jc w:val="center"/>
              <w:rPr>
                <w:sz w:val="20"/>
                <w:szCs w:val="20"/>
              </w:rPr>
            </w:pPr>
            <w:r w:rsidRPr="00CB2CB5">
              <w:rPr>
                <w:sz w:val="20"/>
                <w:szCs w:val="20"/>
              </w:rPr>
              <w:t>25 years</w:t>
            </w:r>
          </w:p>
        </w:tc>
      </w:tr>
      <w:tr w:rsidR="00ED3154" w:rsidRPr="00CB2CB5" w14:paraId="2A298577" w14:textId="77777777" w:rsidTr="00A92D54">
        <w:trPr>
          <w:cantSplit/>
          <w:trHeight w:val="331"/>
          <w:jc w:val="right"/>
        </w:trPr>
        <w:tc>
          <w:tcPr>
            <w:tcW w:w="3240" w:type="dxa"/>
            <w:vAlign w:val="center"/>
          </w:tcPr>
          <w:p w14:paraId="6A0C35D5" w14:textId="77777777" w:rsidR="00ED3154" w:rsidRPr="00CB2CB5" w:rsidRDefault="00ED3154" w:rsidP="008759DE">
            <w:pPr>
              <w:keepNext/>
              <w:keepLines/>
              <w:spacing w:line="276" w:lineRule="auto"/>
              <w:jc w:val="left"/>
              <w:rPr>
                <w:sz w:val="20"/>
                <w:szCs w:val="20"/>
              </w:rPr>
            </w:pPr>
            <w:proofErr w:type="spellStart"/>
            <w:r w:rsidRPr="00CB2CB5">
              <w:rPr>
                <w:sz w:val="20"/>
                <w:szCs w:val="20"/>
              </w:rPr>
              <w:t>SunE</w:t>
            </w:r>
            <w:proofErr w:type="spellEnd"/>
            <w:r w:rsidRPr="00CB2CB5">
              <w:rPr>
                <w:sz w:val="20"/>
                <w:szCs w:val="20"/>
              </w:rPr>
              <w:t xml:space="preserve"> EPE2, LLC</w:t>
            </w:r>
          </w:p>
          <w:p w14:paraId="2AC15F97" w14:textId="22BB6DDC" w:rsidR="00ED3154" w:rsidRPr="00CB2CB5" w:rsidRDefault="00ED3154" w:rsidP="008759DE">
            <w:pPr>
              <w:keepNext/>
              <w:keepLines/>
              <w:spacing w:line="276" w:lineRule="auto"/>
              <w:jc w:val="left"/>
              <w:rPr>
                <w:sz w:val="20"/>
                <w:szCs w:val="20"/>
              </w:rPr>
            </w:pPr>
            <w:r w:rsidRPr="00CB2CB5">
              <w:rPr>
                <w:sz w:val="20"/>
                <w:szCs w:val="20"/>
              </w:rPr>
              <w:t>("SunEdison")</w:t>
            </w:r>
          </w:p>
        </w:tc>
        <w:tc>
          <w:tcPr>
            <w:tcW w:w="1978" w:type="dxa"/>
            <w:vAlign w:val="center"/>
          </w:tcPr>
          <w:p w14:paraId="577CF993" w14:textId="0B7250D7" w:rsidR="00ED3154" w:rsidRPr="00CB2CB5" w:rsidRDefault="00ED3154" w:rsidP="008759DE">
            <w:pPr>
              <w:keepNext/>
              <w:keepLines/>
              <w:spacing w:line="276" w:lineRule="auto"/>
              <w:jc w:val="center"/>
              <w:rPr>
                <w:sz w:val="20"/>
                <w:szCs w:val="20"/>
              </w:rPr>
            </w:pPr>
            <w:r w:rsidRPr="00CB2CB5">
              <w:rPr>
                <w:sz w:val="20"/>
                <w:szCs w:val="20"/>
              </w:rPr>
              <w:t>Las Cruces, NM</w:t>
            </w:r>
          </w:p>
        </w:tc>
        <w:tc>
          <w:tcPr>
            <w:tcW w:w="1082" w:type="dxa"/>
            <w:vAlign w:val="center"/>
          </w:tcPr>
          <w:p w14:paraId="707F4E72" w14:textId="3B93F942" w:rsidR="00ED3154" w:rsidRPr="00CB2CB5" w:rsidRDefault="00ED3154" w:rsidP="008759DE">
            <w:pPr>
              <w:keepNext/>
              <w:keepLines/>
              <w:spacing w:line="276" w:lineRule="auto"/>
              <w:jc w:val="center"/>
              <w:rPr>
                <w:sz w:val="20"/>
                <w:szCs w:val="20"/>
              </w:rPr>
            </w:pPr>
            <w:r w:rsidRPr="00CB2CB5">
              <w:rPr>
                <w:sz w:val="20"/>
                <w:szCs w:val="20"/>
              </w:rPr>
              <w:t>12</w:t>
            </w:r>
          </w:p>
        </w:tc>
        <w:tc>
          <w:tcPr>
            <w:tcW w:w="1530" w:type="dxa"/>
            <w:vAlign w:val="center"/>
          </w:tcPr>
          <w:p w14:paraId="5EF167A5" w14:textId="36CE38D0" w:rsidR="00ED3154" w:rsidRPr="00CB2CB5" w:rsidRDefault="00ED3154" w:rsidP="008759DE">
            <w:pPr>
              <w:keepNext/>
              <w:keepLines/>
              <w:spacing w:line="276" w:lineRule="auto"/>
              <w:jc w:val="center"/>
              <w:rPr>
                <w:sz w:val="20"/>
                <w:szCs w:val="20"/>
              </w:rPr>
            </w:pPr>
            <w:r w:rsidRPr="00CB2CB5">
              <w:rPr>
                <w:sz w:val="20"/>
                <w:szCs w:val="20"/>
              </w:rPr>
              <w:t>May 2012</w:t>
            </w:r>
          </w:p>
        </w:tc>
        <w:tc>
          <w:tcPr>
            <w:tcW w:w="1079" w:type="dxa"/>
            <w:vAlign w:val="center"/>
          </w:tcPr>
          <w:p w14:paraId="6E220512" w14:textId="20664341" w:rsidR="00ED3154" w:rsidRPr="00CB2CB5" w:rsidRDefault="00ED3154" w:rsidP="008759DE">
            <w:pPr>
              <w:keepNext/>
              <w:keepLines/>
              <w:spacing w:line="276" w:lineRule="auto"/>
              <w:jc w:val="center"/>
              <w:rPr>
                <w:sz w:val="20"/>
                <w:szCs w:val="20"/>
              </w:rPr>
            </w:pPr>
            <w:r w:rsidRPr="00CB2CB5">
              <w:rPr>
                <w:sz w:val="20"/>
                <w:szCs w:val="20"/>
              </w:rPr>
              <w:t>25 years</w:t>
            </w:r>
          </w:p>
        </w:tc>
      </w:tr>
      <w:tr w:rsidR="00ED3154" w:rsidRPr="00CB2CB5" w14:paraId="23DDF7BD" w14:textId="77777777" w:rsidTr="00E04DA1">
        <w:trPr>
          <w:cantSplit/>
          <w:trHeight w:val="331"/>
          <w:jc w:val="right"/>
        </w:trPr>
        <w:tc>
          <w:tcPr>
            <w:tcW w:w="3240" w:type="dxa"/>
            <w:shd w:val="clear" w:color="auto" w:fill="auto"/>
            <w:vAlign w:val="center"/>
          </w:tcPr>
          <w:p w14:paraId="71F6CB99" w14:textId="77777777" w:rsidR="00ED3154" w:rsidRPr="00CB2CB5" w:rsidRDefault="00ED3154" w:rsidP="008759DE">
            <w:pPr>
              <w:keepNext/>
              <w:keepLines/>
              <w:spacing w:line="276" w:lineRule="auto"/>
              <w:jc w:val="left"/>
              <w:rPr>
                <w:sz w:val="20"/>
                <w:szCs w:val="20"/>
              </w:rPr>
            </w:pPr>
            <w:r w:rsidRPr="00CB2CB5">
              <w:rPr>
                <w:sz w:val="20"/>
                <w:szCs w:val="20"/>
              </w:rPr>
              <w:t xml:space="preserve">Macho Springs Solar, LLC </w:t>
            </w:r>
          </w:p>
          <w:p w14:paraId="7FCB8647" w14:textId="42012FD9" w:rsidR="00ED3154" w:rsidRPr="00CB2CB5" w:rsidRDefault="00ED3154" w:rsidP="008759DE">
            <w:pPr>
              <w:keepNext/>
              <w:keepLines/>
              <w:spacing w:line="276" w:lineRule="auto"/>
              <w:jc w:val="left"/>
              <w:rPr>
                <w:sz w:val="20"/>
                <w:szCs w:val="20"/>
              </w:rPr>
            </w:pPr>
            <w:r w:rsidRPr="00CB2CB5">
              <w:rPr>
                <w:sz w:val="20"/>
                <w:szCs w:val="20"/>
              </w:rPr>
              <w:t>("Macho Springs")</w:t>
            </w:r>
          </w:p>
        </w:tc>
        <w:tc>
          <w:tcPr>
            <w:tcW w:w="1978" w:type="dxa"/>
            <w:shd w:val="clear" w:color="auto" w:fill="auto"/>
            <w:vAlign w:val="center"/>
          </w:tcPr>
          <w:p w14:paraId="3DEB46C2" w14:textId="42956502" w:rsidR="00ED3154" w:rsidRPr="00CB2CB5" w:rsidRDefault="00ED3154" w:rsidP="008759DE">
            <w:pPr>
              <w:keepNext/>
              <w:keepLines/>
              <w:spacing w:line="276" w:lineRule="auto"/>
              <w:jc w:val="center"/>
              <w:rPr>
                <w:sz w:val="20"/>
                <w:szCs w:val="20"/>
              </w:rPr>
            </w:pPr>
            <w:r w:rsidRPr="00CB2CB5">
              <w:rPr>
                <w:sz w:val="20"/>
                <w:szCs w:val="20"/>
              </w:rPr>
              <w:t>Luna County, NM</w:t>
            </w:r>
          </w:p>
        </w:tc>
        <w:tc>
          <w:tcPr>
            <w:tcW w:w="1082" w:type="dxa"/>
            <w:shd w:val="clear" w:color="auto" w:fill="auto"/>
            <w:vAlign w:val="center"/>
          </w:tcPr>
          <w:p w14:paraId="060648C9" w14:textId="7850DB02" w:rsidR="00ED3154" w:rsidRPr="00CB2CB5" w:rsidRDefault="00ED3154" w:rsidP="008759DE">
            <w:pPr>
              <w:keepNext/>
              <w:keepLines/>
              <w:spacing w:line="276" w:lineRule="auto"/>
              <w:jc w:val="center"/>
              <w:rPr>
                <w:rFonts w:eastAsia="Times New Roman"/>
                <w:color w:val="FF0000"/>
                <w:sz w:val="20"/>
                <w:szCs w:val="20"/>
              </w:rPr>
            </w:pPr>
            <w:r w:rsidRPr="00CB2CB5">
              <w:rPr>
                <w:sz w:val="20"/>
                <w:szCs w:val="20"/>
              </w:rPr>
              <w:t>50</w:t>
            </w:r>
          </w:p>
        </w:tc>
        <w:tc>
          <w:tcPr>
            <w:tcW w:w="1530" w:type="dxa"/>
            <w:shd w:val="clear" w:color="auto" w:fill="auto"/>
            <w:vAlign w:val="center"/>
          </w:tcPr>
          <w:p w14:paraId="3A23055C" w14:textId="7749E1B0" w:rsidR="00ED3154" w:rsidRPr="00CB2CB5" w:rsidRDefault="00ED3154" w:rsidP="008759DE">
            <w:pPr>
              <w:keepNext/>
              <w:keepLines/>
              <w:spacing w:line="276" w:lineRule="auto"/>
              <w:jc w:val="center"/>
              <w:rPr>
                <w:sz w:val="20"/>
                <w:szCs w:val="20"/>
              </w:rPr>
            </w:pPr>
            <w:r w:rsidRPr="00CB2CB5">
              <w:rPr>
                <w:sz w:val="20"/>
                <w:szCs w:val="20"/>
              </w:rPr>
              <w:t>May 2014</w:t>
            </w:r>
          </w:p>
        </w:tc>
        <w:tc>
          <w:tcPr>
            <w:tcW w:w="1079" w:type="dxa"/>
            <w:shd w:val="clear" w:color="auto" w:fill="auto"/>
            <w:vAlign w:val="center"/>
          </w:tcPr>
          <w:p w14:paraId="6C91790E" w14:textId="686422C2" w:rsidR="00ED3154" w:rsidRPr="00CB2CB5" w:rsidRDefault="00ED3154" w:rsidP="008759DE">
            <w:pPr>
              <w:keepNext/>
              <w:keepLines/>
              <w:spacing w:line="276" w:lineRule="auto"/>
              <w:jc w:val="center"/>
              <w:rPr>
                <w:rFonts w:eastAsia="Times New Roman"/>
                <w:color w:val="FF0000"/>
                <w:sz w:val="20"/>
                <w:szCs w:val="20"/>
              </w:rPr>
            </w:pPr>
            <w:r w:rsidRPr="00CB2CB5">
              <w:rPr>
                <w:sz w:val="20"/>
                <w:szCs w:val="20"/>
              </w:rPr>
              <w:t>20 years</w:t>
            </w:r>
          </w:p>
        </w:tc>
      </w:tr>
      <w:tr w:rsidR="00ED3154" w:rsidRPr="00CB2CB5" w14:paraId="054B5DEF" w14:textId="77777777" w:rsidTr="00A92D54">
        <w:trPr>
          <w:cantSplit/>
          <w:trHeight w:val="331"/>
          <w:jc w:val="right"/>
        </w:trPr>
        <w:tc>
          <w:tcPr>
            <w:tcW w:w="3240" w:type="dxa"/>
            <w:shd w:val="clear" w:color="auto" w:fill="auto"/>
            <w:vAlign w:val="center"/>
          </w:tcPr>
          <w:p w14:paraId="54A9B855" w14:textId="77777777" w:rsidR="00ED3154" w:rsidRPr="00CB2CB5" w:rsidRDefault="00ED3154" w:rsidP="008759DE">
            <w:pPr>
              <w:keepNext/>
              <w:keepLines/>
              <w:spacing w:line="276" w:lineRule="auto"/>
              <w:jc w:val="left"/>
              <w:rPr>
                <w:sz w:val="20"/>
                <w:szCs w:val="20"/>
              </w:rPr>
            </w:pPr>
            <w:r w:rsidRPr="00CB2CB5">
              <w:rPr>
                <w:sz w:val="20"/>
                <w:szCs w:val="20"/>
              </w:rPr>
              <w:t xml:space="preserve">Newman Solar LLC </w:t>
            </w:r>
          </w:p>
          <w:p w14:paraId="622BA5A0" w14:textId="1F7A404B" w:rsidR="00ED3154" w:rsidRPr="00CB2CB5" w:rsidRDefault="00ED3154" w:rsidP="008759DE">
            <w:pPr>
              <w:keepNext/>
              <w:keepLines/>
              <w:spacing w:line="276" w:lineRule="auto"/>
              <w:jc w:val="left"/>
              <w:rPr>
                <w:sz w:val="20"/>
                <w:szCs w:val="20"/>
              </w:rPr>
            </w:pPr>
            <w:r w:rsidRPr="00CB2CB5">
              <w:rPr>
                <w:sz w:val="20"/>
                <w:szCs w:val="20"/>
              </w:rPr>
              <w:t>("Newman")</w:t>
            </w:r>
          </w:p>
        </w:tc>
        <w:tc>
          <w:tcPr>
            <w:tcW w:w="1978" w:type="dxa"/>
            <w:shd w:val="clear" w:color="auto" w:fill="auto"/>
            <w:vAlign w:val="center"/>
          </w:tcPr>
          <w:p w14:paraId="3F7DD9CB" w14:textId="30014E3F" w:rsidR="00ED3154" w:rsidRPr="00CB2CB5" w:rsidRDefault="00ED3154" w:rsidP="008759DE">
            <w:pPr>
              <w:keepNext/>
              <w:keepLines/>
              <w:spacing w:line="276" w:lineRule="auto"/>
              <w:jc w:val="center"/>
              <w:rPr>
                <w:sz w:val="20"/>
                <w:szCs w:val="20"/>
              </w:rPr>
            </w:pPr>
            <w:r w:rsidRPr="00CB2CB5">
              <w:rPr>
                <w:sz w:val="20"/>
                <w:szCs w:val="20"/>
              </w:rPr>
              <w:t>El Paso, TX</w:t>
            </w:r>
          </w:p>
        </w:tc>
        <w:tc>
          <w:tcPr>
            <w:tcW w:w="1082" w:type="dxa"/>
            <w:shd w:val="clear" w:color="auto" w:fill="auto"/>
            <w:vAlign w:val="center"/>
          </w:tcPr>
          <w:p w14:paraId="5A192573" w14:textId="3D2387ED" w:rsidR="00ED3154" w:rsidRPr="00CB2CB5" w:rsidRDefault="00ED3154" w:rsidP="008759DE">
            <w:pPr>
              <w:keepNext/>
              <w:keepLines/>
              <w:spacing w:line="276" w:lineRule="auto"/>
              <w:jc w:val="center"/>
              <w:rPr>
                <w:sz w:val="20"/>
                <w:szCs w:val="20"/>
              </w:rPr>
            </w:pPr>
            <w:r w:rsidRPr="00CB2CB5">
              <w:rPr>
                <w:sz w:val="20"/>
                <w:szCs w:val="20"/>
              </w:rPr>
              <w:t>10</w:t>
            </w:r>
          </w:p>
        </w:tc>
        <w:tc>
          <w:tcPr>
            <w:tcW w:w="1530" w:type="dxa"/>
            <w:shd w:val="clear" w:color="auto" w:fill="auto"/>
            <w:vAlign w:val="center"/>
          </w:tcPr>
          <w:p w14:paraId="11BE8B6A" w14:textId="17225C0D" w:rsidR="00ED3154" w:rsidRPr="00CB2CB5" w:rsidRDefault="00ED3154" w:rsidP="008759DE">
            <w:pPr>
              <w:keepNext/>
              <w:keepLines/>
              <w:spacing w:line="276" w:lineRule="auto"/>
              <w:jc w:val="center"/>
              <w:rPr>
                <w:sz w:val="20"/>
                <w:szCs w:val="20"/>
              </w:rPr>
            </w:pPr>
            <w:r w:rsidRPr="00CB2CB5">
              <w:rPr>
                <w:sz w:val="20"/>
                <w:szCs w:val="20"/>
              </w:rPr>
              <w:t>December 2014</w:t>
            </w:r>
          </w:p>
        </w:tc>
        <w:tc>
          <w:tcPr>
            <w:tcW w:w="1079" w:type="dxa"/>
            <w:shd w:val="clear" w:color="auto" w:fill="auto"/>
            <w:vAlign w:val="center"/>
          </w:tcPr>
          <w:p w14:paraId="55F724CB" w14:textId="1C32271B" w:rsidR="00ED3154" w:rsidRPr="00CB2CB5" w:rsidRDefault="00ED3154" w:rsidP="008759DE">
            <w:pPr>
              <w:keepNext/>
              <w:keepLines/>
              <w:spacing w:line="276" w:lineRule="auto"/>
              <w:jc w:val="center"/>
              <w:rPr>
                <w:sz w:val="20"/>
                <w:szCs w:val="20"/>
              </w:rPr>
            </w:pPr>
            <w:r w:rsidRPr="00CB2CB5">
              <w:rPr>
                <w:sz w:val="20"/>
                <w:szCs w:val="20"/>
              </w:rPr>
              <w:t>30 years</w:t>
            </w:r>
          </w:p>
        </w:tc>
      </w:tr>
      <w:tr w:rsidR="00ED3154" w:rsidRPr="00CB2CB5" w14:paraId="4A976824" w14:textId="77777777" w:rsidTr="00E04DA1">
        <w:trPr>
          <w:cantSplit/>
          <w:trHeight w:val="331"/>
          <w:jc w:val="right"/>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D8D6C4B" w14:textId="77777777" w:rsidR="00ED3154" w:rsidRPr="00AF4CC2" w:rsidRDefault="00ED3154" w:rsidP="007A4980">
            <w:pPr>
              <w:keepNext/>
              <w:keepLines/>
              <w:spacing w:line="276" w:lineRule="auto"/>
              <w:jc w:val="left"/>
              <w:rPr>
                <w:sz w:val="20"/>
                <w:szCs w:val="20"/>
                <w:lang w:val="es-MX"/>
              </w:rPr>
            </w:pPr>
            <w:r w:rsidRPr="00AF4CC2">
              <w:rPr>
                <w:sz w:val="20"/>
                <w:szCs w:val="20"/>
                <w:lang w:val="es-MX"/>
              </w:rPr>
              <w:t>Buena Vista Energy Center, LLC</w:t>
            </w:r>
          </w:p>
          <w:p w14:paraId="5FFF9F4E" w14:textId="7D93D72A" w:rsidR="00ED3154" w:rsidRPr="00E04DA1" w:rsidRDefault="00ED3154" w:rsidP="008759DE">
            <w:pPr>
              <w:keepNext/>
              <w:keepLines/>
              <w:spacing w:line="276" w:lineRule="auto"/>
              <w:jc w:val="left"/>
              <w:rPr>
                <w:sz w:val="20"/>
                <w:szCs w:val="20"/>
                <w:lang w:val="es-US"/>
              </w:rPr>
            </w:pPr>
            <w:r w:rsidRPr="00AF4CC2">
              <w:rPr>
                <w:sz w:val="20"/>
                <w:szCs w:val="20"/>
                <w:lang w:val="es-MX"/>
              </w:rPr>
              <w:t>(“Buena Vista 1”)</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6C8F574A" w14:textId="2BB26749" w:rsidR="00ED3154" w:rsidRPr="00CB2CB5" w:rsidRDefault="00ED3154" w:rsidP="008759DE">
            <w:pPr>
              <w:keepNext/>
              <w:keepLines/>
              <w:spacing w:line="276" w:lineRule="auto"/>
              <w:jc w:val="center"/>
              <w:rPr>
                <w:sz w:val="20"/>
                <w:szCs w:val="20"/>
              </w:rPr>
            </w:pPr>
            <w:r>
              <w:rPr>
                <w:sz w:val="20"/>
                <w:szCs w:val="20"/>
              </w:rPr>
              <w:t>Otero County, NM</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214978F" w14:textId="76312D43" w:rsidR="00ED3154" w:rsidRPr="00CB2CB5" w:rsidRDefault="00ED3154" w:rsidP="008759DE">
            <w:pPr>
              <w:keepNext/>
              <w:keepLines/>
              <w:spacing w:line="276" w:lineRule="auto"/>
              <w:jc w:val="center"/>
              <w:rPr>
                <w:sz w:val="20"/>
                <w:szCs w:val="20"/>
              </w:rPr>
            </w:pPr>
            <w:r>
              <w:rPr>
                <w:sz w:val="20"/>
                <w:szCs w:val="20"/>
              </w:rPr>
              <w:t>100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073584" w14:textId="57A26A0F" w:rsidR="00ED3154" w:rsidRPr="00CB2CB5" w:rsidRDefault="00ED3154" w:rsidP="008759DE">
            <w:pPr>
              <w:keepNext/>
              <w:keepLines/>
              <w:spacing w:line="276" w:lineRule="auto"/>
              <w:jc w:val="center"/>
              <w:rPr>
                <w:sz w:val="20"/>
                <w:szCs w:val="20"/>
              </w:rPr>
            </w:pPr>
            <w:r>
              <w:rPr>
                <w:sz w:val="20"/>
                <w:szCs w:val="20"/>
              </w:rPr>
              <w:t>May 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E9D10B9" w14:textId="0CCBB212" w:rsidR="00ED3154" w:rsidRPr="00CB2CB5" w:rsidRDefault="00ED3154" w:rsidP="008759DE">
            <w:pPr>
              <w:keepNext/>
              <w:keepLines/>
              <w:spacing w:line="276" w:lineRule="auto"/>
              <w:jc w:val="center"/>
              <w:rPr>
                <w:sz w:val="20"/>
                <w:szCs w:val="20"/>
              </w:rPr>
            </w:pPr>
            <w:r w:rsidRPr="00CB2CB5">
              <w:rPr>
                <w:sz w:val="20"/>
                <w:szCs w:val="20"/>
              </w:rPr>
              <w:t>20 years</w:t>
            </w:r>
          </w:p>
        </w:tc>
      </w:tr>
      <w:tr w:rsidR="00ED3154" w:rsidRPr="00CB2CB5" w14:paraId="02DF06C2" w14:textId="77777777" w:rsidTr="007A4980">
        <w:trPr>
          <w:cantSplit/>
          <w:trHeight w:val="331"/>
          <w:jc w:val="right"/>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EBB5750" w14:textId="77777777" w:rsidR="00ED3154" w:rsidRPr="00AF4CC2" w:rsidRDefault="00ED3154" w:rsidP="007A4980">
            <w:pPr>
              <w:keepNext/>
              <w:keepLines/>
              <w:spacing w:line="276" w:lineRule="auto"/>
              <w:jc w:val="left"/>
              <w:rPr>
                <w:sz w:val="20"/>
                <w:szCs w:val="20"/>
                <w:lang w:val="es-MX"/>
              </w:rPr>
            </w:pPr>
            <w:r w:rsidRPr="00AF4CC2">
              <w:rPr>
                <w:sz w:val="20"/>
                <w:szCs w:val="20"/>
                <w:lang w:val="es-MX"/>
              </w:rPr>
              <w:t>Buena Vista Energy Center II, LLC</w:t>
            </w:r>
          </w:p>
          <w:p w14:paraId="4A8D33C6" w14:textId="081651C4" w:rsidR="00ED3154" w:rsidRPr="00AF4CC2" w:rsidRDefault="00ED3154" w:rsidP="007A4980">
            <w:pPr>
              <w:keepNext/>
              <w:keepLines/>
              <w:spacing w:line="276" w:lineRule="auto"/>
              <w:jc w:val="left"/>
              <w:rPr>
                <w:sz w:val="20"/>
                <w:szCs w:val="20"/>
                <w:lang w:val="es-MX"/>
              </w:rPr>
            </w:pPr>
            <w:r>
              <w:rPr>
                <w:sz w:val="20"/>
                <w:szCs w:val="20"/>
              </w:rPr>
              <w:t>(“Buena Vista 2”)</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26080EA5" w14:textId="5B4B7C3B" w:rsidR="00ED3154" w:rsidRPr="00CB2CB5" w:rsidRDefault="00ED3154" w:rsidP="007A4980">
            <w:pPr>
              <w:keepNext/>
              <w:keepLines/>
              <w:spacing w:line="276" w:lineRule="auto"/>
              <w:jc w:val="center"/>
              <w:rPr>
                <w:sz w:val="20"/>
                <w:szCs w:val="20"/>
              </w:rPr>
            </w:pPr>
            <w:r>
              <w:rPr>
                <w:sz w:val="20"/>
                <w:szCs w:val="20"/>
              </w:rPr>
              <w:t>Otero County, NM</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E269002" w14:textId="79E9CDD4" w:rsidR="00ED3154" w:rsidRPr="00CB2CB5" w:rsidRDefault="00ED3154" w:rsidP="007A4980">
            <w:pPr>
              <w:keepNext/>
              <w:keepLines/>
              <w:spacing w:line="276" w:lineRule="auto"/>
              <w:jc w:val="center"/>
              <w:rPr>
                <w:sz w:val="20"/>
                <w:szCs w:val="20"/>
              </w:rPr>
            </w:pPr>
            <w:r>
              <w:rPr>
                <w:sz w:val="20"/>
                <w:szCs w:val="20"/>
              </w:rPr>
              <w:t>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86F5BD1" w14:textId="198A3B86" w:rsidR="00ED3154" w:rsidRPr="00CB2CB5" w:rsidRDefault="00ED3154" w:rsidP="007A4980">
            <w:pPr>
              <w:keepNext/>
              <w:keepLines/>
              <w:spacing w:line="276" w:lineRule="auto"/>
              <w:jc w:val="center"/>
              <w:rPr>
                <w:sz w:val="20"/>
                <w:szCs w:val="20"/>
              </w:rPr>
            </w:pPr>
            <w:r>
              <w:rPr>
                <w:sz w:val="20"/>
                <w:szCs w:val="20"/>
              </w:rPr>
              <w:t>May 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3223884" w14:textId="671A40BF" w:rsidR="00ED3154" w:rsidRPr="00CB2CB5" w:rsidRDefault="00ED3154" w:rsidP="007A4980">
            <w:pPr>
              <w:keepNext/>
              <w:keepLines/>
              <w:spacing w:line="276" w:lineRule="auto"/>
              <w:jc w:val="center"/>
              <w:rPr>
                <w:sz w:val="20"/>
                <w:szCs w:val="20"/>
              </w:rPr>
            </w:pPr>
            <w:r w:rsidRPr="00CB2CB5">
              <w:rPr>
                <w:sz w:val="20"/>
                <w:szCs w:val="20"/>
              </w:rPr>
              <w:t>20 years</w:t>
            </w:r>
          </w:p>
        </w:tc>
      </w:tr>
      <w:tr w:rsidR="00ED3154" w:rsidRPr="00CB2CB5" w14:paraId="7A4A7209" w14:textId="77777777" w:rsidTr="007A4980">
        <w:trPr>
          <w:cantSplit/>
          <w:trHeight w:val="331"/>
          <w:jc w:val="right"/>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BD591BF" w14:textId="77777777" w:rsidR="00ED3154" w:rsidRPr="00AF4CC2" w:rsidRDefault="00ED3154" w:rsidP="007A4980">
            <w:pPr>
              <w:keepNext/>
              <w:keepLines/>
              <w:spacing w:line="276" w:lineRule="auto"/>
              <w:jc w:val="left"/>
              <w:rPr>
                <w:sz w:val="20"/>
                <w:szCs w:val="20"/>
                <w:lang w:val="es-MX"/>
              </w:rPr>
            </w:pPr>
            <w:proofErr w:type="spellStart"/>
            <w:r w:rsidRPr="00AF4CC2">
              <w:rPr>
                <w:sz w:val="20"/>
                <w:szCs w:val="20"/>
                <w:lang w:val="es-MX"/>
              </w:rPr>
              <w:t>Hecate</w:t>
            </w:r>
            <w:proofErr w:type="spellEnd"/>
            <w:r w:rsidRPr="00AF4CC2">
              <w:rPr>
                <w:sz w:val="20"/>
                <w:szCs w:val="20"/>
                <w:lang w:val="es-MX"/>
              </w:rPr>
              <w:t xml:space="preserve"> Energy Santa Teresa, LLC</w:t>
            </w:r>
          </w:p>
          <w:p w14:paraId="105C1B5A" w14:textId="50E7A969" w:rsidR="00ED3154" w:rsidRPr="00E04DA1" w:rsidRDefault="00ED3154" w:rsidP="007A4980">
            <w:pPr>
              <w:keepNext/>
              <w:keepLines/>
              <w:spacing w:line="276" w:lineRule="auto"/>
              <w:jc w:val="left"/>
              <w:rPr>
                <w:sz w:val="20"/>
                <w:szCs w:val="20"/>
                <w:lang w:val="es-US"/>
              </w:rPr>
            </w:pPr>
            <w:r w:rsidRPr="00AF4CC2">
              <w:rPr>
                <w:sz w:val="20"/>
                <w:szCs w:val="20"/>
                <w:lang w:val="es-MX"/>
              </w:rPr>
              <w:t>(“</w:t>
            </w:r>
            <w:proofErr w:type="spellStart"/>
            <w:r w:rsidRPr="00AF4CC2">
              <w:rPr>
                <w:sz w:val="20"/>
                <w:szCs w:val="20"/>
                <w:lang w:val="es-MX"/>
              </w:rPr>
              <w:t>Hecate</w:t>
            </w:r>
            <w:proofErr w:type="spellEnd"/>
            <w:r w:rsidRPr="00AF4CC2">
              <w:rPr>
                <w:sz w:val="20"/>
                <w:szCs w:val="20"/>
                <w:lang w:val="es-MX"/>
              </w:rPr>
              <w:t xml:space="preserve"> 1”)</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3891FEA6" w14:textId="57BA42F3" w:rsidR="00ED3154" w:rsidRPr="00CB2CB5" w:rsidRDefault="00ED3154" w:rsidP="007A4980">
            <w:pPr>
              <w:keepNext/>
              <w:keepLines/>
              <w:spacing w:line="276" w:lineRule="auto"/>
              <w:jc w:val="center"/>
              <w:rPr>
                <w:sz w:val="20"/>
                <w:szCs w:val="20"/>
              </w:rPr>
            </w:pPr>
            <w:r>
              <w:rPr>
                <w:sz w:val="20"/>
                <w:szCs w:val="20"/>
              </w:rPr>
              <w:t>Santa Teresa, NM</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3E2ED90" w14:textId="1FA74F21" w:rsidR="00ED3154" w:rsidRPr="00CB2CB5" w:rsidRDefault="00ED3154" w:rsidP="007A4980">
            <w:pPr>
              <w:keepNext/>
              <w:keepLines/>
              <w:spacing w:line="276" w:lineRule="auto"/>
              <w:jc w:val="center"/>
              <w:rPr>
                <w:sz w:val="20"/>
                <w:szCs w:val="20"/>
              </w:rPr>
            </w:pPr>
            <w:r>
              <w:rPr>
                <w:sz w:val="20"/>
                <w:szCs w:val="20"/>
              </w:rPr>
              <w:t>100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3C07D30" w14:textId="70935936" w:rsidR="00ED3154" w:rsidRPr="00CB2CB5" w:rsidRDefault="00ED3154" w:rsidP="007A4980">
            <w:pPr>
              <w:keepNext/>
              <w:keepLines/>
              <w:spacing w:line="276" w:lineRule="auto"/>
              <w:jc w:val="center"/>
              <w:rPr>
                <w:sz w:val="20"/>
                <w:szCs w:val="20"/>
              </w:rPr>
            </w:pPr>
            <w:r>
              <w:rPr>
                <w:sz w:val="20"/>
                <w:szCs w:val="20"/>
              </w:rPr>
              <w:t>December 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4A8F660A" w14:textId="5FD25D9C" w:rsidR="00ED3154" w:rsidRPr="00CB2CB5" w:rsidRDefault="00ED3154" w:rsidP="007A4980">
            <w:pPr>
              <w:keepNext/>
              <w:keepLines/>
              <w:spacing w:line="276" w:lineRule="auto"/>
              <w:jc w:val="center"/>
              <w:rPr>
                <w:sz w:val="20"/>
                <w:szCs w:val="20"/>
              </w:rPr>
            </w:pPr>
            <w:r w:rsidRPr="00CB2CB5">
              <w:rPr>
                <w:sz w:val="20"/>
                <w:szCs w:val="20"/>
              </w:rPr>
              <w:t>20 years</w:t>
            </w:r>
          </w:p>
        </w:tc>
      </w:tr>
      <w:tr w:rsidR="00ED3154" w:rsidRPr="00CB2CB5" w14:paraId="15818266" w14:textId="77777777" w:rsidTr="007A4980">
        <w:trPr>
          <w:cantSplit/>
          <w:trHeight w:val="331"/>
          <w:jc w:val="right"/>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8D1B9BE" w14:textId="77777777" w:rsidR="00ED3154" w:rsidRPr="00AF4CC2" w:rsidRDefault="00ED3154" w:rsidP="007A4980">
            <w:pPr>
              <w:keepNext/>
              <w:keepLines/>
              <w:spacing w:line="276" w:lineRule="auto"/>
              <w:jc w:val="left"/>
              <w:rPr>
                <w:sz w:val="20"/>
                <w:szCs w:val="20"/>
                <w:lang w:val="es-MX"/>
              </w:rPr>
            </w:pPr>
            <w:proofErr w:type="spellStart"/>
            <w:r w:rsidRPr="00AF4CC2">
              <w:rPr>
                <w:sz w:val="20"/>
                <w:szCs w:val="20"/>
                <w:lang w:val="es-MX"/>
              </w:rPr>
              <w:t>Hecate</w:t>
            </w:r>
            <w:proofErr w:type="spellEnd"/>
            <w:r w:rsidRPr="00AF4CC2">
              <w:rPr>
                <w:sz w:val="20"/>
                <w:szCs w:val="20"/>
                <w:lang w:val="es-MX"/>
              </w:rPr>
              <w:t xml:space="preserve"> Energy Santa Teresa 2, LLC</w:t>
            </w:r>
          </w:p>
          <w:p w14:paraId="15B3728A" w14:textId="05DFD28B" w:rsidR="00ED3154" w:rsidRPr="00AF4CC2" w:rsidRDefault="00ED3154" w:rsidP="007A4980">
            <w:pPr>
              <w:keepNext/>
              <w:keepLines/>
              <w:spacing w:line="276" w:lineRule="auto"/>
              <w:jc w:val="left"/>
              <w:rPr>
                <w:sz w:val="20"/>
                <w:szCs w:val="20"/>
                <w:lang w:val="es-MX"/>
              </w:rPr>
            </w:pPr>
            <w:r w:rsidRPr="00AF4CC2">
              <w:rPr>
                <w:sz w:val="20"/>
                <w:szCs w:val="20"/>
                <w:lang w:val="es-MX"/>
              </w:rPr>
              <w:t>(“</w:t>
            </w:r>
            <w:proofErr w:type="spellStart"/>
            <w:r w:rsidRPr="00AF4CC2">
              <w:rPr>
                <w:sz w:val="20"/>
                <w:szCs w:val="20"/>
                <w:lang w:val="es-MX"/>
              </w:rPr>
              <w:t>Hecate</w:t>
            </w:r>
            <w:proofErr w:type="spellEnd"/>
            <w:r w:rsidRPr="00AF4CC2">
              <w:rPr>
                <w:sz w:val="20"/>
                <w:szCs w:val="20"/>
                <w:lang w:val="es-MX"/>
              </w:rPr>
              <w:t xml:space="preserve"> 2”)</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203DD56D" w14:textId="769CDC3C" w:rsidR="00ED3154" w:rsidRPr="00CB2CB5" w:rsidRDefault="00ED3154" w:rsidP="007A4980">
            <w:pPr>
              <w:keepNext/>
              <w:keepLines/>
              <w:spacing w:line="276" w:lineRule="auto"/>
              <w:jc w:val="center"/>
              <w:rPr>
                <w:sz w:val="20"/>
                <w:szCs w:val="20"/>
              </w:rPr>
            </w:pPr>
            <w:r>
              <w:rPr>
                <w:sz w:val="20"/>
                <w:szCs w:val="20"/>
              </w:rPr>
              <w:t>Santa Teresa, NM</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7F318066" w14:textId="7AB9DD68" w:rsidR="00ED3154" w:rsidRPr="00CB2CB5" w:rsidRDefault="00ED3154" w:rsidP="007A4980">
            <w:pPr>
              <w:keepNext/>
              <w:keepLines/>
              <w:spacing w:line="276" w:lineRule="auto"/>
              <w:jc w:val="center"/>
              <w:rPr>
                <w:sz w:val="20"/>
                <w:szCs w:val="20"/>
              </w:rPr>
            </w:pPr>
            <w:r>
              <w:rPr>
                <w:sz w:val="20"/>
                <w:szCs w:val="20"/>
              </w:rPr>
              <w:t>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917C609" w14:textId="476FE979" w:rsidR="00ED3154" w:rsidRPr="00CB2CB5" w:rsidRDefault="00ED3154" w:rsidP="007A4980">
            <w:pPr>
              <w:keepNext/>
              <w:keepLines/>
              <w:spacing w:line="276" w:lineRule="auto"/>
              <w:jc w:val="center"/>
              <w:rPr>
                <w:sz w:val="20"/>
                <w:szCs w:val="20"/>
              </w:rPr>
            </w:pPr>
            <w:r>
              <w:rPr>
                <w:sz w:val="20"/>
                <w:szCs w:val="20"/>
              </w:rPr>
              <w:t>December 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10152036" w14:textId="2B5CA931" w:rsidR="00ED3154" w:rsidRPr="00CB2CB5" w:rsidRDefault="00ED3154" w:rsidP="007A4980">
            <w:pPr>
              <w:keepNext/>
              <w:keepLines/>
              <w:spacing w:line="276" w:lineRule="auto"/>
              <w:jc w:val="center"/>
              <w:rPr>
                <w:sz w:val="20"/>
                <w:szCs w:val="20"/>
              </w:rPr>
            </w:pPr>
            <w:r w:rsidRPr="00CB2CB5">
              <w:rPr>
                <w:sz w:val="20"/>
                <w:szCs w:val="20"/>
              </w:rPr>
              <w:t>20 years</w:t>
            </w:r>
          </w:p>
        </w:tc>
      </w:tr>
    </w:tbl>
    <w:p w14:paraId="2D830C3D" w14:textId="77777777" w:rsidR="002E09F5" w:rsidRPr="00CB2CB5" w:rsidRDefault="002E09F5" w:rsidP="008759DE">
      <w:pPr>
        <w:pStyle w:val="ListParagraph"/>
        <w:tabs>
          <w:tab w:val="left" w:pos="1080"/>
        </w:tabs>
        <w:spacing w:after="0" w:line="276" w:lineRule="auto"/>
        <w:ind w:left="1080"/>
        <w:contextualSpacing w:val="0"/>
        <w:jc w:val="both"/>
        <w:rPr>
          <w:rFonts w:ascii="Times New Roman" w:eastAsia="Times New Roman" w:hAnsi="Times New Roman"/>
          <w:sz w:val="24"/>
        </w:rPr>
      </w:pPr>
    </w:p>
    <w:p w14:paraId="17794DDD" w14:textId="4638043A" w:rsidR="002E09F5" w:rsidRPr="00CB2CB5" w:rsidRDefault="003B6093" w:rsidP="008759DE">
      <w:pPr>
        <w:pStyle w:val="ListParagraph"/>
        <w:tabs>
          <w:tab w:val="left" w:pos="1080"/>
        </w:tabs>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Additionally, i</w:t>
      </w:r>
      <w:r w:rsidR="002E09F5" w:rsidRPr="00CB2CB5">
        <w:rPr>
          <w:rFonts w:ascii="Times New Roman" w:eastAsia="Times New Roman" w:hAnsi="Times New Roman"/>
          <w:sz w:val="24"/>
        </w:rPr>
        <w:t>nterconnected</w:t>
      </w:r>
      <w:r w:rsidRPr="00CB2CB5">
        <w:rPr>
          <w:rFonts w:ascii="Times New Roman" w:eastAsia="Times New Roman" w:hAnsi="Times New Roman"/>
          <w:sz w:val="24"/>
        </w:rPr>
        <w:t xml:space="preserve"> </w:t>
      </w:r>
      <w:r w:rsidR="00D506DD" w:rsidRPr="00CB2CB5">
        <w:rPr>
          <w:rFonts w:ascii="Times New Roman" w:eastAsia="Times New Roman" w:hAnsi="Times New Roman"/>
          <w:sz w:val="24"/>
        </w:rPr>
        <w:t>to</w:t>
      </w:r>
      <w:r w:rsidR="002E09F5" w:rsidRPr="00CB2CB5">
        <w:rPr>
          <w:rFonts w:ascii="Times New Roman" w:eastAsia="Times New Roman" w:hAnsi="Times New Roman"/>
          <w:sz w:val="24"/>
        </w:rPr>
        <w:t xml:space="preserve"> </w:t>
      </w:r>
      <w:r w:rsidR="00953D30" w:rsidRPr="00CB2CB5">
        <w:rPr>
          <w:rFonts w:ascii="Times New Roman" w:eastAsia="Times New Roman" w:hAnsi="Times New Roman"/>
          <w:sz w:val="24"/>
        </w:rPr>
        <w:t>EPE</w:t>
      </w:r>
      <w:r w:rsidR="00B81EE4" w:rsidRPr="00CB2CB5">
        <w:rPr>
          <w:rFonts w:ascii="Times New Roman" w:eastAsia="Times New Roman" w:hAnsi="Times New Roman"/>
          <w:sz w:val="24"/>
        </w:rPr>
        <w:t>'</w:t>
      </w:r>
      <w:r w:rsidR="00953D30" w:rsidRPr="00CB2CB5">
        <w:rPr>
          <w:rFonts w:ascii="Times New Roman" w:eastAsia="Times New Roman" w:hAnsi="Times New Roman"/>
          <w:sz w:val="24"/>
        </w:rPr>
        <w:t xml:space="preserve">s </w:t>
      </w:r>
      <w:r w:rsidR="002E09F5" w:rsidRPr="00CB2CB5">
        <w:rPr>
          <w:rFonts w:ascii="Times New Roman" w:eastAsia="Times New Roman" w:hAnsi="Times New Roman"/>
          <w:sz w:val="24"/>
        </w:rPr>
        <w:t xml:space="preserve">system </w:t>
      </w:r>
      <w:r w:rsidR="00953D30" w:rsidRPr="00CB2CB5">
        <w:rPr>
          <w:rFonts w:ascii="Times New Roman" w:eastAsia="Times New Roman" w:hAnsi="Times New Roman"/>
          <w:sz w:val="24"/>
        </w:rPr>
        <w:t xml:space="preserve">is </w:t>
      </w:r>
      <w:r w:rsidR="002E09F5" w:rsidRPr="00CB2CB5">
        <w:rPr>
          <w:rFonts w:ascii="Times New Roman" w:eastAsia="Times New Roman" w:hAnsi="Times New Roman"/>
          <w:sz w:val="24"/>
        </w:rPr>
        <w:t xml:space="preserve">a biogas energy </w:t>
      </w:r>
      <w:proofErr w:type="spellStart"/>
      <w:r w:rsidR="00661BF6">
        <w:rPr>
          <w:rFonts w:ascii="Times New Roman" w:eastAsia="Times New Roman" w:hAnsi="Times New Roman"/>
          <w:sz w:val="24"/>
        </w:rPr>
        <w:t>QF</w:t>
      </w:r>
      <w:proofErr w:type="spellEnd"/>
      <w:r w:rsidR="002E09F5" w:rsidRPr="00CB2CB5">
        <w:rPr>
          <w:rFonts w:ascii="Times New Roman" w:eastAsia="Times New Roman" w:hAnsi="Times New Roman"/>
          <w:sz w:val="24"/>
        </w:rPr>
        <w:t xml:space="preserve">, </w:t>
      </w:r>
      <w:r w:rsidR="00D77AE8">
        <w:rPr>
          <w:rFonts w:ascii="Times New Roman" w:eastAsia="Times New Roman" w:hAnsi="Times New Roman"/>
          <w:sz w:val="24"/>
        </w:rPr>
        <w:t xml:space="preserve">the </w:t>
      </w:r>
      <w:r w:rsidR="002E09F5" w:rsidRPr="00CB2CB5">
        <w:rPr>
          <w:rFonts w:ascii="Times New Roman" w:eastAsia="Times New Roman" w:hAnsi="Times New Roman"/>
          <w:sz w:val="24"/>
        </w:rPr>
        <w:t>Camino Real Landfill Gas to Energy Facility</w:t>
      </w:r>
      <w:r w:rsidR="00E04DA1">
        <w:rPr>
          <w:rFonts w:ascii="Times New Roman" w:eastAsia="Times New Roman" w:hAnsi="Times New Roman"/>
          <w:sz w:val="24"/>
        </w:rPr>
        <w:t xml:space="preserve"> or Four Peaks</w:t>
      </w:r>
      <w:r w:rsidR="002E09F5" w:rsidRPr="00CB2CB5">
        <w:rPr>
          <w:rFonts w:ascii="Times New Roman" w:eastAsia="Times New Roman" w:hAnsi="Times New Roman"/>
          <w:sz w:val="24"/>
        </w:rPr>
        <w:t xml:space="preserve"> (3.2</w:t>
      </w:r>
      <w:r w:rsidR="004275C1" w:rsidRPr="00CB2CB5">
        <w:rPr>
          <w:rFonts w:ascii="Times New Roman" w:eastAsia="Times New Roman" w:hAnsi="Times New Roman"/>
          <w:sz w:val="24"/>
        </w:rPr>
        <w:t> </w:t>
      </w:r>
      <w:r w:rsidR="002E09F5" w:rsidRPr="00CB2CB5">
        <w:rPr>
          <w:rFonts w:ascii="Times New Roman" w:eastAsia="Times New Roman" w:hAnsi="Times New Roman"/>
          <w:sz w:val="24"/>
        </w:rPr>
        <w:t>MW)</w:t>
      </w:r>
      <w:r w:rsidR="00661BF6">
        <w:rPr>
          <w:rFonts w:ascii="Times New Roman" w:eastAsia="Times New Roman" w:hAnsi="Times New Roman"/>
          <w:sz w:val="24"/>
        </w:rPr>
        <w:t xml:space="preserve"> </w:t>
      </w:r>
      <w:r w:rsidR="002E09F5" w:rsidRPr="00CB2CB5">
        <w:rPr>
          <w:rFonts w:ascii="Times New Roman" w:eastAsia="Times New Roman" w:hAnsi="Times New Roman"/>
          <w:sz w:val="24"/>
        </w:rPr>
        <w:t>located in Sunland Park, New Mexico (at the Camino Real Landfill).</w:t>
      </w:r>
      <w:r w:rsidR="006362AE">
        <w:rPr>
          <w:rStyle w:val="FootnoteReference"/>
          <w:rFonts w:ascii="Times New Roman" w:eastAsia="Times New Roman" w:hAnsi="Times New Roman"/>
          <w:sz w:val="24"/>
        </w:rPr>
        <w:footnoteReference w:id="3"/>
      </w:r>
      <w:r w:rsidR="002E09F5" w:rsidRPr="00CB2CB5">
        <w:rPr>
          <w:rFonts w:ascii="Times New Roman" w:eastAsia="Times New Roman" w:hAnsi="Times New Roman"/>
          <w:sz w:val="24"/>
        </w:rPr>
        <w:t xml:space="preserve"> </w:t>
      </w:r>
      <w:r w:rsidR="00CB534D" w:rsidRPr="00CB2CB5">
        <w:rPr>
          <w:rFonts w:ascii="Times New Roman" w:eastAsia="Times New Roman" w:hAnsi="Times New Roman"/>
          <w:sz w:val="24"/>
        </w:rPr>
        <w:t>Further</w:t>
      </w:r>
      <w:r w:rsidR="00D77AE8">
        <w:rPr>
          <w:rFonts w:ascii="Times New Roman" w:eastAsia="Times New Roman" w:hAnsi="Times New Roman"/>
          <w:sz w:val="24"/>
        </w:rPr>
        <w:t>more</w:t>
      </w:r>
      <w:r w:rsidR="002E09F5" w:rsidRPr="00CB2CB5">
        <w:rPr>
          <w:rFonts w:ascii="Times New Roman" w:eastAsia="Times New Roman" w:hAnsi="Times New Roman"/>
          <w:sz w:val="24"/>
        </w:rPr>
        <w:t xml:space="preserve">, EPE offers net metering and </w:t>
      </w:r>
      <w:r w:rsidR="00BA504D" w:rsidRPr="00CB2CB5">
        <w:rPr>
          <w:rFonts w:ascii="Times New Roman" w:eastAsia="Times New Roman" w:hAnsi="Times New Roman"/>
          <w:sz w:val="24"/>
        </w:rPr>
        <w:t>REC</w:t>
      </w:r>
      <w:r w:rsidR="002E09F5" w:rsidRPr="00CB2CB5">
        <w:rPr>
          <w:rFonts w:ascii="Times New Roman" w:eastAsia="Times New Roman" w:hAnsi="Times New Roman"/>
          <w:sz w:val="24"/>
        </w:rPr>
        <w:t xml:space="preserve"> programs for customer</w:t>
      </w:r>
      <w:r w:rsidR="000A7400" w:rsidRPr="00CB2CB5">
        <w:rPr>
          <w:rFonts w:ascii="Times New Roman" w:eastAsia="Times New Roman" w:hAnsi="Times New Roman"/>
          <w:sz w:val="24"/>
        </w:rPr>
        <w:noBreakHyphen/>
      </w:r>
      <w:r w:rsidR="002E09F5" w:rsidRPr="00CB2CB5">
        <w:rPr>
          <w:rFonts w:ascii="Times New Roman" w:eastAsia="Times New Roman" w:hAnsi="Times New Roman"/>
          <w:sz w:val="24"/>
        </w:rPr>
        <w:t xml:space="preserve">owned solar PV and wind generation. </w:t>
      </w:r>
      <w:r w:rsidR="000F3C43" w:rsidRPr="00CB2CB5">
        <w:rPr>
          <w:rFonts w:ascii="Times New Roman" w:eastAsia="Times New Roman" w:hAnsi="Times New Roman"/>
          <w:sz w:val="24"/>
        </w:rPr>
        <w:t xml:space="preserve"> </w:t>
      </w:r>
      <w:r w:rsidR="002E09F5" w:rsidRPr="00CB2CB5">
        <w:rPr>
          <w:rFonts w:ascii="Times New Roman" w:eastAsia="Times New Roman" w:hAnsi="Times New Roman"/>
          <w:sz w:val="24"/>
        </w:rPr>
        <w:t xml:space="preserve">The RECs obtained </w:t>
      </w:r>
      <w:r w:rsidR="0018313F">
        <w:rPr>
          <w:rFonts w:ascii="Times New Roman" w:eastAsia="Times New Roman" w:hAnsi="Times New Roman"/>
          <w:sz w:val="24"/>
        </w:rPr>
        <w:t>from</w:t>
      </w:r>
      <w:r w:rsidR="002E09F5" w:rsidRPr="00CB2CB5">
        <w:rPr>
          <w:rFonts w:ascii="Times New Roman" w:eastAsia="Times New Roman" w:hAnsi="Times New Roman"/>
          <w:sz w:val="24"/>
        </w:rPr>
        <w:t xml:space="preserve"> </w:t>
      </w:r>
      <w:r w:rsidR="0018313F">
        <w:rPr>
          <w:rFonts w:ascii="Times New Roman" w:eastAsia="Times New Roman" w:hAnsi="Times New Roman"/>
          <w:sz w:val="24"/>
        </w:rPr>
        <w:t xml:space="preserve">New Mexico </w:t>
      </w:r>
      <w:r w:rsidR="00754388">
        <w:rPr>
          <w:rFonts w:ascii="Times New Roman" w:eastAsia="Times New Roman" w:hAnsi="Times New Roman"/>
          <w:sz w:val="24"/>
        </w:rPr>
        <w:t xml:space="preserve">renewable </w:t>
      </w:r>
      <w:r w:rsidR="002E09F5" w:rsidRPr="00CB2CB5">
        <w:rPr>
          <w:rFonts w:ascii="Times New Roman" w:eastAsia="Times New Roman" w:hAnsi="Times New Roman"/>
          <w:sz w:val="24"/>
        </w:rPr>
        <w:t>resources</w:t>
      </w:r>
      <w:r w:rsidR="0018313F">
        <w:rPr>
          <w:rFonts w:ascii="Times New Roman" w:eastAsia="Times New Roman" w:hAnsi="Times New Roman"/>
          <w:sz w:val="24"/>
        </w:rPr>
        <w:t xml:space="preserve"> </w:t>
      </w:r>
      <w:r w:rsidR="002E09F5" w:rsidRPr="00CB2CB5">
        <w:rPr>
          <w:rFonts w:ascii="Times New Roman" w:eastAsia="Times New Roman" w:hAnsi="Times New Roman"/>
          <w:sz w:val="24"/>
        </w:rPr>
        <w:t xml:space="preserve">are used to meet </w:t>
      </w:r>
      <w:r w:rsidR="00953D30" w:rsidRPr="00CB2CB5">
        <w:rPr>
          <w:rFonts w:ascii="Times New Roman" w:eastAsia="Times New Roman" w:hAnsi="Times New Roman"/>
          <w:sz w:val="24"/>
        </w:rPr>
        <w:t>EPE</w:t>
      </w:r>
      <w:r w:rsidR="00B81EE4" w:rsidRPr="00CB2CB5">
        <w:rPr>
          <w:rFonts w:ascii="Times New Roman" w:eastAsia="Times New Roman" w:hAnsi="Times New Roman"/>
          <w:sz w:val="24"/>
        </w:rPr>
        <w:t>'</w:t>
      </w:r>
      <w:r w:rsidR="00953D30" w:rsidRPr="00CB2CB5">
        <w:rPr>
          <w:rFonts w:ascii="Times New Roman" w:eastAsia="Times New Roman" w:hAnsi="Times New Roman"/>
          <w:sz w:val="24"/>
        </w:rPr>
        <w:t xml:space="preserve">s </w:t>
      </w:r>
      <w:r w:rsidR="002E09F5" w:rsidRPr="00CB2CB5">
        <w:rPr>
          <w:rFonts w:ascii="Times New Roman" w:eastAsia="Times New Roman" w:hAnsi="Times New Roman"/>
          <w:sz w:val="24"/>
        </w:rPr>
        <w:t>New</w:t>
      </w:r>
      <w:r w:rsidR="000A7400" w:rsidRPr="00CB2CB5">
        <w:rPr>
          <w:rFonts w:ascii="Times New Roman" w:eastAsia="Times New Roman" w:hAnsi="Times New Roman"/>
          <w:sz w:val="24"/>
        </w:rPr>
        <w:t> </w:t>
      </w:r>
      <w:r w:rsidR="002E09F5" w:rsidRPr="00CB2CB5">
        <w:rPr>
          <w:rFonts w:ascii="Times New Roman" w:eastAsia="Times New Roman" w:hAnsi="Times New Roman"/>
          <w:sz w:val="24"/>
        </w:rPr>
        <w:t>Mexico RPS requirements.</w:t>
      </w:r>
    </w:p>
    <w:p w14:paraId="23ACD8A0" w14:textId="77777777" w:rsidR="00F73ABC" w:rsidRPr="00CB2CB5" w:rsidRDefault="00F73ABC" w:rsidP="008759DE">
      <w:pPr>
        <w:pStyle w:val="ListParagraph"/>
        <w:tabs>
          <w:tab w:val="left" w:pos="1080"/>
        </w:tabs>
        <w:spacing w:after="0" w:line="276" w:lineRule="auto"/>
        <w:ind w:left="1080"/>
        <w:contextualSpacing w:val="0"/>
        <w:jc w:val="both"/>
        <w:rPr>
          <w:rFonts w:ascii="Times New Roman" w:eastAsia="Times New Roman" w:hAnsi="Times New Roman"/>
          <w:sz w:val="24"/>
        </w:rPr>
      </w:pPr>
    </w:p>
    <w:p w14:paraId="38F93472" w14:textId="26AEBD60" w:rsidR="00561ECF" w:rsidRDefault="00561ECF" w:rsidP="008759DE">
      <w:pPr>
        <w:pStyle w:val="ListParagraph"/>
        <w:tabs>
          <w:tab w:val="left" w:pos="1080"/>
        </w:tabs>
        <w:spacing w:after="0" w:line="276" w:lineRule="auto"/>
        <w:ind w:left="1080"/>
        <w:contextualSpacing w:val="0"/>
        <w:jc w:val="both"/>
        <w:rPr>
          <w:rFonts w:ascii="Times New Roman" w:eastAsia="Times New Roman" w:hAnsi="Times New Roman"/>
          <w:sz w:val="24"/>
        </w:rPr>
      </w:pPr>
      <w:r w:rsidRPr="00561ECF">
        <w:rPr>
          <w:rFonts w:ascii="Times New Roman" w:eastAsia="Times New Roman" w:hAnsi="Times New Roman"/>
          <w:sz w:val="24"/>
        </w:rPr>
        <w:t xml:space="preserve">On November 18, 2019, the Company filed for </w:t>
      </w:r>
      <w:r w:rsidR="00D8683B">
        <w:rPr>
          <w:rFonts w:ascii="Times New Roman" w:eastAsia="Times New Roman" w:hAnsi="Times New Roman"/>
          <w:sz w:val="24"/>
        </w:rPr>
        <w:t>NMPRC</w:t>
      </w:r>
      <w:r w:rsidRPr="00561ECF">
        <w:rPr>
          <w:rFonts w:ascii="Times New Roman" w:eastAsia="Times New Roman" w:hAnsi="Times New Roman"/>
          <w:sz w:val="24"/>
        </w:rPr>
        <w:t xml:space="preserve"> approval </w:t>
      </w:r>
      <w:r w:rsidR="00D8683B">
        <w:rPr>
          <w:rFonts w:ascii="Times New Roman" w:eastAsia="Times New Roman" w:hAnsi="Times New Roman"/>
          <w:sz w:val="24"/>
        </w:rPr>
        <w:t>of the</w:t>
      </w:r>
      <w:r w:rsidRPr="00561ECF">
        <w:rPr>
          <w:rFonts w:ascii="Times New Roman" w:eastAsia="Times New Roman" w:hAnsi="Times New Roman"/>
          <w:sz w:val="24"/>
        </w:rPr>
        <w:t xml:space="preserve"> </w:t>
      </w:r>
      <w:r w:rsidR="006362AE">
        <w:rPr>
          <w:rFonts w:ascii="Times New Roman" w:eastAsia="Times New Roman" w:hAnsi="Times New Roman"/>
          <w:sz w:val="24"/>
        </w:rPr>
        <w:t>PPAs</w:t>
      </w:r>
      <w:r w:rsidR="00D8683B">
        <w:rPr>
          <w:rFonts w:ascii="Times New Roman" w:eastAsia="Times New Roman" w:hAnsi="Times New Roman"/>
          <w:sz w:val="24"/>
        </w:rPr>
        <w:t xml:space="preserve"> selected from</w:t>
      </w:r>
      <w:r w:rsidRPr="00561ECF">
        <w:rPr>
          <w:rFonts w:ascii="Times New Roman" w:eastAsia="Times New Roman" w:hAnsi="Times New Roman"/>
          <w:sz w:val="24"/>
        </w:rPr>
        <w:t xml:space="preserve"> the Company's 2017 All Source </w:t>
      </w:r>
      <w:r w:rsidR="00953F38">
        <w:rPr>
          <w:rFonts w:ascii="Times New Roman" w:eastAsia="Times New Roman" w:hAnsi="Times New Roman"/>
          <w:sz w:val="24"/>
        </w:rPr>
        <w:t>RFP</w:t>
      </w:r>
      <w:r w:rsidRPr="00561ECF">
        <w:rPr>
          <w:rFonts w:ascii="Times New Roman" w:eastAsia="Times New Roman" w:hAnsi="Times New Roman"/>
          <w:sz w:val="24"/>
        </w:rPr>
        <w:t xml:space="preserve"> for Electric Power Supply and Load </w:t>
      </w:r>
      <w:r w:rsidRPr="00561ECF">
        <w:rPr>
          <w:rFonts w:ascii="Times New Roman" w:eastAsia="Times New Roman" w:hAnsi="Times New Roman"/>
          <w:sz w:val="24"/>
        </w:rPr>
        <w:lastRenderedPageBreak/>
        <w:t>Management Resources. The two</w:t>
      </w:r>
      <w:r w:rsidR="00D8683B">
        <w:rPr>
          <w:rFonts w:ascii="Times New Roman" w:eastAsia="Times New Roman" w:hAnsi="Times New Roman"/>
          <w:sz w:val="24"/>
        </w:rPr>
        <w:t>, NMPRC-approved</w:t>
      </w:r>
      <w:r w:rsidRPr="00561ECF">
        <w:rPr>
          <w:rFonts w:ascii="Times New Roman" w:eastAsia="Times New Roman" w:hAnsi="Times New Roman"/>
          <w:sz w:val="24"/>
        </w:rPr>
        <w:t xml:space="preserve"> </w:t>
      </w:r>
      <w:r w:rsidR="006362AE">
        <w:rPr>
          <w:rFonts w:ascii="Times New Roman" w:eastAsia="Times New Roman" w:hAnsi="Times New Roman"/>
          <w:sz w:val="24"/>
        </w:rPr>
        <w:t>PPAs</w:t>
      </w:r>
      <w:r w:rsidR="00923A4B">
        <w:rPr>
          <w:rFonts w:ascii="Times New Roman" w:eastAsia="Times New Roman" w:hAnsi="Times New Roman"/>
          <w:sz w:val="24"/>
        </w:rPr>
        <w:t xml:space="preserve"> </w:t>
      </w:r>
      <w:r w:rsidRPr="00561ECF">
        <w:rPr>
          <w:rFonts w:ascii="Times New Roman" w:eastAsia="Times New Roman" w:hAnsi="Times New Roman"/>
          <w:sz w:val="24"/>
        </w:rPr>
        <w:t>include</w:t>
      </w:r>
      <w:proofErr w:type="gramStart"/>
      <w:r>
        <w:rPr>
          <w:rFonts w:ascii="Times New Roman" w:eastAsia="Times New Roman" w:hAnsi="Times New Roman"/>
          <w:sz w:val="24"/>
        </w:rPr>
        <w:t xml:space="preserve">: </w:t>
      </w:r>
      <w:r w:rsidRPr="00561ECF">
        <w:rPr>
          <w:rFonts w:ascii="Times New Roman" w:eastAsia="Times New Roman" w:hAnsi="Times New Roman"/>
          <w:sz w:val="24"/>
        </w:rPr>
        <w:t xml:space="preserve"> (</w:t>
      </w:r>
      <w:proofErr w:type="gramEnd"/>
      <w:r w:rsidRPr="00561ECF">
        <w:rPr>
          <w:rFonts w:ascii="Times New Roman" w:eastAsia="Times New Roman" w:hAnsi="Times New Roman"/>
          <w:sz w:val="24"/>
        </w:rPr>
        <w:t>i) a 100 MW solar plant to be constructed in Santa Teresa, New Mexico;  and (ii) a 100 MW solar plant combined with a 50 MW battery energy storage to be constructed in Otero County, New Mexico</w:t>
      </w:r>
      <w:r>
        <w:rPr>
          <w:rFonts w:ascii="Times New Roman" w:eastAsia="Times New Roman" w:hAnsi="Times New Roman"/>
          <w:sz w:val="24"/>
        </w:rPr>
        <w:t xml:space="preserve">.  </w:t>
      </w:r>
      <w:r w:rsidRPr="00561ECF">
        <w:rPr>
          <w:rFonts w:ascii="Times New Roman" w:eastAsia="Times New Roman" w:hAnsi="Times New Roman"/>
          <w:sz w:val="24"/>
        </w:rPr>
        <w:t xml:space="preserve">On March 31, 2020 the Company filed for regulatory approval with the NMPRC for two additional </w:t>
      </w:r>
      <w:r w:rsidR="006362AE">
        <w:rPr>
          <w:rFonts w:ascii="Times New Roman" w:eastAsia="Times New Roman" w:hAnsi="Times New Roman"/>
          <w:sz w:val="24"/>
        </w:rPr>
        <w:t xml:space="preserve">solar resources </w:t>
      </w:r>
      <w:r w:rsidRPr="00561ECF">
        <w:rPr>
          <w:rFonts w:ascii="Times New Roman" w:eastAsia="Times New Roman" w:hAnsi="Times New Roman"/>
          <w:sz w:val="24"/>
        </w:rPr>
        <w:t>to meet</w:t>
      </w:r>
      <w:r w:rsidR="006362AE">
        <w:rPr>
          <w:rFonts w:ascii="Times New Roman" w:eastAsia="Times New Roman" w:hAnsi="Times New Roman"/>
          <w:sz w:val="24"/>
        </w:rPr>
        <w:t xml:space="preserve"> the</w:t>
      </w:r>
      <w:r w:rsidR="00951E13">
        <w:rPr>
          <w:rFonts w:ascii="Times New Roman" w:eastAsia="Times New Roman" w:hAnsi="Times New Roman"/>
          <w:sz w:val="24"/>
        </w:rPr>
        <w:t xml:space="preserve"> New Mexico </w:t>
      </w:r>
      <w:r w:rsidRPr="00561ECF">
        <w:rPr>
          <w:rFonts w:ascii="Times New Roman" w:eastAsia="Times New Roman" w:hAnsi="Times New Roman"/>
          <w:sz w:val="24"/>
        </w:rPr>
        <w:t xml:space="preserve">RPS. These two additional </w:t>
      </w:r>
      <w:r w:rsidR="00D8683B">
        <w:rPr>
          <w:rFonts w:ascii="Times New Roman" w:eastAsia="Times New Roman" w:hAnsi="Times New Roman"/>
          <w:sz w:val="24"/>
        </w:rPr>
        <w:t xml:space="preserve">renewable resources </w:t>
      </w:r>
      <w:r w:rsidRPr="00561ECF">
        <w:rPr>
          <w:rFonts w:ascii="Times New Roman" w:eastAsia="Times New Roman" w:hAnsi="Times New Roman"/>
          <w:sz w:val="24"/>
        </w:rPr>
        <w:t>were approved by the NMPRC on December 2, 2020 and include: (iii) a 50 MW solar plant to be constructed in Santa Teresa, New Mexico and (iv) a 20 MW solar plant to be constructed in Otero County, New Mexico</w:t>
      </w:r>
      <w:r>
        <w:rPr>
          <w:rFonts w:ascii="Times New Roman" w:eastAsia="Times New Roman" w:hAnsi="Times New Roman"/>
          <w:sz w:val="24"/>
        </w:rPr>
        <w:t>.</w:t>
      </w:r>
    </w:p>
    <w:p w14:paraId="689B2080" w14:textId="77777777" w:rsidR="00561ECF" w:rsidRDefault="00561ECF" w:rsidP="008759DE">
      <w:pPr>
        <w:pStyle w:val="ListParagraph"/>
        <w:tabs>
          <w:tab w:val="left" w:pos="1080"/>
        </w:tabs>
        <w:spacing w:after="0" w:line="276" w:lineRule="auto"/>
        <w:ind w:left="1080"/>
        <w:contextualSpacing w:val="0"/>
        <w:jc w:val="both"/>
        <w:rPr>
          <w:rFonts w:ascii="Times New Roman" w:eastAsia="Times New Roman" w:hAnsi="Times New Roman"/>
          <w:sz w:val="24"/>
        </w:rPr>
      </w:pPr>
    </w:p>
    <w:p w14:paraId="2BD47EEC" w14:textId="46E27E31" w:rsidR="001A2448" w:rsidRDefault="00F73ABC" w:rsidP="00CF1803">
      <w:pPr>
        <w:pStyle w:val="ListParagraph"/>
        <w:tabs>
          <w:tab w:val="left" w:pos="1080"/>
        </w:tabs>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In combination with existing </w:t>
      </w:r>
      <w:r w:rsidR="00652006">
        <w:rPr>
          <w:rFonts w:ascii="Times New Roman" w:eastAsia="Times New Roman" w:hAnsi="Times New Roman"/>
          <w:sz w:val="24"/>
        </w:rPr>
        <w:t xml:space="preserve">and upcoming </w:t>
      </w:r>
      <w:r w:rsidRPr="00CB2CB5">
        <w:rPr>
          <w:rFonts w:ascii="Times New Roman" w:eastAsia="Times New Roman" w:hAnsi="Times New Roman"/>
          <w:sz w:val="24"/>
        </w:rPr>
        <w:t>EPE</w:t>
      </w:r>
      <w:r w:rsidR="0018313F">
        <w:rPr>
          <w:rFonts w:ascii="Times New Roman" w:eastAsia="Times New Roman" w:hAnsi="Times New Roman"/>
          <w:sz w:val="24"/>
        </w:rPr>
        <w:t>-</w:t>
      </w:r>
      <w:r w:rsidRPr="00CB2CB5">
        <w:rPr>
          <w:rFonts w:ascii="Times New Roman" w:eastAsia="Times New Roman" w:hAnsi="Times New Roman"/>
          <w:sz w:val="24"/>
        </w:rPr>
        <w:t>owned resources, these PPAs provide diverse capacity to serve load and give EPE and its customers a robust starting point when analyzing the most cost</w:t>
      </w:r>
      <w:r w:rsidRPr="00CB2CB5">
        <w:rPr>
          <w:rFonts w:ascii="Times New Roman" w:eastAsia="Times New Roman" w:hAnsi="Times New Roman"/>
          <w:sz w:val="24"/>
        </w:rPr>
        <w:noBreakHyphen/>
        <w:t xml:space="preserve">effective </w:t>
      </w:r>
      <w:r w:rsidR="00D8683B">
        <w:rPr>
          <w:rFonts w:ascii="Times New Roman" w:eastAsia="Times New Roman" w:hAnsi="Times New Roman"/>
          <w:sz w:val="24"/>
        </w:rPr>
        <w:t>IRP</w:t>
      </w:r>
      <w:r w:rsidRPr="00CB2CB5">
        <w:rPr>
          <w:rFonts w:ascii="Times New Roman" w:eastAsia="Times New Roman" w:hAnsi="Times New Roman"/>
          <w:sz w:val="24"/>
        </w:rPr>
        <w:t>.</w:t>
      </w:r>
      <w:r w:rsidR="00CF1803">
        <w:rPr>
          <w:rFonts w:ascii="Times New Roman" w:eastAsia="Times New Roman" w:hAnsi="Times New Roman"/>
          <w:sz w:val="24"/>
        </w:rPr>
        <w:t xml:space="preserve">  </w:t>
      </w:r>
      <w:r w:rsidR="005610C7" w:rsidRPr="00CB2CB5">
        <w:rPr>
          <w:rFonts w:ascii="Times New Roman" w:eastAsia="Times New Roman" w:hAnsi="Times New Roman"/>
          <w:sz w:val="24"/>
        </w:rPr>
        <w:t xml:space="preserve">Additionally, </w:t>
      </w:r>
      <w:r w:rsidR="00505BC3" w:rsidRPr="00CB2CB5">
        <w:rPr>
          <w:rFonts w:ascii="Times New Roman" w:eastAsia="Times New Roman" w:hAnsi="Times New Roman"/>
          <w:sz w:val="24"/>
        </w:rPr>
        <w:t xml:space="preserve">EPE </w:t>
      </w:r>
      <w:r w:rsidR="00D8683B">
        <w:rPr>
          <w:rFonts w:ascii="Times New Roman" w:eastAsia="Times New Roman" w:hAnsi="Times New Roman"/>
          <w:sz w:val="24"/>
        </w:rPr>
        <w:t>utilizes</w:t>
      </w:r>
      <w:r w:rsidR="005610C7" w:rsidRPr="00CB2CB5">
        <w:rPr>
          <w:rFonts w:ascii="Times New Roman" w:eastAsia="Times New Roman" w:hAnsi="Times New Roman"/>
          <w:sz w:val="24"/>
        </w:rPr>
        <w:t xml:space="preserve"> </w:t>
      </w:r>
      <w:r w:rsidR="00505BC3" w:rsidRPr="00CB2CB5">
        <w:rPr>
          <w:rFonts w:ascii="Times New Roman" w:eastAsia="Times New Roman" w:hAnsi="Times New Roman"/>
          <w:sz w:val="24"/>
        </w:rPr>
        <w:t xml:space="preserve">short-term </w:t>
      </w:r>
      <w:r w:rsidR="005610C7" w:rsidRPr="00CB2CB5">
        <w:rPr>
          <w:rFonts w:ascii="Times New Roman" w:eastAsia="Times New Roman" w:hAnsi="Times New Roman"/>
          <w:sz w:val="24"/>
        </w:rPr>
        <w:t xml:space="preserve">market purchases to </w:t>
      </w:r>
      <w:r w:rsidR="001A2448" w:rsidRPr="00CB2CB5">
        <w:rPr>
          <w:rFonts w:ascii="Times New Roman" w:eastAsia="Times New Roman" w:hAnsi="Times New Roman"/>
          <w:sz w:val="24"/>
        </w:rPr>
        <w:t xml:space="preserve">mitigate the need for new resource additions </w:t>
      </w:r>
      <w:r w:rsidR="005610C7" w:rsidRPr="00CB2CB5">
        <w:rPr>
          <w:rFonts w:ascii="Times New Roman" w:eastAsia="Times New Roman" w:hAnsi="Times New Roman"/>
          <w:sz w:val="24"/>
        </w:rPr>
        <w:t>and</w:t>
      </w:r>
      <w:r w:rsidR="00505BC3" w:rsidRPr="00CB2CB5">
        <w:rPr>
          <w:rFonts w:ascii="Times New Roman" w:eastAsia="Times New Roman" w:hAnsi="Times New Roman"/>
          <w:sz w:val="24"/>
        </w:rPr>
        <w:t xml:space="preserve"> to </w:t>
      </w:r>
      <w:r w:rsidR="005610C7" w:rsidRPr="00CB2CB5">
        <w:rPr>
          <w:rFonts w:ascii="Times New Roman" w:eastAsia="Times New Roman" w:hAnsi="Times New Roman"/>
          <w:sz w:val="24"/>
        </w:rPr>
        <w:t>allow for economic</w:t>
      </w:r>
      <w:r w:rsidR="0018313F">
        <w:rPr>
          <w:rFonts w:ascii="Times New Roman" w:eastAsia="Times New Roman" w:hAnsi="Times New Roman"/>
          <w:sz w:val="24"/>
        </w:rPr>
        <w:t>al</w:t>
      </w:r>
      <w:r w:rsidR="005610C7" w:rsidRPr="00CB2CB5">
        <w:rPr>
          <w:rFonts w:ascii="Times New Roman" w:eastAsia="Times New Roman" w:hAnsi="Times New Roman"/>
          <w:sz w:val="24"/>
        </w:rPr>
        <w:t xml:space="preserve"> resource selections.  </w:t>
      </w:r>
    </w:p>
    <w:p w14:paraId="47F4D178" w14:textId="1614D099" w:rsidR="000E7287" w:rsidRDefault="000E7287" w:rsidP="008759DE">
      <w:pPr>
        <w:pStyle w:val="ListParagraph"/>
        <w:tabs>
          <w:tab w:val="left" w:pos="1080"/>
        </w:tabs>
        <w:spacing w:after="0" w:line="276" w:lineRule="auto"/>
        <w:ind w:left="1080"/>
        <w:contextualSpacing w:val="0"/>
        <w:jc w:val="both"/>
        <w:rPr>
          <w:rFonts w:ascii="Times New Roman" w:eastAsia="Times New Roman" w:hAnsi="Times New Roman"/>
          <w:sz w:val="24"/>
        </w:rPr>
      </w:pPr>
    </w:p>
    <w:p w14:paraId="37934105" w14:textId="57FFEC23" w:rsidR="000E7287" w:rsidRDefault="000E7287" w:rsidP="00AF4CC2">
      <w:pPr>
        <w:pStyle w:val="Heading3"/>
        <w:spacing w:line="276" w:lineRule="auto"/>
        <w:ind w:left="1440"/>
        <w:rPr>
          <w:rFonts w:eastAsia="Times New Roman"/>
        </w:rPr>
      </w:pPr>
      <w:r>
        <w:rPr>
          <w:rFonts w:eastAsia="Times New Roman"/>
        </w:rPr>
        <w:t>Approved Utility-owned Generation not In-service</w:t>
      </w:r>
    </w:p>
    <w:p w14:paraId="1012E857" w14:textId="0D8952E5" w:rsidR="000E7287" w:rsidRDefault="000E7287" w:rsidP="000E7287">
      <w:pPr>
        <w:tabs>
          <w:tab w:val="left" w:pos="1080"/>
        </w:tabs>
        <w:spacing w:line="276" w:lineRule="auto"/>
        <w:rPr>
          <w:rFonts w:eastAsia="Times New Roman"/>
        </w:rPr>
      </w:pPr>
    </w:p>
    <w:p w14:paraId="683DC2C0" w14:textId="0B486AF2" w:rsidR="000E7287" w:rsidRPr="00AF4CC2" w:rsidRDefault="000E7287" w:rsidP="00AF4CC2">
      <w:pPr>
        <w:tabs>
          <w:tab w:val="left" w:pos="1080"/>
        </w:tabs>
        <w:spacing w:line="276" w:lineRule="auto"/>
        <w:ind w:left="1080"/>
        <w:rPr>
          <w:rFonts w:eastAsia="Times New Roman"/>
        </w:rPr>
      </w:pPr>
      <w:r>
        <w:t xml:space="preserve">Newman Unit 6 (“NM6”), also known as Newman </w:t>
      </w:r>
      <w:r w:rsidRPr="003B006A">
        <w:t>GT5</w:t>
      </w:r>
      <w:r>
        <w:t xml:space="preserve">, </w:t>
      </w:r>
      <w:r w:rsidRPr="003B006A">
        <w:t xml:space="preserve">is a 1x0 Mitsubishi M501GAC simple-cycle combustion turbine </w:t>
      </w:r>
      <w:r w:rsidRPr="003B006A">
        <w:rPr>
          <w:rFonts w:cs="Arial"/>
        </w:rPr>
        <w:t>expected to provide</w:t>
      </w:r>
      <w:r w:rsidRPr="003B006A">
        <w:t xml:space="preserve"> a total net summer capacity of approximately </w:t>
      </w:r>
      <w:r w:rsidRPr="00BE0D1A">
        <w:t>228</w:t>
      </w:r>
      <w:r w:rsidRPr="003B006A">
        <w:t>MW.</w:t>
      </w:r>
      <w:r>
        <w:t xml:space="preserve">  NM6 was selected </w:t>
      </w:r>
      <w:proofErr w:type="gramStart"/>
      <w:r>
        <w:t>as a result of</w:t>
      </w:r>
      <w:proofErr w:type="gramEnd"/>
      <w:r>
        <w:t xml:space="preserve"> </w:t>
      </w:r>
      <w:r w:rsidRPr="003B006A">
        <w:rPr>
          <w:rFonts w:cs="Arial"/>
        </w:rPr>
        <w:t xml:space="preserve">EPE’s 2017 All Source </w:t>
      </w:r>
      <w:r w:rsidR="000777EA">
        <w:rPr>
          <w:rFonts w:cs="Arial"/>
        </w:rPr>
        <w:t>RFP</w:t>
      </w:r>
      <w:r w:rsidRPr="003B006A">
        <w:rPr>
          <w:rFonts w:cs="Arial"/>
        </w:rPr>
        <w:t>.</w:t>
      </w:r>
      <w:r>
        <w:rPr>
          <w:rFonts w:cs="Arial"/>
        </w:rPr>
        <w:t xml:space="preserve"> </w:t>
      </w:r>
      <w:r w:rsidR="00916B8E">
        <w:rPr>
          <w:rFonts w:cs="Arial"/>
        </w:rPr>
        <w:t xml:space="preserve"> The Commission denied EPE’s </w:t>
      </w:r>
      <w:r>
        <w:t xml:space="preserve">Certificate of Convenience and Necessity (“CCN”) </w:t>
      </w:r>
      <w:r w:rsidR="00916B8E">
        <w:t xml:space="preserve">Application </w:t>
      </w:r>
      <w:r>
        <w:t xml:space="preserve">for NM6 </w:t>
      </w:r>
      <w:r w:rsidR="00916B8E">
        <w:t xml:space="preserve">by Final Order issued </w:t>
      </w:r>
      <w:r>
        <w:t xml:space="preserve">December 16, 2020.  </w:t>
      </w:r>
      <w:r w:rsidR="00916B8E">
        <w:t xml:space="preserve">However, the </w:t>
      </w:r>
      <w:r w:rsidR="00371E95">
        <w:t xml:space="preserve">PUCT </w:t>
      </w:r>
      <w:r>
        <w:t>a</w:t>
      </w:r>
      <w:r w:rsidRPr="003B006A">
        <w:t>pproved</w:t>
      </w:r>
      <w:r w:rsidR="00916B8E">
        <w:t xml:space="preserve"> a CCN for NM6</w:t>
      </w:r>
      <w:r>
        <w:t xml:space="preserve"> on October 16, </w:t>
      </w:r>
      <w:r w:rsidRPr="003B006A">
        <w:t>2020</w:t>
      </w:r>
      <w:r>
        <w:t xml:space="preserve">.  Therefore, </w:t>
      </w:r>
      <w:r w:rsidR="00765103">
        <w:t>EPE is pursuing required permitting for</w:t>
      </w:r>
      <w:r>
        <w:t xml:space="preserve"> NM6 </w:t>
      </w:r>
      <w:r w:rsidR="00765103">
        <w:t xml:space="preserve">and it </w:t>
      </w:r>
      <w:r>
        <w:t xml:space="preserve">is anticipated to be commercially operational May 1, 2023 </w:t>
      </w:r>
      <w:r w:rsidR="00765103">
        <w:t>as</w:t>
      </w:r>
      <w:r>
        <w:t xml:space="preserve"> a Texas resource</w:t>
      </w:r>
      <w:r w:rsidR="00765103">
        <w:t>.</w:t>
      </w:r>
    </w:p>
    <w:p w14:paraId="1215F02A" w14:textId="77777777" w:rsidR="002E09F5" w:rsidRPr="00CB2CB5" w:rsidRDefault="002E09F5" w:rsidP="008759DE">
      <w:pPr>
        <w:pStyle w:val="ListParagraph"/>
        <w:spacing w:after="0" w:line="276" w:lineRule="auto"/>
        <w:ind w:left="1080"/>
        <w:contextualSpacing w:val="0"/>
        <w:jc w:val="both"/>
        <w:rPr>
          <w:rFonts w:ascii="Times New Roman" w:eastAsia="Times New Roman" w:hAnsi="Times New Roman"/>
          <w:sz w:val="24"/>
        </w:rPr>
      </w:pPr>
    </w:p>
    <w:p w14:paraId="6EAB3939" w14:textId="77777777" w:rsidR="00BF4381" w:rsidRPr="00CB2CB5" w:rsidRDefault="00925B19" w:rsidP="008759DE">
      <w:pPr>
        <w:pStyle w:val="Heading2"/>
        <w:numPr>
          <w:ilvl w:val="0"/>
          <w:numId w:val="26"/>
        </w:numPr>
        <w:spacing w:line="276" w:lineRule="auto"/>
        <w:ind w:left="1080" w:hanging="540"/>
        <w:rPr>
          <w:rFonts w:eastAsia="Times New Roman"/>
        </w:rPr>
      </w:pPr>
      <w:bookmarkStart w:id="16" w:name="_Toc534190295"/>
      <w:r w:rsidRPr="00CB2CB5">
        <w:rPr>
          <w:rFonts w:eastAsia="Times New Roman"/>
        </w:rPr>
        <w:t xml:space="preserve">Environmental Impacts </w:t>
      </w:r>
      <w:r w:rsidR="00EE7BED" w:rsidRPr="00CB2CB5">
        <w:rPr>
          <w:rFonts w:eastAsia="Times New Roman"/>
        </w:rPr>
        <w:t>o</w:t>
      </w:r>
      <w:r w:rsidRPr="00CB2CB5">
        <w:rPr>
          <w:rFonts w:eastAsia="Times New Roman"/>
        </w:rPr>
        <w:t>f Existing Supply-Side Resources</w:t>
      </w:r>
      <w:bookmarkEnd w:id="16"/>
      <w:r w:rsidR="00BF4381" w:rsidRPr="00CB2CB5">
        <w:rPr>
          <w:rFonts w:eastAsia="Times New Roman"/>
        </w:rPr>
        <w:t xml:space="preserve"> </w:t>
      </w:r>
    </w:p>
    <w:p w14:paraId="39BF21DD" w14:textId="77777777" w:rsidR="009D2666" w:rsidRPr="00CB2CB5" w:rsidRDefault="009D2666" w:rsidP="008759DE">
      <w:pPr>
        <w:pStyle w:val="ListParagraph"/>
        <w:spacing w:after="0" w:line="276" w:lineRule="auto"/>
        <w:ind w:left="540"/>
        <w:contextualSpacing w:val="0"/>
        <w:jc w:val="both"/>
        <w:rPr>
          <w:rFonts w:ascii="Times New Roman" w:eastAsia="Times New Roman" w:hAnsi="Times New Roman"/>
          <w:sz w:val="24"/>
        </w:rPr>
      </w:pPr>
    </w:p>
    <w:p w14:paraId="7482F353" w14:textId="7D5781C7" w:rsidR="00BF4381" w:rsidRPr="00CB2CB5" w:rsidRDefault="00BA504D" w:rsidP="008759DE">
      <w:pPr>
        <w:pStyle w:val="ListParagraph"/>
        <w:tabs>
          <w:tab w:val="left" w:pos="1080"/>
        </w:tabs>
        <w:spacing w:after="0" w:line="276" w:lineRule="auto"/>
        <w:ind w:left="540"/>
        <w:contextualSpacing w:val="0"/>
        <w:jc w:val="both"/>
        <w:rPr>
          <w:rFonts w:ascii="Times New Roman" w:eastAsia="Times New Roman" w:hAnsi="Times New Roman"/>
          <w:sz w:val="24"/>
        </w:rPr>
      </w:pPr>
      <w:r w:rsidRPr="00CB2CB5">
        <w:rPr>
          <w:rFonts w:ascii="Times New Roman" w:eastAsia="Times New Roman" w:hAnsi="Times New Roman"/>
          <w:sz w:val="24"/>
        </w:rPr>
        <w:t>EPE</w:t>
      </w:r>
      <w:r w:rsidR="00BF4381" w:rsidRPr="00CB2CB5">
        <w:rPr>
          <w:rFonts w:ascii="Times New Roman" w:eastAsia="Times New Roman" w:hAnsi="Times New Roman"/>
          <w:sz w:val="24"/>
        </w:rPr>
        <w:t xml:space="preserve"> has a firm commitment to environmental stewardship and </w:t>
      </w:r>
      <w:r w:rsidRPr="00CB2CB5">
        <w:rPr>
          <w:rFonts w:ascii="Times New Roman" w:eastAsia="Times New Roman" w:hAnsi="Times New Roman"/>
          <w:sz w:val="24"/>
        </w:rPr>
        <w:t xml:space="preserve">consistently </w:t>
      </w:r>
      <w:r w:rsidR="00BF4381" w:rsidRPr="00CB2CB5">
        <w:rPr>
          <w:rFonts w:ascii="Times New Roman" w:eastAsia="Times New Roman" w:hAnsi="Times New Roman"/>
          <w:sz w:val="24"/>
        </w:rPr>
        <w:t xml:space="preserve">evaluates potential impacts to environmental resources during resource planning processes. </w:t>
      </w:r>
      <w:r w:rsidR="00646C73" w:rsidRPr="00CB2CB5">
        <w:rPr>
          <w:rFonts w:ascii="Times New Roman" w:eastAsia="Times New Roman" w:hAnsi="Times New Roman"/>
          <w:sz w:val="24"/>
        </w:rPr>
        <w:t xml:space="preserve"> </w:t>
      </w:r>
      <w:r w:rsidR="00BF4381" w:rsidRPr="00CB2CB5">
        <w:rPr>
          <w:rFonts w:ascii="Times New Roman" w:eastAsia="Times New Roman" w:hAnsi="Times New Roman"/>
          <w:sz w:val="24"/>
        </w:rPr>
        <w:t xml:space="preserve">In general, the environmental considerations for siting renewable generation facilities, conventional generation facilities, and transmission and distribution facilities are similar, though the resources impacted vary greatly based on the type, location, geographic setting, and expanse of any given project. </w:t>
      </w:r>
      <w:r w:rsidR="00646C73" w:rsidRPr="00CB2CB5">
        <w:rPr>
          <w:rFonts w:ascii="Times New Roman" w:eastAsia="Times New Roman" w:hAnsi="Times New Roman"/>
          <w:sz w:val="24"/>
        </w:rPr>
        <w:t xml:space="preserve"> </w:t>
      </w:r>
      <w:r w:rsidR="00BF4381" w:rsidRPr="00CB2CB5">
        <w:rPr>
          <w:rFonts w:ascii="Times New Roman" w:eastAsia="Times New Roman" w:hAnsi="Times New Roman"/>
          <w:sz w:val="24"/>
        </w:rPr>
        <w:t>The degree of environmental regulatory guidance and review will also vary based on the location and other project specific parameters</w:t>
      </w:r>
      <w:r w:rsidRPr="00CB2CB5">
        <w:rPr>
          <w:rFonts w:ascii="Times New Roman" w:eastAsia="Times New Roman" w:hAnsi="Times New Roman"/>
          <w:sz w:val="24"/>
        </w:rPr>
        <w:t>;</w:t>
      </w:r>
      <w:r w:rsidR="00BF4381" w:rsidRPr="00CB2CB5">
        <w:rPr>
          <w:rFonts w:ascii="Times New Roman" w:eastAsia="Times New Roman" w:hAnsi="Times New Roman"/>
          <w:sz w:val="24"/>
        </w:rPr>
        <w:t xml:space="preserve"> but</w:t>
      </w:r>
      <w:r w:rsidRPr="00CB2CB5">
        <w:rPr>
          <w:rFonts w:ascii="Times New Roman" w:eastAsia="Times New Roman" w:hAnsi="Times New Roman"/>
          <w:sz w:val="24"/>
        </w:rPr>
        <w:t>,</w:t>
      </w:r>
      <w:r w:rsidR="00BF4381" w:rsidRPr="00CB2CB5">
        <w:rPr>
          <w:rFonts w:ascii="Times New Roman" w:eastAsia="Times New Roman" w:hAnsi="Times New Roman"/>
          <w:sz w:val="24"/>
        </w:rPr>
        <w:t xml:space="preserve"> in all cases environmental resources are considered. </w:t>
      </w:r>
    </w:p>
    <w:p w14:paraId="5EBDA166" w14:textId="77777777" w:rsidR="000A7400" w:rsidRPr="00CB2CB5" w:rsidRDefault="000A7400" w:rsidP="008759DE">
      <w:pPr>
        <w:pStyle w:val="ListParagraph"/>
        <w:tabs>
          <w:tab w:val="left" w:pos="1080"/>
        </w:tabs>
        <w:spacing w:after="0" w:line="276" w:lineRule="auto"/>
        <w:ind w:left="540"/>
        <w:contextualSpacing w:val="0"/>
        <w:jc w:val="both"/>
        <w:rPr>
          <w:rFonts w:ascii="Times New Roman" w:hAnsi="Times New Roman"/>
          <w:sz w:val="24"/>
        </w:rPr>
      </w:pPr>
    </w:p>
    <w:p w14:paraId="2BE5B5C6" w14:textId="77777777" w:rsidR="00BF4381" w:rsidRPr="00CB2CB5" w:rsidRDefault="00BF4381" w:rsidP="008759DE">
      <w:pPr>
        <w:pStyle w:val="ListParagraph"/>
        <w:tabs>
          <w:tab w:val="left" w:pos="1080"/>
        </w:tabs>
        <w:spacing w:after="0" w:line="276" w:lineRule="auto"/>
        <w:ind w:left="540"/>
        <w:contextualSpacing w:val="0"/>
        <w:jc w:val="both"/>
        <w:rPr>
          <w:rFonts w:ascii="Times New Roman" w:hAnsi="Times New Roman"/>
          <w:sz w:val="24"/>
        </w:rPr>
      </w:pPr>
      <w:r w:rsidRPr="00CB2CB5">
        <w:rPr>
          <w:rFonts w:ascii="Times New Roman" w:hAnsi="Times New Roman"/>
          <w:sz w:val="24"/>
        </w:rPr>
        <w:t>EPE is subject to extensive laws, regulations and permit requirements with respect to air and greenhouse gas (</w:t>
      </w:r>
      <w:r w:rsidR="00EB31CB" w:rsidRPr="00CB2CB5">
        <w:rPr>
          <w:rFonts w:ascii="Times New Roman" w:hAnsi="Times New Roman"/>
          <w:sz w:val="24"/>
        </w:rPr>
        <w:t>"</w:t>
      </w:r>
      <w:proofErr w:type="spellStart"/>
      <w:r w:rsidRPr="00CB2CB5">
        <w:rPr>
          <w:rFonts w:ascii="Times New Roman" w:hAnsi="Times New Roman"/>
          <w:sz w:val="24"/>
        </w:rPr>
        <w:t>GHG</w:t>
      </w:r>
      <w:proofErr w:type="spellEnd"/>
      <w:r w:rsidR="00EB31CB" w:rsidRPr="00CB2CB5">
        <w:rPr>
          <w:rFonts w:ascii="Times New Roman" w:hAnsi="Times New Roman"/>
          <w:sz w:val="24"/>
        </w:rPr>
        <w:t>"</w:t>
      </w:r>
      <w:r w:rsidRPr="00CB2CB5">
        <w:rPr>
          <w:rFonts w:ascii="Times New Roman" w:hAnsi="Times New Roman"/>
          <w:sz w:val="24"/>
        </w:rPr>
        <w:t xml:space="preserve">) emissions, water discharges, soil and water quality, waste </w:t>
      </w:r>
      <w:r w:rsidRPr="00CB2CB5">
        <w:rPr>
          <w:rFonts w:ascii="Times New Roman" w:hAnsi="Times New Roman"/>
          <w:sz w:val="24"/>
        </w:rPr>
        <w:lastRenderedPageBreak/>
        <w:t xml:space="preserve">management and disposal, natural resources and other environmental matters by federal, state, regional, tribal, and local authorities. </w:t>
      </w:r>
    </w:p>
    <w:p w14:paraId="267B401A" w14:textId="77777777" w:rsidR="000A7400" w:rsidRPr="00CB2CB5" w:rsidRDefault="000A7400" w:rsidP="008759DE">
      <w:pPr>
        <w:spacing w:line="276" w:lineRule="auto"/>
      </w:pPr>
    </w:p>
    <w:p w14:paraId="6156F0BF" w14:textId="77777777" w:rsidR="0063751D" w:rsidRPr="00CB2CB5" w:rsidRDefault="0063751D" w:rsidP="008759DE">
      <w:pPr>
        <w:pStyle w:val="Heading3"/>
        <w:numPr>
          <w:ilvl w:val="1"/>
          <w:numId w:val="32"/>
        </w:numPr>
        <w:spacing w:line="276" w:lineRule="auto"/>
      </w:pPr>
      <w:bookmarkStart w:id="17" w:name="_Toc534190296"/>
      <w:r w:rsidRPr="00CB2CB5">
        <w:t>Air Emissions</w:t>
      </w:r>
      <w:bookmarkEnd w:id="17"/>
    </w:p>
    <w:p w14:paraId="5F5EBE47" w14:textId="77777777" w:rsidR="000A7400" w:rsidRPr="00CB2CB5" w:rsidRDefault="000A7400" w:rsidP="008759DE">
      <w:pPr>
        <w:spacing w:line="276" w:lineRule="auto"/>
      </w:pPr>
    </w:p>
    <w:p w14:paraId="50B6A367" w14:textId="3C935FA5" w:rsidR="00BF4381" w:rsidRPr="00CB2CB5" w:rsidRDefault="00BF4381" w:rsidP="008759DE">
      <w:pPr>
        <w:pStyle w:val="ListParagraph"/>
        <w:spacing w:after="0" w:line="276" w:lineRule="auto"/>
        <w:ind w:left="1080"/>
        <w:contextualSpacing w:val="0"/>
        <w:jc w:val="both"/>
        <w:rPr>
          <w:rFonts w:ascii="Times New Roman" w:eastAsia="Times New Roman" w:hAnsi="Times New Roman"/>
          <w:sz w:val="24"/>
        </w:rPr>
      </w:pPr>
      <w:r w:rsidRPr="00CB2CB5">
        <w:rPr>
          <w:rFonts w:ascii="Times New Roman" w:eastAsia="Times New Roman" w:hAnsi="Times New Roman"/>
          <w:sz w:val="24"/>
        </w:rPr>
        <w:t>Emission rates for each of EPE</w:t>
      </w:r>
      <w:r w:rsidR="00B81EE4" w:rsidRPr="00CB2CB5">
        <w:rPr>
          <w:rFonts w:ascii="Times New Roman" w:eastAsia="Times New Roman" w:hAnsi="Times New Roman"/>
          <w:sz w:val="24"/>
        </w:rPr>
        <w:t>'</w:t>
      </w:r>
      <w:r w:rsidRPr="00CB2CB5">
        <w:rPr>
          <w:rFonts w:ascii="Times New Roman" w:eastAsia="Times New Roman" w:hAnsi="Times New Roman"/>
          <w:sz w:val="24"/>
        </w:rPr>
        <w:t xml:space="preserve">s generation facilities required by 17.7.3.9(C)(13)(b) NMAC are listed in </w:t>
      </w:r>
      <w:r w:rsidR="00960592" w:rsidRPr="00CB2CB5">
        <w:rPr>
          <w:rFonts w:ascii="Times New Roman" w:eastAsia="Times New Roman" w:hAnsi="Times New Roman"/>
          <w:sz w:val="24"/>
        </w:rPr>
        <w:t xml:space="preserve">Table </w:t>
      </w:r>
      <w:r w:rsidR="00B415AA">
        <w:rPr>
          <w:rFonts w:ascii="Times New Roman" w:eastAsia="Times New Roman" w:hAnsi="Times New Roman"/>
          <w:sz w:val="24"/>
        </w:rPr>
        <w:t>3</w:t>
      </w:r>
      <w:r w:rsidR="00B415AA" w:rsidRPr="00CB2CB5">
        <w:rPr>
          <w:rFonts w:ascii="Times New Roman" w:eastAsia="Times New Roman" w:hAnsi="Times New Roman"/>
          <w:sz w:val="24"/>
        </w:rPr>
        <w:t xml:space="preserve"> </w:t>
      </w:r>
      <w:r w:rsidR="00960592" w:rsidRPr="00CB2CB5">
        <w:rPr>
          <w:rFonts w:ascii="Times New Roman" w:eastAsia="Times New Roman" w:hAnsi="Times New Roman"/>
          <w:sz w:val="24"/>
        </w:rPr>
        <w:t>below</w:t>
      </w:r>
      <w:r w:rsidRPr="00CB2CB5">
        <w:rPr>
          <w:rFonts w:ascii="Times New Roman" w:eastAsia="Times New Roman" w:hAnsi="Times New Roman"/>
          <w:sz w:val="24"/>
        </w:rPr>
        <w:t>.</w:t>
      </w:r>
      <w:r w:rsidR="0063751D" w:rsidRPr="00CB2CB5">
        <w:rPr>
          <w:rFonts w:ascii="Times New Roman" w:eastAsia="Times New Roman" w:hAnsi="Times New Roman"/>
          <w:sz w:val="24"/>
        </w:rPr>
        <w:t xml:space="preserve"> </w:t>
      </w:r>
      <w:r w:rsidR="00646C73" w:rsidRPr="00CB2CB5">
        <w:rPr>
          <w:rFonts w:ascii="Times New Roman" w:eastAsia="Times New Roman" w:hAnsi="Times New Roman"/>
          <w:sz w:val="24"/>
        </w:rPr>
        <w:t xml:space="preserve"> </w:t>
      </w:r>
      <w:r w:rsidRPr="00CB2CB5">
        <w:rPr>
          <w:rFonts w:ascii="Times New Roman" w:eastAsia="Times New Roman" w:hAnsi="Times New Roman"/>
          <w:sz w:val="24"/>
        </w:rPr>
        <w:t>The Clean Air Act (</w:t>
      </w:r>
      <w:r w:rsidR="00EB31CB" w:rsidRPr="00CB2CB5">
        <w:rPr>
          <w:rFonts w:ascii="Times New Roman" w:eastAsia="Times New Roman" w:hAnsi="Times New Roman"/>
          <w:sz w:val="24"/>
        </w:rPr>
        <w:t>"</w:t>
      </w:r>
      <w:r w:rsidRPr="00CB2CB5">
        <w:rPr>
          <w:rFonts w:ascii="Times New Roman" w:eastAsia="Times New Roman" w:hAnsi="Times New Roman"/>
          <w:sz w:val="24"/>
        </w:rPr>
        <w:t>CAA</w:t>
      </w:r>
      <w:r w:rsidR="00EB31CB" w:rsidRPr="00CB2CB5">
        <w:rPr>
          <w:rFonts w:ascii="Times New Roman" w:eastAsia="Times New Roman" w:hAnsi="Times New Roman"/>
          <w:sz w:val="24"/>
        </w:rPr>
        <w:t>"</w:t>
      </w:r>
      <w:r w:rsidRPr="00CB2CB5">
        <w:rPr>
          <w:rFonts w:ascii="Times New Roman" w:eastAsia="Times New Roman" w:hAnsi="Times New Roman"/>
          <w:sz w:val="24"/>
        </w:rPr>
        <w:t>), associated regulations and comparable state and local laws and regulations that relate to air emissions impose, among other obligations, limitations on pollutants generated during the operations of the Company's facilities and assets, including sulfur dioxide (</w:t>
      </w:r>
      <w:r w:rsidR="00EB31CB" w:rsidRPr="00CB2CB5">
        <w:rPr>
          <w:rFonts w:ascii="Times New Roman" w:eastAsia="Times New Roman" w:hAnsi="Times New Roman"/>
          <w:sz w:val="24"/>
        </w:rPr>
        <w:t>"</w:t>
      </w:r>
      <w:r w:rsidRPr="00CB2CB5">
        <w:rPr>
          <w:rFonts w:ascii="Times New Roman" w:eastAsia="Times New Roman" w:hAnsi="Times New Roman"/>
          <w:sz w:val="24"/>
        </w:rPr>
        <w:t>SO2</w:t>
      </w:r>
      <w:r w:rsidR="00EB31CB" w:rsidRPr="00CB2CB5">
        <w:rPr>
          <w:rFonts w:ascii="Times New Roman" w:eastAsia="Times New Roman" w:hAnsi="Times New Roman"/>
          <w:sz w:val="24"/>
        </w:rPr>
        <w:t>"</w:t>
      </w:r>
      <w:r w:rsidRPr="00CB2CB5">
        <w:rPr>
          <w:rFonts w:ascii="Times New Roman" w:eastAsia="Times New Roman" w:hAnsi="Times New Roman"/>
          <w:sz w:val="24"/>
        </w:rPr>
        <w:t>), particulate matter (</w:t>
      </w:r>
      <w:r w:rsidR="00EB31CB" w:rsidRPr="00CB2CB5">
        <w:rPr>
          <w:rFonts w:ascii="Times New Roman" w:eastAsia="Times New Roman" w:hAnsi="Times New Roman"/>
          <w:sz w:val="24"/>
        </w:rPr>
        <w:t>"</w:t>
      </w:r>
      <w:r w:rsidRPr="00CB2CB5">
        <w:rPr>
          <w:rFonts w:ascii="Times New Roman" w:eastAsia="Times New Roman" w:hAnsi="Times New Roman"/>
          <w:sz w:val="24"/>
        </w:rPr>
        <w:t>PM</w:t>
      </w:r>
      <w:r w:rsidR="00EB31CB" w:rsidRPr="00CB2CB5">
        <w:rPr>
          <w:rFonts w:ascii="Times New Roman" w:eastAsia="Times New Roman" w:hAnsi="Times New Roman"/>
          <w:sz w:val="24"/>
        </w:rPr>
        <w:t>"</w:t>
      </w:r>
      <w:r w:rsidRPr="00CB2CB5">
        <w:rPr>
          <w:rFonts w:ascii="Times New Roman" w:eastAsia="Times New Roman" w:hAnsi="Times New Roman"/>
          <w:sz w:val="24"/>
        </w:rPr>
        <w:t>), nitrogen oxides (</w:t>
      </w:r>
      <w:r w:rsidR="00EB31CB" w:rsidRPr="00CB2CB5">
        <w:rPr>
          <w:rFonts w:ascii="Times New Roman" w:eastAsia="Times New Roman" w:hAnsi="Times New Roman"/>
          <w:sz w:val="24"/>
        </w:rPr>
        <w:t>"</w:t>
      </w:r>
      <w:r w:rsidRPr="00CB2CB5">
        <w:rPr>
          <w:rFonts w:ascii="Times New Roman" w:eastAsia="Times New Roman" w:hAnsi="Times New Roman"/>
          <w:sz w:val="24"/>
        </w:rPr>
        <w:t>NOx</w:t>
      </w:r>
      <w:r w:rsidR="00EB31CB" w:rsidRPr="00CB2CB5">
        <w:rPr>
          <w:rFonts w:ascii="Times New Roman" w:eastAsia="Times New Roman" w:hAnsi="Times New Roman"/>
          <w:sz w:val="24"/>
        </w:rPr>
        <w:t>"</w:t>
      </w:r>
      <w:r w:rsidRPr="00CB2CB5">
        <w:rPr>
          <w:rFonts w:ascii="Times New Roman" w:eastAsia="Times New Roman" w:hAnsi="Times New Roman"/>
          <w:sz w:val="24"/>
        </w:rPr>
        <w:t xml:space="preserve">) and mercury. </w:t>
      </w:r>
    </w:p>
    <w:p w14:paraId="09A778B1" w14:textId="77777777" w:rsidR="00505BC3" w:rsidRPr="00CB2CB5" w:rsidRDefault="00505BC3" w:rsidP="008759DE">
      <w:pPr>
        <w:spacing w:line="276" w:lineRule="auto"/>
        <w:ind w:left="1080"/>
      </w:pPr>
    </w:p>
    <w:p w14:paraId="78CDE2B5" w14:textId="3D88FF05" w:rsidR="00505BC3" w:rsidRPr="00CB2CB5" w:rsidRDefault="00AC4F8C" w:rsidP="00192CA0">
      <w:pPr>
        <w:pStyle w:val="Caption"/>
        <w:keepNext/>
        <w:keepLines/>
        <w:spacing w:line="276" w:lineRule="auto"/>
        <w:jc w:val="center"/>
      </w:pPr>
      <w:bookmarkStart w:id="18" w:name="_Toc534193082"/>
      <w:r w:rsidRPr="00CB2CB5">
        <w:t xml:space="preserve">Table </w:t>
      </w:r>
      <w:r w:rsidR="00961314">
        <w:rPr>
          <w:noProof/>
        </w:rPr>
        <w:t>3</w:t>
      </w:r>
      <w:r w:rsidRPr="00CB2CB5">
        <w:t xml:space="preserve"> – Environmental Impacts of Existing Supply Side Reso</w:t>
      </w:r>
      <w:r w:rsidR="00564AB3">
        <w:t>urces</w:t>
      </w:r>
      <w:r w:rsidR="0075092D">
        <w:rPr>
          <w:noProof/>
        </w:rPr>
        <w:drawing>
          <wp:inline distT="0" distB="0" distL="0" distR="0" wp14:anchorId="4F6B846B" wp14:editId="31A36966">
            <wp:extent cx="5943600" cy="4181475"/>
            <wp:effectExtent l="0" t="0" r="0" b="9525"/>
            <wp:docPr id="45" name="Picture 4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bookmarkEnd w:id="18"/>
    </w:p>
    <w:p w14:paraId="0D7F33BE" w14:textId="50DE4C74" w:rsidR="00505BC3" w:rsidRPr="00CB2CB5" w:rsidRDefault="00505BC3" w:rsidP="008759DE">
      <w:pPr>
        <w:spacing w:line="276" w:lineRule="auto"/>
        <w:jc w:val="right"/>
      </w:pPr>
    </w:p>
    <w:p w14:paraId="63F0A868" w14:textId="77777777" w:rsidR="000A7400" w:rsidRPr="00CB2CB5" w:rsidRDefault="000A7400" w:rsidP="008759DE">
      <w:pPr>
        <w:spacing w:line="276" w:lineRule="auto"/>
        <w:ind w:left="1080"/>
      </w:pPr>
    </w:p>
    <w:p w14:paraId="22799A50" w14:textId="77777777" w:rsidR="00BF4381" w:rsidRPr="00CB2CB5" w:rsidRDefault="00BF4381" w:rsidP="008759DE">
      <w:pPr>
        <w:spacing w:line="276" w:lineRule="auto"/>
        <w:ind w:left="1080"/>
      </w:pPr>
      <w:r w:rsidRPr="00CB2CB5">
        <w:t xml:space="preserve">Impacts to air quality are evaluated against CAA regulations to determine suitability of a proposed technology and feasibility of permitting. </w:t>
      </w:r>
      <w:r w:rsidR="00646C73" w:rsidRPr="00CB2CB5">
        <w:t xml:space="preserve"> </w:t>
      </w:r>
      <w:r w:rsidR="00637AEA" w:rsidRPr="00CB2CB5">
        <w:t xml:space="preserve">During the permitting phase of a project with potential emissions, </w:t>
      </w:r>
      <w:r w:rsidRPr="00CB2CB5">
        <w:t>ranging from the purchase of an emergency generator to installation of a new conventional generation unit, a</w:t>
      </w:r>
      <w:r w:rsidR="00223E5E" w:rsidRPr="00CB2CB5">
        <w:t xml:space="preserve">n emissions review </w:t>
      </w:r>
      <w:r w:rsidRPr="00CB2CB5">
        <w:t xml:space="preserve">is conducted. </w:t>
      </w:r>
      <w:r w:rsidR="00646C73" w:rsidRPr="00CB2CB5">
        <w:t xml:space="preserve"> </w:t>
      </w:r>
      <w:r w:rsidRPr="00CB2CB5">
        <w:lastRenderedPageBreak/>
        <w:t xml:space="preserve">During this review, potential emission constituents and rates are evaluated to determine potential impacts and what, if any, emission thresholds are triggered. </w:t>
      </w:r>
      <w:r w:rsidR="00646C73" w:rsidRPr="00CB2CB5">
        <w:t xml:space="preserve"> </w:t>
      </w:r>
      <w:r w:rsidRPr="00CB2CB5">
        <w:t>Technologies and pollution control methods are selected to meet or exceed the requirements set forth by State and Federal regulations, including the National Ambient Air Quality Standards (</w:t>
      </w:r>
      <w:r w:rsidR="00EB31CB" w:rsidRPr="00CB2CB5">
        <w:t>"</w:t>
      </w:r>
      <w:proofErr w:type="spellStart"/>
      <w:r w:rsidRPr="00CB2CB5">
        <w:t>NAAQS</w:t>
      </w:r>
      <w:proofErr w:type="spellEnd"/>
      <w:r w:rsidR="00EB31CB" w:rsidRPr="00CB2CB5">
        <w:t>"</w:t>
      </w:r>
      <w:r w:rsidRPr="00CB2CB5">
        <w:t xml:space="preserve">). </w:t>
      </w:r>
      <w:r w:rsidR="00646C73" w:rsidRPr="00CB2CB5">
        <w:t xml:space="preserve"> </w:t>
      </w:r>
      <w:r w:rsidRPr="00CB2CB5">
        <w:t>Most of EPE</w:t>
      </w:r>
      <w:r w:rsidR="00B81EE4" w:rsidRPr="00CB2CB5">
        <w:t>'</w:t>
      </w:r>
      <w:r w:rsidRPr="00CB2CB5">
        <w:t>s air emissions result from the combustion of fossil fuels. Consequently, conventional generation projects undergo the most rigorous air quality assessments.</w:t>
      </w:r>
      <w:r w:rsidR="00252EC5" w:rsidRPr="00CB2CB5">
        <w:t xml:space="preserve">  </w:t>
      </w:r>
      <w:r w:rsidRPr="00CB2CB5">
        <w:t xml:space="preserve">However, air quality is considered in the full scope of projects including fugitive dust during construction and large area land clearing, as well as operations and maintenance traffic volume along transmission rights-of-way. </w:t>
      </w:r>
    </w:p>
    <w:p w14:paraId="2E21C48F" w14:textId="77777777" w:rsidR="000A7400" w:rsidRPr="00CB2CB5" w:rsidRDefault="000A7400" w:rsidP="008759DE">
      <w:pPr>
        <w:spacing w:line="276" w:lineRule="auto"/>
        <w:ind w:left="1080"/>
      </w:pPr>
    </w:p>
    <w:p w14:paraId="0B5F4AF7" w14:textId="77777777" w:rsidR="00564AB3" w:rsidRDefault="00BF4381" w:rsidP="00564AB3">
      <w:pPr>
        <w:spacing w:line="276" w:lineRule="auto"/>
        <w:ind w:left="1080"/>
      </w:pPr>
      <w:r w:rsidRPr="00CB2CB5">
        <w:t>Under the CAA, the</w:t>
      </w:r>
      <w:r w:rsidR="00EC4542" w:rsidRPr="00CB2CB5">
        <w:t xml:space="preserve"> Environmental Protection Agency (</w:t>
      </w:r>
      <w:r w:rsidR="00B81EE4" w:rsidRPr="00CB2CB5">
        <w:t>"</w:t>
      </w:r>
      <w:r w:rsidRPr="00CB2CB5">
        <w:t>EPA</w:t>
      </w:r>
      <w:r w:rsidR="00B81EE4" w:rsidRPr="00CB2CB5">
        <w:t>"</w:t>
      </w:r>
      <w:r w:rsidR="00EC4542" w:rsidRPr="00CB2CB5">
        <w:t>)</w:t>
      </w:r>
      <w:r w:rsidRPr="00CB2CB5">
        <w:t xml:space="preserve"> sets </w:t>
      </w:r>
      <w:proofErr w:type="spellStart"/>
      <w:r w:rsidRPr="00CB2CB5">
        <w:t>NAAQS</w:t>
      </w:r>
      <w:proofErr w:type="spellEnd"/>
      <w:r w:rsidRPr="00CB2CB5">
        <w:t xml:space="preserve"> for six criteria pollutants considered harmful to public health and the environment, including </w:t>
      </w:r>
    </w:p>
    <w:p w14:paraId="3C619E27" w14:textId="743B7C89" w:rsidR="00564AB3" w:rsidRDefault="00564AB3" w:rsidP="00564AB3">
      <w:pPr>
        <w:spacing w:line="276" w:lineRule="auto"/>
        <w:ind w:left="1080"/>
      </w:pPr>
      <w:r>
        <w:t xml:space="preserve">PM, NOx, carbon monoxide ("CO"), ozone and SO2.  </w:t>
      </w:r>
      <w:proofErr w:type="spellStart"/>
      <w:r>
        <w:t>NAAQS</w:t>
      </w:r>
      <w:proofErr w:type="spellEnd"/>
      <w:r>
        <w:t xml:space="preserve"> must be reviewed by the EPA at five-year intervals, and if necessary, revise</w:t>
      </w:r>
      <w:r w:rsidR="009269CB">
        <w:t>d</w:t>
      </w:r>
      <w:r>
        <w:t xml:space="preserve">.  On October 1, 2015, the EPA released a final rule tightening the primary and secondary 8-hour </w:t>
      </w:r>
      <w:proofErr w:type="spellStart"/>
      <w:r>
        <w:t>NAAQS</w:t>
      </w:r>
      <w:proofErr w:type="spellEnd"/>
      <w:r>
        <w:t xml:space="preserve"> for ground-level ozone from its 2008 standard levels of 75 parts per billion (ppb) to 70 ppb.  Ozone is the main component of smog.  While not directly emitted into the air, it forms from its precursors, </w:t>
      </w:r>
      <w:r w:rsidR="00254C84">
        <w:t>NOx,</w:t>
      </w:r>
      <w:r>
        <w:t xml:space="preserve"> and VOCs, in combination with sunlight.  The EPA recently designated one of the areas in which we operate as nonattainment.  Specifically, in December 2017, EPA proposed to designate southern Do</w:t>
      </w:r>
      <w:r w:rsidR="0075701A">
        <w:t>ñ</w:t>
      </w:r>
      <w:r>
        <w:t>a Ana County, New Mexico, as a nonattainment area.  In June of 2018 the EPA provided public notice of this designation and later officially designated the area as nonattainment. In July 2020 the U.S. Court of Appeals for the D.C. Circuit remanded the attainment designation assigned to El Paso County back to the EPA for further consideration and explanation. An announcement by the EPA is expected summer of 2021. States that contained any areas designated as nonattainment were required to complete development of State Implementation Plans in the 2020-2021 timeframe for marginal and moderate designations.</w:t>
      </w:r>
    </w:p>
    <w:p w14:paraId="07FD08BA" w14:textId="77777777" w:rsidR="00564AB3" w:rsidRDefault="00564AB3" w:rsidP="00564AB3">
      <w:pPr>
        <w:spacing w:line="276" w:lineRule="auto"/>
        <w:ind w:left="1080"/>
      </w:pPr>
    </w:p>
    <w:p w14:paraId="19AD790A" w14:textId="307E154A" w:rsidR="000A7400" w:rsidRDefault="00564AB3" w:rsidP="00AF4CC2">
      <w:pPr>
        <w:spacing w:line="276" w:lineRule="auto"/>
        <w:ind w:left="1080"/>
      </w:pPr>
      <w:r>
        <w:t>Nonattainment areas deemed marginal are expected to have until August 2021 to meet the primary (health) standard, while attainment in moderate areas needs to be obtained by August 2024.</w:t>
      </w:r>
      <w:r w:rsidR="00A56A54">
        <w:t xml:space="preserve">  </w:t>
      </w:r>
      <w:r>
        <w:t xml:space="preserve">The Company continues to evaluate the impact these final and proposed </w:t>
      </w:r>
      <w:proofErr w:type="spellStart"/>
      <w:r>
        <w:t>NAAQS</w:t>
      </w:r>
      <w:proofErr w:type="spellEnd"/>
      <w:r>
        <w:t xml:space="preserve"> could have on operations. </w:t>
      </w:r>
    </w:p>
    <w:p w14:paraId="3D4A1DD5" w14:textId="77777777" w:rsidR="00564AB3" w:rsidRPr="00CB2CB5" w:rsidRDefault="00564AB3" w:rsidP="008759DE">
      <w:pPr>
        <w:spacing w:line="276" w:lineRule="auto"/>
      </w:pPr>
    </w:p>
    <w:p w14:paraId="2F092E07" w14:textId="77777777" w:rsidR="0063751D" w:rsidRPr="00CB2CB5" w:rsidRDefault="0063751D" w:rsidP="008759DE">
      <w:pPr>
        <w:pStyle w:val="Heading3"/>
        <w:numPr>
          <w:ilvl w:val="1"/>
          <w:numId w:val="32"/>
        </w:numPr>
        <w:spacing w:line="276" w:lineRule="auto"/>
      </w:pPr>
      <w:bookmarkStart w:id="19" w:name="_Toc534190297"/>
      <w:r w:rsidRPr="00CB2CB5">
        <w:t>Climate Change</w:t>
      </w:r>
      <w:bookmarkEnd w:id="19"/>
    </w:p>
    <w:p w14:paraId="0E37A1A1" w14:textId="77777777" w:rsidR="000A7400" w:rsidRPr="00CB2CB5" w:rsidRDefault="000A7400" w:rsidP="008759DE">
      <w:pPr>
        <w:keepNext/>
        <w:keepLines/>
        <w:spacing w:line="276" w:lineRule="auto"/>
        <w:ind w:left="1080"/>
      </w:pPr>
    </w:p>
    <w:p w14:paraId="07406439" w14:textId="0FFEAF0A" w:rsidR="00BF4381" w:rsidRPr="00CB2CB5" w:rsidRDefault="00BF4381" w:rsidP="008759DE">
      <w:pPr>
        <w:spacing w:line="276" w:lineRule="auto"/>
        <w:ind w:left="1080"/>
      </w:pPr>
      <w:r w:rsidRPr="00CB2CB5">
        <w:t xml:space="preserve">There has been a wide-ranging policy debate, at the local, state, national, and international levels, regarding </w:t>
      </w:r>
      <w:proofErr w:type="spellStart"/>
      <w:r w:rsidRPr="00CB2CB5">
        <w:t>GHGs</w:t>
      </w:r>
      <w:proofErr w:type="spellEnd"/>
      <w:r w:rsidRPr="00CB2CB5">
        <w:t xml:space="preserve"> and possible means for their regulation.</w:t>
      </w:r>
      <w:r w:rsidR="00252EC5" w:rsidRPr="00CB2CB5">
        <w:t xml:space="preserve"> </w:t>
      </w:r>
      <w:r w:rsidRPr="00CB2CB5">
        <w:t xml:space="preserve"> Efforts continue to be made in the international community toward the adoption of international treaties or protocols that would address global climate change issues. </w:t>
      </w:r>
      <w:r w:rsidR="00646C73" w:rsidRPr="00CB2CB5">
        <w:t xml:space="preserve"> </w:t>
      </w:r>
      <w:r w:rsidRPr="00CB2CB5">
        <w:t xml:space="preserve">In </w:t>
      </w:r>
      <w:r w:rsidRPr="00CB2CB5">
        <w:lastRenderedPageBreak/>
        <w:t xml:space="preserve">April 2016, the United States signed the Paris Agreement, which requires countries to review and "represent a progression" in their intended nationally determined contributions, and sets </w:t>
      </w:r>
      <w:proofErr w:type="spellStart"/>
      <w:r w:rsidRPr="00CB2CB5">
        <w:t>GHG</w:t>
      </w:r>
      <w:proofErr w:type="spellEnd"/>
      <w:r w:rsidRPr="00CB2CB5">
        <w:t xml:space="preserve"> emission reduction goals every five years, beginning in 2020. </w:t>
      </w:r>
      <w:r w:rsidR="00252EC5" w:rsidRPr="00CB2CB5">
        <w:t xml:space="preserve"> </w:t>
      </w:r>
      <w:r w:rsidRPr="00CB2CB5">
        <w:t xml:space="preserve">In August 2017, the United States formally documented to the United Nations its intent to withdraw from the Paris </w:t>
      </w:r>
      <w:r w:rsidR="00564AB3" w:rsidRPr="00564AB3">
        <w:t xml:space="preserve">Agreement and although the official withdrawal was finalized in November 2020, the US officially rejoined in February 2021 along with pledging to reduce </w:t>
      </w:r>
      <w:proofErr w:type="spellStart"/>
      <w:r w:rsidR="00564AB3" w:rsidRPr="00564AB3">
        <w:t>GHG</w:t>
      </w:r>
      <w:proofErr w:type="spellEnd"/>
      <w:r w:rsidR="00564AB3" w:rsidRPr="00564AB3">
        <w:t xml:space="preserve"> emissions by 50 percent from 2005 levels by 2030. The federal government signaled a “whole-of-government” approach expecting the private sector to partner in transforming many business sectors, amongst them the power industry.</w:t>
      </w:r>
    </w:p>
    <w:p w14:paraId="4C51A42A" w14:textId="77777777" w:rsidR="005C63BB" w:rsidRPr="00CB2CB5" w:rsidRDefault="005C63BB" w:rsidP="008759DE">
      <w:pPr>
        <w:spacing w:line="276" w:lineRule="auto"/>
        <w:ind w:left="1080"/>
      </w:pPr>
    </w:p>
    <w:p w14:paraId="7313C7B4" w14:textId="6FE3E34D" w:rsidR="00BF4381" w:rsidRPr="00CB2CB5" w:rsidRDefault="00BF4381" w:rsidP="008759DE">
      <w:pPr>
        <w:spacing w:line="276" w:lineRule="auto"/>
        <w:ind w:left="1080"/>
      </w:pPr>
      <w:r w:rsidRPr="00CB2CB5">
        <w:t xml:space="preserve">The federal government has either considered, proposed and/or finalized legislation or regulations limiting </w:t>
      </w:r>
      <w:proofErr w:type="spellStart"/>
      <w:r w:rsidRPr="00CB2CB5">
        <w:t>GHG</w:t>
      </w:r>
      <w:proofErr w:type="spellEnd"/>
      <w:r w:rsidRPr="00CB2CB5">
        <w:t xml:space="preserve"> emissions, including carbon dioxide (</w:t>
      </w:r>
      <w:r w:rsidR="00EB31CB" w:rsidRPr="00CB2CB5">
        <w:t>"</w:t>
      </w:r>
      <w:r w:rsidRPr="00CB2CB5">
        <w:t>CO</w:t>
      </w:r>
      <w:r w:rsidRPr="00CB2CB5">
        <w:rPr>
          <w:vertAlign w:val="subscript"/>
        </w:rPr>
        <w:t>2</w:t>
      </w:r>
      <w:r w:rsidR="00EB31CB" w:rsidRPr="00CB2CB5">
        <w:t>"</w:t>
      </w:r>
      <w:r w:rsidRPr="00CB2CB5">
        <w:t xml:space="preserve">). </w:t>
      </w:r>
      <w:r w:rsidR="00646C73" w:rsidRPr="00CB2CB5">
        <w:t xml:space="preserve"> </w:t>
      </w:r>
      <w:r w:rsidR="00BF54F3" w:rsidRPr="00CB2CB5">
        <w:t>In p</w:t>
      </w:r>
      <w:r w:rsidRPr="00CB2CB5">
        <w:t xml:space="preserve">articular, the U.S. Congress has considered legislation to restrict or regulate </w:t>
      </w:r>
      <w:proofErr w:type="spellStart"/>
      <w:r w:rsidRPr="00CB2CB5">
        <w:t>GHG</w:t>
      </w:r>
      <w:proofErr w:type="spellEnd"/>
      <w:r w:rsidRPr="00CB2CB5">
        <w:t xml:space="preserve"> emissions. </w:t>
      </w:r>
      <w:r w:rsidR="00646C73" w:rsidRPr="00CB2CB5">
        <w:t xml:space="preserve"> </w:t>
      </w:r>
      <w:r w:rsidRPr="00CB2CB5">
        <w:t>In October 2015, the EPA published a rule establishing guidelines for states to regulate CO</w:t>
      </w:r>
      <w:r w:rsidRPr="00CB2CB5">
        <w:rPr>
          <w:vertAlign w:val="subscript"/>
        </w:rPr>
        <w:t>2</w:t>
      </w:r>
      <w:r w:rsidRPr="00CB2CB5">
        <w:t xml:space="preserve"> emissions from existing power plants, known as the Clean Power Plan (</w:t>
      </w:r>
      <w:r w:rsidR="00EB31CB" w:rsidRPr="00CB2CB5">
        <w:t>"</w:t>
      </w:r>
      <w:r w:rsidRPr="00CB2CB5">
        <w:t>CPP</w:t>
      </w:r>
      <w:r w:rsidR="00EB31CB" w:rsidRPr="00CB2CB5">
        <w:t>"</w:t>
      </w:r>
      <w:r w:rsidRPr="00CB2CB5">
        <w:t>). Legal cha</w:t>
      </w:r>
      <w:r w:rsidR="005C63BB" w:rsidRPr="00CB2CB5">
        <w:t xml:space="preserve">llenges to the CPP </w:t>
      </w:r>
      <w:r w:rsidR="00564AB3" w:rsidRPr="00564AB3">
        <w:t>led to the Supreme Court halting enforcement in 2016 and a failed attempt at replacing it with the Affordable Clean Energy (ACE) rule in 2017. Although it was ruled that the ACE violated the CAA in January 2021, the CPP was not reinstated leaving the door open to a new rule being proposed.</w:t>
      </w:r>
      <w:r w:rsidR="00CF1803">
        <w:t xml:space="preserve">  The current Biden administration is pursuing climate initiatives which may result in funding, </w:t>
      </w:r>
      <w:proofErr w:type="gramStart"/>
      <w:r w:rsidR="00CF1803">
        <w:t>incentives</w:t>
      </w:r>
      <w:proofErr w:type="gramEnd"/>
      <w:r w:rsidR="00CF1803">
        <w:t xml:space="preserve"> or new requirements.</w:t>
      </w:r>
    </w:p>
    <w:p w14:paraId="58E14C89" w14:textId="77777777" w:rsidR="005C63BB" w:rsidRPr="00CB2CB5" w:rsidRDefault="005C63BB" w:rsidP="008759DE">
      <w:pPr>
        <w:spacing w:line="276" w:lineRule="auto"/>
        <w:ind w:left="1080"/>
      </w:pPr>
    </w:p>
    <w:p w14:paraId="5641FF42" w14:textId="56315CFE" w:rsidR="00BF4381" w:rsidRPr="00CB2CB5" w:rsidRDefault="00BF4381" w:rsidP="008759DE">
      <w:pPr>
        <w:spacing w:line="276" w:lineRule="auto"/>
        <w:ind w:left="1080"/>
      </w:pPr>
      <w:r w:rsidRPr="00CB2CB5">
        <w:t xml:space="preserve">While it is not possible to predict the precise outcome of any pending, proposed or future </w:t>
      </w:r>
      <w:proofErr w:type="spellStart"/>
      <w:r w:rsidRPr="00CB2CB5">
        <w:t>GHG</w:t>
      </w:r>
      <w:proofErr w:type="spellEnd"/>
      <w:r w:rsidRPr="00CB2CB5">
        <w:t xml:space="preserve"> legislation by Congress, state or multi-state regions or any </w:t>
      </w:r>
      <w:proofErr w:type="spellStart"/>
      <w:r w:rsidRPr="00CB2CB5">
        <w:t>GHG</w:t>
      </w:r>
      <w:proofErr w:type="spellEnd"/>
      <w:r w:rsidRPr="00CB2CB5">
        <w:t xml:space="preserve"> regulations adopted by the EPA or state agencies, a significant portion of EPE</w:t>
      </w:r>
      <w:r w:rsidR="00B81EE4" w:rsidRPr="00CB2CB5">
        <w:t>'</w:t>
      </w:r>
      <w:r w:rsidRPr="00CB2CB5">
        <w:t xml:space="preserve">s generation assets are nuclear or gas-fired. </w:t>
      </w:r>
      <w:r w:rsidR="00252EC5" w:rsidRPr="00CB2CB5">
        <w:t xml:space="preserve"> </w:t>
      </w:r>
      <w:r w:rsidRPr="00CB2CB5">
        <w:t>As a result, the Company</w:t>
      </w:r>
      <w:r w:rsidR="00B81EE4" w:rsidRPr="00CB2CB5">
        <w:t>'</w:t>
      </w:r>
      <w:r w:rsidRPr="00CB2CB5">
        <w:t xml:space="preserve">s </w:t>
      </w:r>
      <w:proofErr w:type="spellStart"/>
      <w:r w:rsidRPr="00CB2CB5">
        <w:t>GHG</w:t>
      </w:r>
      <w:proofErr w:type="spellEnd"/>
      <w:r w:rsidRPr="00CB2CB5">
        <w:t xml:space="preserve"> emissions are low relative to electric power companies who rely more on coal-fired generation, and largely align with proposed </w:t>
      </w:r>
      <w:r w:rsidR="0048339C" w:rsidRPr="0048339C">
        <w:t xml:space="preserve">and/or recently promulgated </w:t>
      </w:r>
      <w:proofErr w:type="spellStart"/>
      <w:r w:rsidRPr="00CB2CB5">
        <w:t>GHG</w:t>
      </w:r>
      <w:proofErr w:type="spellEnd"/>
      <w:r w:rsidRPr="00CB2CB5">
        <w:t xml:space="preserve"> regulations. </w:t>
      </w:r>
      <w:r w:rsidR="0048339C" w:rsidRPr="0048339C">
        <w:t xml:space="preserve">In accordance with the CAA 111(b), performance standards for newly constructed electric generating units, Newman 6 will be the first EPE unit to operate with a permitted </w:t>
      </w:r>
      <w:proofErr w:type="spellStart"/>
      <w:r w:rsidR="0048339C" w:rsidRPr="0048339C">
        <w:t>GHG</w:t>
      </w:r>
      <w:proofErr w:type="spellEnd"/>
      <w:r w:rsidR="0048339C" w:rsidRPr="0048339C">
        <w:t xml:space="preserve"> emission limit. This will aid in achieving EPE’s carbon reduction goals.</w:t>
      </w:r>
    </w:p>
    <w:p w14:paraId="3CEA5880" w14:textId="77777777" w:rsidR="005C63BB" w:rsidRPr="00CB2CB5" w:rsidRDefault="005C63BB" w:rsidP="008759DE">
      <w:pPr>
        <w:spacing w:line="276" w:lineRule="auto"/>
        <w:ind w:left="1080"/>
      </w:pPr>
    </w:p>
    <w:p w14:paraId="0551F1F5" w14:textId="5815F632" w:rsidR="00BF4381" w:rsidRPr="00CB2CB5" w:rsidRDefault="00BF4381" w:rsidP="008759DE">
      <w:pPr>
        <w:spacing w:line="276" w:lineRule="auto"/>
        <w:ind w:left="1080"/>
      </w:pPr>
      <w:r w:rsidRPr="00CB2CB5">
        <w:t xml:space="preserve">Climate change also has potential physical effects relevant to the Company's business. </w:t>
      </w:r>
      <w:r w:rsidR="00646C73" w:rsidRPr="00CB2CB5">
        <w:t xml:space="preserve"> </w:t>
      </w:r>
      <w:proofErr w:type="gramStart"/>
      <w:r w:rsidR="00BF54F3" w:rsidRPr="00CB2CB5">
        <w:t>In p</w:t>
      </w:r>
      <w:r w:rsidRPr="00CB2CB5">
        <w:t>articular, climate</w:t>
      </w:r>
      <w:proofErr w:type="gramEnd"/>
      <w:r w:rsidRPr="00CB2CB5">
        <w:t xml:space="preserve"> change could affect the Company's service area by causing higher temperatures, less winter </w:t>
      </w:r>
      <w:r w:rsidR="00661BF6" w:rsidRPr="00CB2CB5">
        <w:t>precipitation,</w:t>
      </w:r>
      <w:r w:rsidRPr="00CB2CB5">
        <w:t xml:space="preserve"> and less spring runoff, as well as by causing more extreme weather events. </w:t>
      </w:r>
      <w:r w:rsidR="00646C73" w:rsidRPr="00CB2CB5">
        <w:t xml:space="preserve"> </w:t>
      </w:r>
      <w:r w:rsidRPr="00CB2CB5">
        <w:t xml:space="preserve">Such developments could change the demand for power in the region and could also impact the price or ready availability of water supplies or affect maintenance needs and the reliability of Company equipment. </w:t>
      </w:r>
    </w:p>
    <w:p w14:paraId="33BBF41C" w14:textId="77777777" w:rsidR="005C63BB" w:rsidRPr="00CB2CB5" w:rsidRDefault="005C63BB" w:rsidP="008759DE">
      <w:pPr>
        <w:spacing w:line="276" w:lineRule="auto"/>
        <w:ind w:left="1080"/>
      </w:pPr>
    </w:p>
    <w:p w14:paraId="4C90A12D" w14:textId="77777777" w:rsidR="0063751D" w:rsidRPr="00CB2CB5" w:rsidRDefault="00BF4381" w:rsidP="008759DE">
      <w:pPr>
        <w:pStyle w:val="Heading3"/>
        <w:numPr>
          <w:ilvl w:val="1"/>
          <w:numId w:val="32"/>
        </w:numPr>
        <w:spacing w:line="276" w:lineRule="auto"/>
      </w:pPr>
      <w:bookmarkStart w:id="20" w:name="_Toc534190298"/>
      <w:r w:rsidRPr="00CB2CB5">
        <w:lastRenderedPageBreak/>
        <w:t>Modeling Carbon and Emissions Cost.</w:t>
      </w:r>
      <w:bookmarkEnd w:id="20"/>
    </w:p>
    <w:p w14:paraId="63840E5E" w14:textId="77777777" w:rsidR="005C63BB" w:rsidRPr="00CB2CB5" w:rsidRDefault="005C63BB" w:rsidP="008759DE">
      <w:pPr>
        <w:spacing w:line="276" w:lineRule="auto"/>
        <w:ind w:left="1080"/>
      </w:pPr>
    </w:p>
    <w:p w14:paraId="5C280FE0" w14:textId="5BAB42F4" w:rsidR="00BF4381" w:rsidRPr="00CB2CB5" w:rsidRDefault="00BF4381" w:rsidP="008759DE">
      <w:pPr>
        <w:spacing w:line="276" w:lineRule="auto"/>
        <w:ind w:left="1080"/>
      </w:pPr>
      <w:r w:rsidRPr="00CB2CB5">
        <w:t>As discussed, the details of future carbon regulations remain in flux</w:t>
      </w:r>
      <w:r w:rsidR="00252EC5" w:rsidRPr="00CB2CB5">
        <w:t>;</w:t>
      </w:r>
      <w:r w:rsidRPr="00CB2CB5">
        <w:t xml:space="preserve"> however, </w:t>
      </w:r>
      <w:r w:rsidR="00637AEA" w:rsidRPr="00CB2CB5">
        <w:t>EPE</w:t>
      </w:r>
      <w:r w:rsidRPr="00CB2CB5">
        <w:t xml:space="preserve"> anticipates that carbon regulations will ultimately become formalized at the </w:t>
      </w:r>
      <w:r w:rsidR="00252EC5" w:rsidRPr="00CB2CB5">
        <w:t>s</w:t>
      </w:r>
      <w:r w:rsidRPr="00CB2CB5">
        <w:t xml:space="preserve">tate and/or </w:t>
      </w:r>
      <w:r w:rsidR="00252EC5" w:rsidRPr="00CB2CB5">
        <w:t>f</w:t>
      </w:r>
      <w:r w:rsidRPr="00CB2CB5">
        <w:t xml:space="preserve">ederal level. </w:t>
      </w:r>
      <w:r w:rsidR="00646C73" w:rsidRPr="00CB2CB5">
        <w:t xml:space="preserve"> </w:t>
      </w:r>
      <w:r w:rsidRPr="00CB2CB5">
        <w:t>The physical consequences of climate change as well as the regulatory approach to climate change ultimately selected and implemented by governmental authorities, or both, may impact EPE</w:t>
      </w:r>
      <w:r w:rsidR="00B81EE4" w:rsidRPr="00CB2CB5">
        <w:t>'</w:t>
      </w:r>
      <w:r w:rsidRPr="00CB2CB5">
        <w:t xml:space="preserve">s operation. </w:t>
      </w:r>
      <w:r w:rsidR="00646C73" w:rsidRPr="00CB2CB5">
        <w:t xml:space="preserve"> </w:t>
      </w:r>
      <w:r w:rsidRPr="00CB2CB5">
        <w:t xml:space="preserve">As such, EPE models the </w:t>
      </w:r>
      <w:r w:rsidR="007017CA">
        <w:t xml:space="preserve">three </w:t>
      </w:r>
      <w:r w:rsidRPr="00CB2CB5">
        <w:t xml:space="preserve">Commission </w:t>
      </w:r>
      <w:r w:rsidR="007017CA">
        <w:t xml:space="preserve">ordered sensitivity scenarios with </w:t>
      </w:r>
      <w:r w:rsidRPr="00CB2CB5">
        <w:t>standardized cost (per ton) of CO</w:t>
      </w:r>
      <w:r w:rsidRPr="00CB2CB5">
        <w:rPr>
          <w:vertAlign w:val="subscript"/>
        </w:rPr>
        <w:t>2</w:t>
      </w:r>
      <w:r w:rsidRPr="00CB2CB5">
        <w:t xml:space="preserve"> emissions, as well as a cost for criteria pollutants, within each resource portfolio. </w:t>
      </w:r>
      <w:r w:rsidR="00646C73" w:rsidRPr="00CB2CB5">
        <w:t xml:space="preserve"> </w:t>
      </w:r>
      <w:r w:rsidR="00637AEA" w:rsidRPr="00CB2CB5">
        <w:t>EPE</w:t>
      </w:r>
      <w:r w:rsidR="00B81EE4" w:rsidRPr="00CB2CB5">
        <w:t>'</w:t>
      </w:r>
      <w:r w:rsidR="00637AEA" w:rsidRPr="00CB2CB5">
        <w:t>s model</w:t>
      </w:r>
      <w:r w:rsidR="00F66464" w:rsidRPr="00CB2CB5">
        <w:t>ing</w:t>
      </w:r>
      <w:r w:rsidR="00637AEA" w:rsidRPr="00CB2CB5">
        <w:t xml:space="preserve"> includes emission rates specific to each conventional resource type and applicable costs as part of the portfolio analysis. </w:t>
      </w:r>
    </w:p>
    <w:p w14:paraId="07F5FB84" w14:textId="77777777" w:rsidR="005C63BB" w:rsidRPr="00CB2CB5" w:rsidRDefault="005C63BB" w:rsidP="008759DE">
      <w:pPr>
        <w:spacing w:line="276" w:lineRule="auto"/>
        <w:ind w:left="1080"/>
      </w:pPr>
    </w:p>
    <w:p w14:paraId="02BEA317" w14:textId="77777777" w:rsidR="0063751D" w:rsidRPr="00CB2CB5" w:rsidRDefault="00BF4381" w:rsidP="008759DE">
      <w:pPr>
        <w:pStyle w:val="Heading3"/>
        <w:numPr>
          <w:ilvl w:val="1"/>
          <w:numId w:val="32"/>
        </w:numPr>
        <w:spacing w:line="276" w:lineRule="auto"/>
      </w:pPr>
      <w:bookmarkStart w:id="21" w:name="_Toc534190299"/>
      <w:r w:rsidRPr="00CB2CB5">
        <w:t>Water Resources</w:t>
      </w:r>
      <w:bookmarkEnd w:id="21"/>
    </w:p>
    <w:p w14:paraId="66835C4E" w14:textId="77777777" w:rsidR="005C63BB" w:rsidRPr="00CB2CB5" w:rsidRDefault="005C63BB" w:rsidP="008759DE">
      <w:pPr>
        <w:keepNext/>
        <w:keepLines/>
        <w:spacing w:line="276" w:lineRule="auto"/>
        <w:ind w:left="1080"/>
      </w:pPr>
    </w:p>
    <w:p w14:paraId="587909F5" w14:textId="7CC921B7" w:rsidR="00BF4381" w:rsidRPr="00CB2CB5" w:rsidRDefault="00BF4381" w:rsidP="008759DE">
      <w:pPr>
        <w:spacing w:line="276" w:lineRule="auto"/>
        <w:ind w:left="1080"/>
      </w:pPr>
      <w:r w:rsidRPr="00CB2CB5">
        <w:t>Rate of consumptive water use, required by 17.7.3.9(C)(13)(c) NMAC, is summarized for EPE</w:t>
      </w:r>
      <w:r w:rsidR="00B81EE4" w:rsidRPr="00CB2CB5">
        <w:t>'</w:t>
      </w:r>
      <w:r w:rsidRPr="00CB2CB5">
        <w:t xml:space="preserve">s existing generation resources in Table </w:t>
      </w:r>
      <w:r w:rsidR="00767951">
        <w:t>3 below</w:t>
      </w:r>
      <w:r w:rsidRPr="00CB2CB5">
        <w:t>,</w:t>
      </w:r>
      <w:r w:rsidR="00A504B2" w:rsidRPr="00CB2CB5">
        <w:t xml:space="preserve"> and</w:t>
      </w:r>
      <w:r w:rsidRPr="00CB2CB5">
        <w:t xml:space="preserve"> is a primary consideration in comparing generation technologies and evaluating resource portfolios. </w:t>
      </w:r>
      <w:r w:rsidR="00646C73" w:rsidRPr="00CB2CB5">
        <w:t xml:space="preserve"> </w:t>
      </w:r>
      <w:r w:rsidR="0048339C" w:rsidRPr="0048339C">
        <w:t xml:space="preserve">All of the 5 relatively new GE </w:t>
      </w:r>
      <w:proofErr w:type="spellStart"/>
      <w:r w:rsidR="0048339C" w:rsidRPr="0048339C">
        <w:t>LMS</w:t>
      </w:r>
      <w:proofErr w:type="spellEnd"/>
      <w:r w:rsidR="0048339C" w:rsidRPr="0048339C">
        <w:t xml:space="preserve"> 100 turbines and the planned Newman 6 unit are not steam generating units, and the planned Newman 6 unit specifically will not include a cooling tower in its peripheral equipment, drastically reducing its water consumption rate when compared to older units.  </w:t>
      </w:r>
      <w:r w:rsidRPr="00CB2CB5">
        <w:t xml:space="preserve">Protection and preservation of water resources is primarily governed by the Clean Water Act. </w:t>
      </w:r>
      <w:r w:rsidR="00646C73" w:rsidRPr="00CB2CB5">
        <w:t xml:space="preserve"> </w:t>
      </w:r>
      <w:r w:rsidRPr="00CB2CB5">
        <w:t xml:space="preserve">Assessment of potential impacts to water resources includes surface water, ground water, wetlands, and other waters of the United States. </w:t>
      </w:r>
      <w:r w:rsidR="00646C73" w:rsidRPr="00CB2CB5">
        <w:t xml:space="preserve"> </w:t>
      </w:r>
      <w:r w:rsidRPr="00CB2CB5">
        <w:t xml:space="preserve">Water quality standards must be maintained throughout the life of a project from construction through operation. </w:t>
      </w:r>
      <w:r w:rsidR="00646C73" w:rsidRPr="00CB2CB5">
        <w:t xml:space="preserve"> </w:t>
      </w:r>
      <w:r w:rsidRPr="00CB2CB5">
        <w:t xml:space="preserve">These standards </w:t>
      </w:r>
      <w:r w:rsidR="00A504B2" w:rsidRPr="00CB2CB5">
        <w:t xml:space="preserve">generally </w:t>
      </w:r>
      <w:r w:rsidRPr="00CB2CB5">
        <w:t>are addressed through design factors to prevent storm water pollution and prevent site run-off and discharge. Protection of wetlands and surface waters, including potentially dry arroyos, is best addressed through site selection and any impacts to wetlands or waters of the U.S. are mitigated during appropriate permitting processes.</w:t>
      </w:r>
    </w:p>
    <w:p w14:paraId="68997D78" w14:textId="77777777" w:rsidR="008C54BA" w:rsidRPr="00CB2CB5" w:rsidRDefault="008C54BA" w:rsidP="008759DE">
      <w:pPr>
        <w:spacing w:line="276" w:lineRule="auto"/>
      </w:pPr>
    </w:p>
    <w:p w14:paraId="632FBAA3" w14:textId="77777777" w:rsidR="00BA6FCD" w:rsidRPr="00CB2CB5" w:rsidRDefault="00BF4381" w:rsidP="008759DE">
      <w:pPr>
        <w:pStyle w:val="Heading3"/>
        <w:numPr>
          <w:ilvl w:val="1"/>
          <w:numId w:val="32"/>
        </w:numPr>
        <w:spacing w:line="276" w:lineRule="auto"/>
      </w:pPr>
      <w:bookmarkStart w:id="22" w:name="_Toc534190300"/>
      <w:r w:rsidRPr="00CB2CB5">
        <w:t>Biological resources</w:t>
      </w:r>
      <w:bookmarkEnd w:id="22"/>
    </w:p>
    <w:p w14:paraId="3917E472" w14:textId="77777777" w:rsidR="004E5754" w:rsidRPr="00CB2CB5" w:rsidRDefault="004E5754" w:rsidP="008759DE">
      <w:pPr>
        <w:spacing w:line="276" w:lineRule="auto"/>
        <w:ind w:left="1080"/>
      </w:pPr>
    </w:p>
    <w:p w14:paraId="64A3AC19" w14:textId="77777777" w:rsidR="00BF4381" w:rsidRPr="00CB2CB5" w:rsidRDefault="00BF4381" w:rsidP="008759DE">
      <w:pPr>
        <w:spacing w:line="276" w:lineRule="auto"/>
        <w:ind w:left="1080"/>
      </w:pPr>
      <w:r w:rsidRPr="00CB2CB5">
        <w:t>Biological resources include wildlife, avian, vegetation and habitat resources. Regulation of these resources is driven primarily by the Endangered Species and Migratory Bird Treaty Acts.  Procedurally, consideration of these resources requires reconnaissance and detailed surveys of potential project areas to evaluate for the presence of native, rare, or critical habitat; or threatened, endangered or other special status species.</w:t>
      </w:r>
      <w:r w:rsidR="00646C73" w:rsidRPr="00CB2CB5">
        <w:t xml:space="preserve"> </w:t>
      </w:r>
      <w:r w:rsidRPr="00CB2CB5">
        <w:t xml:space="preserve"> Protection of biological resources is most challenging for expansive or large land area projects such as solar facilities, transmission corridors or access roads. EPE seeks to minimize impacts to these resources through careful site selection and </w:t>
      </w:r>
      <w:r w:rsidRPr="00CB2CB5">
        <w:lastRenderedPageBreak/>
        <w:t xml:space="preserve">avoidance as well as through operational techniques such as timing of vegetation clearing when seasonally appropriate to minimize impacts to nesting birds or conducting salvage removal of cacti species or nest relocations when avoidance is not possible. </w:t>
      </w:r>
    </w:p>
    <w:p w14:paraId="760E2E3E" w14:textId="77777777" w:rsidR="004E5754" w:rsidRPr="00CB2CB5" w:rsidRDefault="004E5754" w:rsidP="008759DE">
      <w:pPr>
        <w:spacing w:line="276" w:lineRule="auto"/>
        <w:ind w:left="1080"/>
      </w:pPr>
    </w:p>
    <w:p w14:paraId="191107B2" w14:textId="77777777" w:rsidR="00BA6FCD" w:rsidRPr="00CB2CB5" w:rsidRDefault="00BF4381" w:rsidP="008759DE">
      <w:pPr>
        <w:pStyle w:val="Heading3"/>
        <w:numPr>
          <w:ilvl w:val="1"/>
          <w:numId w:val="32"/>
        </w:numPr>
        <w:spacing w:line="276" w:lineRule="auto"/>
      </w:pPr>
      <w:bookmarkStart w:id="23" w:name="_Toc534190301"/>
      <w:r w:rsidRPr="00CB2CB5">
        <w:t>Cultural resources</w:t>
      </w:r>
      <w:bookmarkEnd w:id="23"/>
    </w:p>
    <w:p w14:paraId="3D610537" w14:textId="77777777" w:rsidR="004E5754" w:rsidRPr="00CB2CB5" w:rsidRDefault="004E5754" w:rsidP="008759DE">
      <w:pPr>
        <w:spacing w:line="276" w:lineRule="auto"/>
        <w:ind w:left="1080"/>
      </w:pPr>
    </w:p>
    <w:p w14:paraId="4E11E8BE" w14:textId="77777777" w:rsidR="00BF4381" w:rsidRPr="00CB2CB5" w:rsidRDefault="00BF4381" w:rsidP="008759DE">
      <w:pPr>
        <w:spacing w:line="276" w:lineRule="auto"/>
        <w:ind w:left="1080"/>
      </w:pPr>
      <w:r w:rsidRPr="00CB2CB5">
        <w:t>Cultural resources are abundant and dense within EPE</w:t>
      </w:r>
      <w:r w:rsidR="00B81EE4" w:rsidRPr="00CB2CB5">
        <w:t>'</w:t>
      </w:r>
      <w:r w:rsidRPr="00CB2CB5">
        <w:t>s service territory.  Evaluation of potential impacts to cultural resources follows the process outlined by Section</w:t>
      </w:r>
      <w:r w:rsidR="00D51F1C" w:rsidRPr="00CB2CB5">
        <w:t> </w:t>
      </w:r>
      <w:r w:rsidRPr="00CB2CB5">
        <w:t>106 of the National Historic Preservation Act and includes a determination of whether or not cultural resources exist within a project</w:t>
      </w:r>
      <w:r w:rsidR="00B81EE4" w:rsidRPr="00CB2CB5">
        <w:t>'</w:t>
      </w:r>
      <w:r w:rsidRPr="00CB2CB5">
        <w:t xml:space="preserve">s area of potential effect and whether or not those resources would be adversely affected. </w:t>
      </w:r>
      <w:r w:rsidR="00646C73" w:rsidRPr="00CB2CB5">
        <w:t xml:space="preserve"> </w:t>
      </w:r>
      <w:r w:rsidRPr="00CB2CB5">
        <w:t xml:space="preserve">These determinations are made in consultation with the State Historic Preservation Office and any appropriate </w:t>
      </w:r>
      <w:r w:rsidR="00A504B2" w:rsidRPr="00CB2CB5">
        <w:t xml:space="preserve">pueblos and </w:t>
      </w:r>
      <w:r w:rsidRPr="00CB2CB5">
        <w:t xml:space="preserve">tribes, generally upon completion of intensive surveys and records reviews. </w:t>
      </w:r>
      <w:r w:rsidR="00646C73" w:rsidRPr="00CB2CB5">
        <w:t xml:space="preserve"> </w:t>
      </w:r>
      <w:r w:rsidRPr="00CB2CB5">
        <w:t xml:space="preserve">Where cultural resources cannot be avoided, mitigation plans are developed prior to any construction. As with biological resources, managing </w:t>
      </w:r>
      <w:r w:rsidR="00444AB9" w:rsidRPr="00CB2CB5">
        <w:t xml:space="preserve">the </w:t>
      </w:r>
      <w:r w:rsidRPr="00CB2CB5">
        <w:t xml:space="preserve">effects to cultural resources is best achieved through careful site selection and avoidance. </w:t>
      </w:r>
      <w:r w:rsidR="00646C73" w:rsidRPr="00CB2CB5">
        <w:t xml:space="preserve"> </w:t>
      </w:r>
      <w:r w:rsidRPr="00CB2CB5">
        <w:t>However, on expansive projects complete avoidance is not always feasible and mitigation, including site specific data recovery, is completed.</w:t>
      </w:r>
    </w:p>
    <w:p w14:paraId="201AB218" w14:textId="77777777" w:rsidR="004E5754" w:rsidRPr="00CB2CB5" w:rsidRDefault="004E5754" w:rsidP="008759DE">
      <w:pPr>
        <w:spacing w:line="276" w:lineRule="auto"/>
        <w:ind w:left="1080"/>
      </w:pPr>
    </w:p>
    <w:p w14:paraId="3B2EF9DE" w14:textId="5D92AE5C" w:rsidR="00BF4381" w:rsidRPr="00CB2CB5" w:rsidRDefault="00BF4381" w:rsidP="008759DE">
      <w:pPr>
        <w:spacing w:line="276" w:lineRule="auto"/>
        <w:ind w:left="1080"/>
      </w:pPr>
      <w:r w:rsidRPr="00CB2CB5">
        <w:t xml:space="preserve">Although no less important, the following resources are also protected or otherwise regulated and considered, though are not as frequently applicable to projects. </w:t>
      </w:r>
      <w:r w:rsidR="00646C73" w:rsidRPr="00CB2CB5">
        <w:t xml:space="preserve"> </w:t>
      </w:r>
      <w:r w:rsidRPr="00CB2CB5">
        <w:t xml:space="preserve">These include environmental justice, protection of specially designated areas, visual resources, paleontological resources, caves and karst, floodplains, watershed, hazardous and solid wastes, and soils.  </w:t>
      </w:r>
    </w:p>
    <w:p w14:paraId="14348780" w14:textId="77777777" w:rsidR="004E5754" w:rsidRPr="00CB2CB5" w:rsidRDefault="004E5754" w:rsidP="008759DE">
      <w:pPr>
        <w:spacing w:line="276" w:lineRule="auto"/>
        <w:ind w:left="1080"/>
      </w:pPr>
    </w:p>
    <w:p w14:paraId="3E3F08C6" w14:textId="29257D92" w:rsidR="00BF4381" w:rsidRPr="00CB2CB5" w:rsidRDefault="00BF4381" w:rsidP="008759DE">
      <w:pPr>
        <w:spacing w:line="276" w:lineRule="auto"/>
        <w:ind w:left="1080"/>
      </w:pPr>
      <w:r w:rsidRPr="00CB2CB5">
        <w:t>EPE evaluates potential impacts to a broad spectrum of environmental resources</w:t>
      </w:r>
      <w:r w:rsidR="0048339C" w:rsidRPr="0048339C">
        <w:t xml:space="preserve"> continuously measuring the sustainability of our businesses practices focusing specifically in the effects on environmental, social, and corporate governance (</w:t>
      </w:r>
      <w:proofErr w:type="spellStart"/>
      <w:r w:rsidR="0048339C" w:rsidRPr="0048339C">
        <w:t>ESG</w:t>
      </w:r>
      <w:proofErr w:type="spellEnd"/>
      <w:r w:rsidR="0048339C" w:rsidRPr="0048339C">
        <w:t>) factors</w:t>
      </w:r>
      <w:r w:rsidRPr="00CB2CB5">
        <w:t xml:space="preserve">. </w:t>
      </w:r>
      <w:r w:rsidR="00646C73" w:rsidRPr="00CB2CB5">
        <w:t xml:space="preserve"> </w:t>
      </w:r>
      <w:r w:rsidRPr="00CB2CB5">
        <w:t>The resources and degree of impacts do vary from project to project, but the due consideration of that impact is a consistent factor in EPE</w:t>
      </w:r>
      <w:r w:rsidR="00B81EE4" w:rsidRPr="00CB2CB5">
        <w:t>'</w:t>
      </w:r>
      <w:r w:rsidRPr="00CB2CB5">
        <w:t>s resource planning process.</w:t>
      </w:r>
    </w:p>
    <w:p w14:paraId="13407484" w14:textId="77777777" w:rsidR="00BF4381" w:rsidRPr="00CB2CB5" w:rsidRDefault="00BF4381" w:rsidP="008759DE">
      <w:pPr>
        <w:spacing w:line="276" w:lineRule="auto"/>
      </w:pPr>
    </w:p>
    <w:p w14:paraId="2AC2A49A" w14:textId="77777777" w:rsidR="003C0EF8" w:rsidRPr="00CB2CB5" w:rsidRDefault="00925B19" w:rsidP="008759DE">
      <w:pPr>
        <w:pStyle w:val="Heading2"/>
        <w:numPr>
          <w:ilvl w:val="0"/>
          <w:numId w:val="26"/>
        </w:numPr>
        <w:spacing w:after="240" w:line="276" w:lineRule="auto"/>
        <w:ind w:left="1080" w:hanging="540"/>
        <w:rPr>
          <w:rFonts w:eastAsia="Times New Roman"/>
        </w:rPr>
      </w:pPr>
      <w:bookmarkStart w:id="24" w:name="_Toc534190302"/>
      <w:r w:rsidRPr="00CB2CB5">
        <w:rPr>
          <w:rFonts w:eastAsia="Times New Roman"/>
        </w:rPr>
        <w:t>Demand Side Resources</w:t>
      </w:r>
      <w:bookmarkEnd w:id="24"/>
      <w:r w:rsidR="00052D48" w:rsidRPr="00CB2CB5">
        <w:rPr>
          <w:rFonts w:eastAsia="Times New Roman"/>
        </w:rPr>
        <w:t xml:space="preserve"> </w:t>
      </w:r>
    </w:p>
    <w:p w14:paraId="083167B7" w14:textId="2C837B08" w:rsidR="00017C16" w:rsidRPr="00CB2CB5" w:rsidRDefault="00E170D1" w:rsidP="008759DE">
      <w:pPr>
        <w:widowControl w:val="0"/>
        <w:autoSpaceDE w:val="0"/>
        <w:autoSpaceDN w:val="0"/>
        <w:spacing w:line="276" w:lineRule="auto"/>
        <w:ind w:left="540" w:right="168"/>
        <w:rPr>
          <w:rFonts w:eastAsia="Times New Roman"/>
          <w:spacing w:val="-2"/>
        </w:rPr>
      </w:pPr>
      <w:r>
        <w:rPr>
          <w:rFonts w:eastAsia="Times New Roman"/>
          <w:spacing w:val="-2"/>
        </w:rPr>
        <w:t>D</w:t>
      </w:r>
      <w:r w:rsidR="00017C16" w:rsidRPr="00CB2CB5">
        <w:rPr>
          <w:rFonts w:eastAsia="Times New Roman"/>
          <w:spacing w:val="-2"/>
        </w:rPr>
        <w:t xml:space="preserve">emand side resources are a reduction to the overall forecasted native system demand. </w:t>
      </w:r>
    </w:p>
    <w:p w14:paraId="6A647AB2" w14:textId="77777777" w:rsidR="00017C16" w:rsidRPr="00CB2CB5" w:rsidRDefault="00017C16" w:rsidP="008759DE">
      <w:pPr>
        <w:pStyle w:val="BodyText"/>
        <w:spacing w:line="276" w:lineRule="auto"/>
        <w:ind w:left="540"/>
      </w:pPr>
    </w:p>
    <w:p w14:paraId="2BC3E6BE" w14:textId="5F37E33A" w:rsidR="00017C16" w:rsidRPr="00CB2CB5" w:rsidRDefault="00017C16" w:rsidP="008759DE">
      <w:pPr>
        <w:widowControl w:val="0"/>
        <w:autoSpaceDE w:val="0"/>
        <w:autoSpaceDN w:val="0"/>
        <w:spacing w:line="276" w:lineRule="auto"/>
        <w:ind w:left="540" w:right="168"/>
        <w:rPr>
          <w:rFonts w:eastAsia="Times New Roman"/>
        </w:rPr>
      </w:pPr>
      <w:r w:rsidRPr="00CB2CB5">
        <w:rPr>
          <w:rFonts w:eastAsia="Times New Roman"/>
        </w:rPr>
        <w:t>EPE</w:t>
      </w:r>
      <w:r w:rsidR="00B81EE4" w:rsidRPr="00CB2CB5">
        <w:rPr>
          <w:rFonts w:eastAsia="Times New Roman"/>
        </w:rPr>
        <w:t>'</w:t>
      </w:r>
      <w:r w:rsidR="00F07A35" w:rsidRPr="00CB2CB5">
        <w:rPr>
          <w:rFonts w:eastAsia="Times New Roman"/>
        </w:rPr>
        <w:t>s</w:t>
      </w:r>
      <w:r w:rsidRPr="00CB2CB5">
        <w:rPr>
          <w:rFonts w:eastAsia="Times New Roman"/>
        </w:rPr>
        <w:t xml:space="preserve"> existing demand side resources are categorized into </w:t>
      </w:r>
      <w:r w:rsidR="00CA7293">
        <w:rPr>
          <w:rFonts w:eastAsia="Times New Roman"/>
        </w:rPr>
        <w:t>four</w:t>
      </w:r>
      <w:r w:rsidR="00CA7293" w:rsidRPr="00CB2CB5">
        <w:rPr>
          <w:rFonts w:eastAsia="Times New Roman"/>
        </w:rPr>
        <w:t xml:space="preserve"> </w:t>
      </w:r>
      <w:r w:rsidRPr="00CB2CB5">
        <w:rPr>
          <w:rFonts w:eastAsia="Times New Roman"/>
        </w:rPr>
        <w:t>primary types as follows:</w:t>
      </w:r>
    </w:p>
    <w:p w14:paraId="1577C5F7" w14:textId="77777777" w:rsidR="00017C16" w:rsidRPr="00CB2CB5" w:rsidRDefault="00017C16" w:rsidP="008759DE">
      <w:pPr>
        <w:widowControl w:val="0"/>
        <w:autoSpaceDE w:val="0"/>
        <w:autoSpaceDN w:val="0"/>
        <w:spacing w:line="276" w:lineRule="auto"/>
        <w:ind w:left="720" w:right="168"/>
        <w:rPr>
          <w:rFonts w:eastAsia="Times New Roman"/>
        </w:rPr>
      </w:pPr>
    </w:p>
    <w:p w14:paraId="173931A0" w14:textId="06EA1976" w:rsidR="007E6AD9" w:rsidRPr="00CB2CB5" w:rsidRDefault="007E6AD9" w:rsidP="007E6AD9">
      <w:pPr>
        <w:keepNext/>
        <w:keepLines/>
        <w:numPr>
          <w:ilvl w:val="0"/>
          <w:numId w:val="4"/>
        </w:numPr>
        <w:autoSpaceDE w:val="0"/>
        <w:autoSpaceDN w:val="0"/>
        <w:spacing w:line="276" w:lineRule="auto"/>
        <w:ind w:left="1440" w:right="173"/>
        <w:jc w:val="left"/>
        <w:rPr>
          <w:rFonts w:eastAsia="Times New Roman"/>
        </w:rPr>
      </w:pPr>
      <w:r w:rsidRPr="00CB2CB5">
        <w:rPr>
          <w:rFonts w:eastAsia="Times New Roman"/>
        </w:rPr>
        <w:t xml:space="preserve">New Mexico Energy Efficiency </w:t>
      </w:r>
      <w:r w:rsidR="00A57C52">
        <w:rPr>
          <w:rFonts w:eastAsia="Times New Roman"/>
        </w:rPr>
        <w:t xml:space="preserve">(“EE”) </w:t>
      </w:r>
      <w:proofErr w:type="gramStart"/>
      <w:r w:rsidRPr="00CB2CB5">
        <w:rPr>
          <w:rFonts w:eastAsia="Times New Roman"/>
        </w:rPr>
        <w:t>Programs</w:t>
      </w:r>
      <w:r w:rsidR="00A57C52">
        <w:rPr>
          <w:rFonts w:eastAsia="Times New Roman"/>
        </w:rPr>
        <w:t>;</w:t>
      </w:r>
      <w:proofErr w:type="gramEnd"/>
    </w:p>
    <w:p w14:paraId="2EF25E63" w14:textId="57828DCE" w:rsidR="00017C16" w:rsidRPr="00CB2CB5" w:rsidRDefault="00017C16" w:rsidP="00192CA0">
      <w:pPr>
        <w:pStyle w:val="ListParagraph"/>
        <w:widowControl w:val="0"/>
        <w:numPr>
          <w:ilvl w:val="0"/>
          <w:numId w:val="4"/>
        </w:numPr>
        <w:autoSpaceDE w:val="0"/>
        <w:autoSpaceDN w:val="0"/>
        <w:spacing w:after="0" w:line="276" w:lineRule="auto"/>
        <w:ind w:left="1440" w:right="168"/>
        <w:contextualSpacing w:val="0"/>
        <w:rPr>
          <w:rFonts w:ascii="Times New Roman" w:eastAsia="Times New Roman" w:hAnsi="Times New Roman"/>
          <w:sz w:val="24"/>
        </w:rPr>
      </w:pPr>
      <w:r w:rsidRPr="00CB2CB5">
        <w:rPr>
          <w:rFonts w:ascii="Times New Roman" w:eastAsia="Times New Roman" w:hAnsi="Times New Roman"/>
          <w:sz w:val="24"/>
        </w:rPr>
        <w:t xml:space="preserve">New Mexico </w:t>
      </w:r>
      <w:r w:rsidR="007E6AD9">
        <w:rPr>
          <w:rFonts w:ascii="Times New Roman" w:eastAsia="Times New Roman" w:hAnsi="Times New Roman"/>
          <w:sz w:val="24"/>
        </w:rPr>
        <w:t xml:space="preserve">Residential and </w:t>
      </w:r>
      <w:r w:rsidR="00CA7293">
        <w:rPr>
          <w:rFonts w:ascii="Times New Roman" w:eastAsia="Times New Roman" w:hAnsi="Times New Roman"/>
          <w:sz w:val="24"/>
        </w:rPr>
        <w:t>Commercial Load Management</w:t>
      </w:r>
      <w:r w:rsidR="00A57C52">
        <w:rPr>
          <w:rFonts w:ascii="Times New Roman" w:eastAsia="Times New Roman" w:hAnsi="Times New Roman"/>
          <w:sz w:val="24"/>
        </w:rPr>
        <w:t xml:space="preserve"> (“LM”)</w:t>
      </w:r>
      <w:r w:rsidR="00CA7293">
        <w:rPr>
          <w:rFonts w:ascii="Times New Roman" w:eastAsia="Times New Roman" w:hAnsi="Times New Roman"/>
          <w:sz w:val="24"/>
        </w:rPr>
        <w:t xml:space="preserve"> </w:t>
      </w:r>
      <w:proofErr w:type="gramStart"/>
      <w:r w:rsidR="00CA7293">
        <w:rPr>
          <w:rFonts w:ascii="Times New Roman" w:eastAsia="Times New Roman" w:hAnsi="Times New Roman"/>
          <w:sz w:val="24"/>
        </w:rPr>
        <w:t>Programs</w:t>
      </w:r>
      <w:r w:rsidR="00A57C52">
        <w:rPr>
          <w:rFonts w:ascii="Times New Roman" w:eastAsia="Times New Roman" w:hAnsi="Times New Roman"/>
          <w:sz w:val="24"/>
        </w:rPr>
        <w:t>;</w:t>
      </w:r>
      <w:proofErr w:type="gramEnd"/>
    </w:p>
    <w:p w14:paraId="3E57232F" w14:textId="796CE530" w:rsidR="007E6AD9" w:rsidRPr="00CB2CB5" w:rsidRDefault="007E6AD9" w:rsidP="007E6AD9">
      <w:pPr>
        <w:widowControl w:val="0"/>
        <w:numPr>
          <w:ilvl w:val="0"/>
          <w:numId w:val="4"/>
        </w:numPr>
        <w:autoSpaceDE w:val="0"/>
        <w:autoSpaceDN w:val="0"/>
        <w:spacing w:line="276" w:lineRule="auto"/>
        <w:ind w:left="1440" w:right="168"/>
        <w:jc w:val="left"/>
        <w:rPr>
          <w:rFonts w:eastAsia="Times New Roman"/>
        </w:rPr>
      </w:pPr>
      <w:r w:rsidRPr="00CB2CB5">
        <w:rPr>
          <w:rFonts w:eastAsia="Times New Roman"/>
        </w:rPr>
        <w:lastRenderedPageBreak/>
        <w:t>Texas Energy Efficiency Programs</w:t>
      </w:r>
      <w:r w:rsidR="00A57C52">
        <w:rPr>
          <w:rFonts w:eastAsia="Times New Roman"/>
        </w:rPr>
        <w:t>; and</w:t>
      </w:r>
      <w:r w:rsidR="00510031">
        <w:rPr>
          <w:rFonts w:eastAsia="Times New Roman"/>
        </w:rPr>
        <w:t>,</w:t>
      </w:r>
    </w:p>
    <w:p w14:paraId="1432A55A" w14:textId="3FDDBD5E" w:rsidR="00CA7293" w:rsidRDefault="00CA7293" w:rsidP="00192CA0">
      <w:pPr>
        <w:keepNext/>
        <w:keepLines/>
        <w:numPr>
          <w:ilvl w:val="0"/>
          <w:numId w:val="4"/>
        </w:numPr>
        <w:autoSpaceDE w:val="0"/>
        <w:autoSpaceDN w:val="0"/>
        <w:spacing w:line="276" w:lineRule="auto"/>
        <w:ind w:left="1440" w:right="173"/>
        <w:jc w:val="left"/>
        <w:rPr>
          <w:rFonts w:eastAsia="Times New Roman"/>
        </w:rPr>
      </w:pPr>
      <w:r>
        <w:rPr>
          <w:rFonts w:eastAsia="Times New Roman"/>
        </w:rPr>
        <w:t xml:space="preserve">Texas </w:t>
      </w:r>
      <w:r w:rsidR="007E6AD9">
        <w:rPr>
          <w:rFonts w:eastAsia="Times New Roman"/>
        </w:rPr>
        <w:t xml:space="preserve">Residential and </w:t>
      </w:r>
      <w:r>
        <w:rPr>
          <w:rFonts w:eastAsia="Times New Roman"/>
        </w:rPr>
        <w:t>Commercial Load Management Programs</w:t>
      </w:r>
      <w:r w:rsidR="00A57C52">
        <w:rPr>
          <w:rFonts w:eastAsia="Times New Roman"/>
        </w:rPr>
        <w:t>.</w:t>
      </w:r>
    </w:p>
    <w:p w14:paraId="593DC8A7" w14:textId="77777777" w:rsidR="00017C16" w:rsidRPr="00CB2CB5" w:rsidRDefault="00017C16" w:rsidP="008759DE">
      <w:pPr>
        <w:widowControl w:val="0"/>
        <w:autoSpaceDE w:val="0"/>
        <w:autoSpaceDN w:val="0"/>
        <w:spacing w:line="276" w:lineRule="auto"/>
        <w:ind w:left="540" w:right="173"/>
        <w:rPr>
          <w:rFonts w:eastAsia="Times New Roman"/>
        </w:rPr>
      </w:pPr>
    </w:p>
    <w:p w14:paraId="32479A31" w14:textId="24EFD35B" w:rsidR="00017C16" w:rsidRPr="00CB2CB5" w:rsidRDefault="00017C16" w:rsidP="008759DE">
      <w:pPr>
        <w:widowControl w:val="0"/>
        <w:autoSpaceDE w:val="0"/>
        <w:autoSpaceDN w:val="0"/>
        <w:spacing w:line="276" w:lineRule="auto"/>
        <w:ind w:left="540" w:right="173"/>
        <w:rPr>
          <w:rFonts w:eastAsia="Times New Roman"/>
        </w:rPr>
      </w:pPr>
      <w:r w:rsidRPr="00CB2CB5">
        <w:rPr>
          <w:rFonts w:eastAsia="Times New Roman"/>
        </w:rPr>
        <w:t xml:space="preserve">EPE incorporates demand side resources into its planning process for its New Mexico and Texas jurisdictions. EPE has several programs that promote energy and demand savings for customers. </w:t>
      </w:r>
      <w:r w:rsidR="00444AB9" w:rsidRPr="00CB2CB5">
        <w:rPr>
          <w:rFonts w:eastAsia="Times New Roman"/>
        </w:rPr>
        <w:t xml:space="preserve"> </w:t>
      </w:r>
      <w:r w:rsidRPr="00CB2CB5">
        <w:rPr>
          <w:rFonts w:eastAsia="Times New Roman"/>
        </w:rPr>
        <w:t>The programs differ by state jurisdiction and are dependent on the goals established by state regulations.</w:t>
      </w:r>
    </w:p>
    <w:p w14:paraId="7FF31660" w14:textId="77777777" w:rsidR="00017C16" w:rsidRPr="00CB2CB5" w:rsidRDefault="00017C16" w:rsidP="008759DE">
      <w:pPr>
        <w:widowControl w:val="0"/>
        <w:autoSpaceDE w:val="0"/>
        <w:autoSpaceDN w:val="0"/>
        <w:spacing w:line="276" w:lineRule="auto"/>
        <w:ind w:left="540" w:right="173"/>
        <w:rPr>
          <w:rFonts w:eastAsia="Times New Roman"/>
        </w:rPr>
      </w:pPr>
    </w:p>
    <w:p w14:paraId="2BAE5324" w14:textId="592337B5" w:rsidR="00017C16" w:rsidRPr="00CB2CB5" w:rsidRDefault="00017C16" w:rsidP="008759DE">
      <w:pPr>
        <w:widowControl w:val="0"/>
        <w:autoSpaceDE w:val="0"/>
        <w:autoSpaceDN w:val="0"/>
        <w:spacing w:line="276" w:lineRule="auto"/>
        <w:ind w:left="540" w:right="168"/>
        <w:rPr>
          <w:rFonts w:eastAsia="Times New Roman"/>
        </w:rPr>
      </w:pPr>
      <w:r w:rsidRPr="00CB2CB5">
        <w:rPr>
          <w:rFonts w:eastAsia="Times New Roman"/>
        </w:rPr>
        <w:t xml:space="preserve">Brief descriptions of the </w:t>
      </w:r>
      <w:r w:rsidR="00CA7293">
        <w:rPr>
          <w:rFonts w:eastAsia="Times New Roman"/>
        </w:rPr>
        <w:t xml:space="preserve">New Mexico </w:t>
      </w:r>
      <w:r w:rsidR="002C0819">
        <w:rPr>
          <w:rFonts w:eastAsia="Times New Roman"/>
        </w:rPr>
        <w:t xml:space="preserve">EE/LM </w:t>
      </w:r>
      <w:r w:rsidRPr="00CB2CB5">
        <w:rPr>
          <w:rFonts w:eastAsia="Times New Roman"/>
        </w:rPr>
        <w:t xml:space="preserve">programs and </w:t>
      </w:r>
      <w:r w:rsidR="002C0819">
        <w:rPr>
          <w:rFonts w:eastAsia="Times New Roman"/>
        </w:rPr>
        <w:t xml:space="preserve">the </w:t>
      </w:r>
      <w:r w:rsidRPr="00CB2CB5">
        <w:rPr>
          <w:rFonts w:eastAsia="Times New Roman"/>
        </w:rPr>
        <w:t>Texas EE</w:t>
      </w:r>
      <w:r w:rsidR="00CA7293">
        <w:rPr>
          <w:rFonts w:eastAsia="Times New Roman"/>
        </w:rPr>
        <w:t>/LM</w:t>
      </w:r>
      <w:r w:rsidRPr="00CB2CB5">
        <w:rPr>
          <w:rFonts w:eastAsia="Times New Roman"/>
        </w:rPr>
        <w:t xml:space="preserve"> </w:t>
      </w:r>
      <w:r w:rsidR="002C0819">
        <w:rPr>
          <w:rFonts w:eastAsia="Times New Roman"/>
        </w:rPr>
        <w:t>programs</w:t>
      </w:r>
      <w:r w:rsidR="002C0819" w:rsidRPr="00CB2CB5">
        <w:rPr>
          <w:rFonts w:eastAsia="Times New Roman"/>
        </w:rPr>
        <w:t xml:space="preserve"> </w:t>
      </w:r>
      <w:r w:rsidRPr="00CB2CB5">
        <w:rPr>
          <w:rFonts w:eastAsia="Times New Roman"/>
        </w:rPr>
        <w:t>are included below.  EPE will continue to consider demand side resource options as part of its IRP as described in Section VI.</w:t>
      </w:r>
    </w:p>
    <w:p w14:paraId="59B86611" w14:textId="77777777" w:rsidR="00017C16" w:rsidRPr="00CB2CB5" w:rsidRDefault="00017C16" w:rsidP="008759DE">
      <w:pPr>
        <w:widowControl w:val="0"/>
        <w:autoSpaceDE w:val="0"/>
        <w:autoSpaceDN w:val="0"/>
        <w:spacing w:line="276" w:lineRule="auto"/>
        <w:ind w:left="540" w:right="168"/>
        <w:rPr>
          <w:rFonts w:eastAsia="Times New Roman"/>
        </w:rPr>
      </w:pPr>
    </w:p>
    <w:p w14:paraId="08D6A18B" w14:textId="77777777" w:rsidR="002C0819" w:rsidRPr="00CB2CB5" w:rsidRDefault="002C0819" w:rsidP="002C0819">
      <w:pPr>
        <w:pStyle w:val="ListParagraph"/>
        <w:widowControl w:val="0"/>
        <w:numPr>
          <w:ilvl w:val="3"/>
          <w:numId w:val="1"/>
        </w:numPr>
        <w:autoSpaceDE w:val="0"/>
        <w:autoSpaceDN w:val="0"/>
        <w:spacing w:after="0" w:line="276" w:lineRule="auto"/>
        <w:ind w:left="1440" w:right="168" w:hanging="360"/>
        <w:contextualSpacing w:val="0"/>
        <w:rPr>
          <w:rFonts w:ascii="Times New Roman" w:eastAsia="Times New Roman" w:hAnsi="Times New Roman"/>
          <w:b/>
          <w:sz w:val="24"/>
        </w:rPr>
      </w:pPr>
      <w:r w:rsidRPr="00CB2CB5">
        <w:rPr>
          <w:rFonts w:ascii="Times New Roman" w:eastAsia="Times New Roman" w:hAnsi="Times New Roman"/>
          <w:b/>
          <w:sz w:val="24"/>
        </w:rPr>
        <w:t>New Mexico Energy Efficiency Programs</w:t>
      </w:r>
    </w:p>
    <w:p w14:paraId="2CFFF4DD" w14:textId="77777777" w:rsidR="002C0819" w:rsidRPr="00CB2CB5" w:rsidRDefault="002C0819" w:rsidP="002C0819">
      <w:pPr>
        <w:widowControl w:val="0"/>
        <w:autoSpaceDE w:val="0"/>
        <w:autoSpaceDN w:val="0"/>
        <w:spacing w:line="276" w:lineRule="auto"/>
        <w:ind w:left="1080" w:right="168"/>
        <w:rPr>
          <w:rFonts w:eastAsia="Times New Roman"/>
        </w:rPr>
      </w:pPr>
    </w:p>
    <w:p w14:paraId="726191EE" w14:textId="29EC24DF" w:rsidR="002C0819" w:rsidRPr="00CB2CB5" w:rsidRDefault="0075701A" w:rsidP="002C0819">
      <w:pPr>
        <w:widowControl w:val="0"/>
        <w:autoSpaceDE w:val="0"/>
        <w:autoSpaceDN w:val="0"/>
        <w:spacing w:line="276" w:lineRule="auto"/>
        <w:ind w:left="1080" w:right="168"/>
        <w:rPr>
          <w:rFonts w:eastAsia="Times New Roman"/>
        </w:rPr>
      </w:pPr>
      <w:r>
        <w:rPr>
          <w:rFonts w:eastAsia="Times New Roman"/>
        </w:rPr>
        <w:t xml:space="preserve">The </w:t>
      </w:r>
      <w:r w:rsidR="002C0819" w:rsidRPr="00DD010A">
        <w:rPr>
          <w:rFonts w:eastAsia="Times New Roman"/>
        </w:rPr>
        <w:t xml:space="preserve">Commission's </w:t>
      </w:r>
      <w:r>
        <w:rPr>
          <w:rFonts w:eastAsia="Times New Roman"/>
        </w:rPr>
        <w:t xml:space="preserve">March 2019 </w:t>
      </w:r>
      <w:r w:rsidR="002C0819" w:rsidRPr="00DD010A">
        <w:rPr>
          <w:rFonts w:eastAsia="Times New Roman"/>
        </w:rPr>
        <w:t xml:space="preserve">Final Order in Case No 18-00116-UT </w:t>
      </w:r>
      <w:r>
        <w:rPr>
          <w:rFonts w:eastAsia="Times New Roman"/>
        </w:rPr>
        <w:t xml:space="preserve">approved EPE’s 2019-2021 </w:t>
      </w:r>
      <w:r w:rsidR="002C0819" w:rsidRPr="00DD010A">
        <w:rPr>
          <w:rFonts w:eastAsia="Times New Roman"/>
        </w:rPr>
        <w:t>EE/LM Plan</w:t>
      </w:r>
      <w:r w:rsidR="002C0819" w:rsidRPr="00CB2CB5">
        <w:rPr>
          <w:rFonts w:eastAsia="Times New Roman"/>
        </w:rPr>
        <w:t>.  Pursuant to the EE Rule, EPE continues to offer these programs.</w:t>
      </w:r>
      <w:r w:rsidR="002C0819">
        <w:rPr>
          <w:rFonts w:eastAsia="Times New Roman"/>
        </w:rPr>
        <w:t xml:space="preserve">  In EPE’s </w:t>
      </w:r>
      <w:r w:rsidR="002C0819" w:rsidRPr="002C0819">
        <w:rPr>
          <w:rFonts w:eastAsia="Times New Roman"/>
        </w:rPr>
        <w:t xml:space="preserve">Application for Approval of its </w:t>
      </w:r>
      <w:r w:rsidR="003E2524">
        <w:rPr>
          <w:rFonts w:eastAsia="Times New Roman"/>
        </w:rPr>
        <w:t xml:space="preserve">proposed </w:t>
      </w:r>
      <w:r w:rsidR="002C0819" w:rsidRPr="002C0819">
        <w:rPr>
          <w:rFonts w:eastAsia="Times New Roman"/>
        </w:rPr>
        <w:t>2022-2024 EE/LM Plan</w:t>
      </w:r>
      <w:r w:rsidR="003E2524">
        <w:rPr>
          <w:rFonts w:eastAsia="Times New Roman"/>
        </w:rPr>
        <w:t xml:space="preserve"> fil</w:t>
      </w:r>
      <w:r>
        <w:rPr>
          <w:rFonts w:eastAsia="Times New Roman"/>
        </w:rPr>
        <w:t>ed</w:t>
      </w:r>
      <w:r w:rsidR="003E2524">
        <w:rPr>
          <w:rFonts w:eastAsia="Times New Roman"/>
        </w:rPr>
        <w:t xml:space="preserve"> July 15, 2021, EPE is proposing four new residential programs to help reach additional customers and to be better positioned to meet the increased savings requirements in </w:t>
      </w:r>
      <w:proofErr w:type="spellStart"/>
      <w:r w:rsidR="003E2524">
        <w:rPr>
          <w:rFonts w:eastAsia="Times New Roman"/>
        </w:rPr>
        <w:t>EUEA</w:t>
      </w:r>
      <w:proofErr w:type="spellEnd"/>
      <w:r w:rsidR="003E2524">
        <w:rPr>
          <w:rFonts w:eastAsia="Times New Roman"/>
        </w:rPr>
        <w:t>.</w:t>
      </w:r>
    </w:p>
    <w:p w14:paraId="24285AE3" w14:textId="77777777" w:rsidR="002C0819" w:rsidRPr="00CB2CB5" w:rsidRDefault="002C0819" w:rsidP="002C0819">
      <w:pPr>
        <w:widowControl w:val="0"/>
        <w:autoSpaceDE w:val="0"/>
        <w:autoSpaceDN w:val="0"/>
        <w:spacing w:line="276" w:lineRule="auto"/>
        <w:ind w:left="1080" w:right="168"/>
        <w:rPr>
          <w:rFonts w:eastAsia="Times New Roman"/>
        </w:rPr>
      </w:pPr>
    </w:p>
    <w:p w14:paraId="3B338105" w14:textId="1FCE87EB" w:rsidR="002C0819" w:rsidRPr="00CB2CB5" w:rsidRDefault="002C0819" w:rsidP="002C0819">
      <w:pPr>
        <w:widowControl w:val="0"/>
        <w:autoSpaceDE w:val="0"/>
        <w:autoSpaceDN w:val="0"/>
        <w:spacing w:line="276" w:lineRule="auto"/>
        <w:ind w:left="1080" w:right="168"/>
        <w:rPr>
          <w:rFonts w:eastAsia="Times New Roman"/>
        </w:rPr>
      </w:pPr>
      <w:r w:rsidRPr="00CB2CB5">
        <w:rPr>
          <w:rFonts w:eastAsia="Times New Roman"/>
        </w:rPr>
        <w:t xml:space="preserve">EPE currently offers </w:t>
      </w:r>
      <w:r w:rsidR="005F03FF">
        <w:rPr>
          <w:rFonts w:eastAsia="Times New Roman"/>
        </w:rPr>
        <w:t>five</w:t>
      </w:r>
      <w:r w:rsidRPr="00CB2CB5">
        <w:rPr>
          <w:rFonts w:eastAsia="Times New Roman"/>
        </w:rPr>
        <w:t xml:space="preserve"> residential </w:t>
      </w:r>
      <w:r w:rsidR="005F03FF">
        <w:rPr>
          <w:rFonts w:eastAsia="Times New Roman"/>
        </w:rPr>
        <w:t xml:space="preserve">EE </w:t>
      </w:r>
      <w:r w:rsidRPr="00CB2CB5">
        <w:rPr>
          <w:rFonts w:eastAsia="Times New Roman"/>
        </w:rPr>
        <w:t xml:space="preserve">programs and </w:t>
      </w:r>
      <w:r w:rsidR="003E2524">
        <w:rPr>
          <w:rFonts w:eastAsia="Times New Roman"/>
        </w:rPr>
        <w:t>t</w:t>
      </w:r>
      <w:r w:rsidR="005F03FF">
        <w:rPr>
          <w:rFonts w:eastAsia="Times New Roman"/>
        </w:rPr>
        <w:t>wo</w:t>
      </w:r>
      <w:r w:rsidRPr="00CB2CB5">
        <w:rPr>
          <w:rFonts w:eastAsia="Times New Roman"/>
        </w:rPr>
        <w:t xml:space="preserve"> commercial </w:t>
      </w:r>
      <w:r w:rsidR="005F03FF">
        <w:rPr>
          <w:rFonts w:eastAsia="Times New Roman"/>
        </w:rPr>
        <w:t xml:space="preserve">EE </w:t>
      </w:r>
      <w:r w:rsidRPr="00CB2CB5">
        <w:rPr>
          <w:rFonts w:eastAsia="Times New Roman"/>
        </w:rPr>
        <w:t>programs that have been approved by the Commission.  Below is a brief description of EPE's current New</w:t>
      </w:r>
      <w:r>
        <w:rPr>
          <w:rFonts w:eastAsia="Times New Roman"/>
        </w:rPr>
        <w:t xml:space="preserve"> </w:t>
      </w:r>
      <w:r w:rsidRPr="00CB2CB5">
        <w:rPr>
          <w:rFonts w:eastAsia="Times New Roman"/>
        </w:rPr>
        <w:t>Mexico EE programs:</w:t>
      </w:r>
    </w:p>
    <w:p w14:paraId="41E96C64" w14:textId="77777777" w:rsidR="002C0819" w:rsidRDefault="002C0819" w:rsidP="002C0819">
      <w:pPr>
        <w:widowControl w:val="0"/>
        <w:autoSpaceDE w:val="0"/>
        <w:autoSpaceDN w:val="0"/>
        <w:spacing w:line="276" w:lineRule="auto"/>
        <w:ind w:left="1080" w:right="168"/>
        <w:rPr>
          <w:rFonts w:eastAsia="Times New Roman"/>
        </w:rPr>
      </w:pPr>
    </w:p>
    <w:p w14:paraId="32F00E6C" w14:textId="77777777" w:rsidR="002C0819" w:rsidRPr="00CB2CB5" w:rsidRDefault="002C0819" w:rsidP="002C0819">
      <w:pPr>
        <w:widowControl w:val="0"/>
        <w:autoSpaceDE w:val="0"/>
        <w:autoSpaceDN w:val="0"/>
        <w:spacing w:line="276" w:lineRule="auto"/>
        <w:ind w:left="1080" w:right="168"/>
        <w:rPr>
          <w:rFonts w:eastAsia="Times New Roman"/>
        </w:rPr>
      </w:pPr>
      <w:r>
        <w:rPr>
          <w:rFonts w:eastAsia="Times New Roman"/>
        </w:rPr>
        <w:t>Residential</w:t>
      </w:r>
    </w:p>
    <w:p w14:paraId="3E6613C2" w14:textId="77777777" w:rsidR="002C0819" w:rsidRPr="00CB2CB5" w:rsidRDefault="002C0819" w:rsidP="002C0819">
      <w:pPr>
        <w:widowControl w:val="0"/>
        <w:autoSpaceDE w:val="0"/>
        <w:autoSpaceDN w:val="0"/>
        <w:spacing w:line="276" w:lineRule="auto"/>
        <w:ind w:left="1080" w:right="168"/>
        <w:rPr>
          <w:rFonts w:eastAsia="Times New Roman"/>
        </w:rPr>
      </w:pPr>
    </w:p>
    <w:p w14:paraId="6D10E11A" w14:textId="764DC61C" w:rsidR="002C0819" w:rsidRPr="00CB2CB5" w:rsidRDefault="002C0819" w:rsidP="002C0819">
      <w:pPr>
        <w:widowControl w:val="0"/>
        <w:numPr>
          <w:ilvl w:val="0"/>
          <w:numId w:val="6"/>
        </w:numPr>
        <w:autoSpaceDE w:val="0"/>
        <w:autoSpaceDN w:val="0"/>
        <w:spacing w:line="276" w:lineRule="auto"/>
        <w:ind w:left="1440" w:right="173" w:hanging="360"/>
        <w:rPr>
          <w:rFonts w:eastAsia="Times New Roman"/>
        </w:rPr>
      </w:pPr>
      <w:r w:rsidRPr="00CB2CB5">
        <w:rPr>
          <w:rFonts w:eastAsia="Times New Roman"/>
        </w:rPr>
        <w:t xml:space="preserve">The Residential Comprehensive Program offers rebates for the installation of </w:t>
      </w:r>
      <w:r>
        <w:rPr>
          <w:rFonts w:eastAsia="Times New Roman"/>
        </w:rPr>
        <w:t xml:space="preserve">attic </w:t>
      </w:r>
      <w:r w:rsidRPr="00CB2CB5">
        <w:rPr>
          <w:rFonts w:eastAsia="Times New Roman"/>
        </w:rPr>
        <w:t>insulation, duct sealing, air infiltration, evaporative coolers, refrigerated A/C units, solar screens</w:t>
      </w:r>
      <w:r>
        <w:rPr>
          <w:rFonts w:eastAsia="Times New Roman"/>
        </w:rPr>
        <w:t>,</w:t>
      </w:r>
      <w:r w:rsidRPr="00CB2CB5">
        <w:rPr>
          <w:rFonts w:eastAsia="Times New Roman"/>
        </w:rPr>
        <w:t xml:space="preserve"> pool pumps</w:t>
      </w:r>
      <w:r>
        <w:rPr>
          <w:rFonts w:eastAsia="Times New Roman"/>
        </w:rPr>
        <w:t>, cool roofs, windows</w:t>
      </w:r>
      <w:r w:rsidR="005F03FF">
        <w:rPr>
          <w:rFonts w:eastAsia="Times New Roman"/>
        </w:rPr>
        <w:t>,</w:t>
      </w:r>
      <w:r>
        <w:rPr>
          <w:rFonts w:eastAsia="Times New Roman"/>
        </w:rPr>
        <w:t xml:space="preserve"> and smart thermostats</w:t>
      </w:r>
      <w:r w:rsidRPr="00CB2CB5">
        <w:rPr>
          <w:rFonts w:eastAsia="Times New Roman"/>
        </w:rPr>
        <w:t>.</w:t>
      </w:r>
    </w:p>
    <w:p w14:paraId="3B98844D" w14:textId="77777777" w:rsidR="002C0819" w:rsidRPr="00CB2CB5" w:rsidRDefault="002C0819" w:rsidP="002C0819">
      <w:pPr>
        <w:widowControl w:val="0"/>
        <w:numPr>
          <w:ilvl w:val="0"/>
          <w:numId w:val="6"/>
        </w:numPr>
        <w:autoSpaceDE w:val="0"/>
        <w:autoSpaceDN w:val="0"/>
        <w:spacing w:line="276" w:lineRule="auto"/>
        <w:ind w:left="1440" w:right="173" w:hanging="360"/>
        <w:rPr>
          <w:rFonts w:eastAsia="Times New Roman"/>
        </w:rPr>
      </w:pPr>
      <w:r w:rsidRPr="00CB2CB5">
        <w:rPr>
          <w:rFonts w:eastAsia="Times New Roman"/>
        </w:rPr>
        <w:t xml:space="preserve">The New Mexico </w:t>
      </w:r>
      <w:proofErr w:type="spellStart"/>
      <w:r w:rsidRPr="00CB2CB5">
        <w:rPr>
          <w:rFonts w:eastAsia="Times New Roman"/>
        </w:rPr>
        <w:t>EnergySaver</w:t>
      </w:r>
      <w:proofErr w:type="spellEnd"/>
      <w:r w:rsidRPr="00CB2CB5">
        <w:rPr>
          <w:rFonts w:eastAsia="Times New Roman"/>
        </w:rPr>
        <w:t xml:space="preserve"> (Low Income) Program provides income</w:t>
      </w:r>
      <w:r w:rsidRPr="00CB2CB5">
        <w:rPr>
          <w:rFonts w:eastAsia="Times New Roman"/>
        </w:rPr>
        <w:noBreakHyphen/>
        <w:t>qualified customers a variety of EE measures for their homes at no cost</w:t>
      </w:r>
      <w:r>
        <w:rPr>
          <w:rFonts w:eastAsia="Times New Roman"/>
        </w:rPr>
        <w:t>, including evaporative cooler replacement, advanced power strips, LED lighting, smart thermostats, attic insulation, duct sealing, air infiltration, water heater pipe and tank insulation, high efficiency showerheads and kitchen and bathroom faucet aerators</w:t>
      </w:r>
      <w:r w:rsidRPr="00CB2CB5">
        <w:rPr>
          <w:rFonts w:eastAsia="Times New Roman"/>
        </w:rPr>
        <w:t>. Qualification is based on an annual household income at or below 200% of the federal poverty guidelines.</w:t>
      </w:r>
    </w:p>
    <w:p w14:paraId="65186080" w14:textId="77777777" w:rsidR="002C0819" w:rsidRPr="00CB2CB5" w:rsidRDefault="002C0819" w:rsidP="002C0819">
      <w:pPr>
        <w:keepNext/>
        <w:keepLines/>
        <w:numPr>
          <w:ilvl w:val="0"/>
          <w:numId w:val="6"/>
        </w:numPr>
        <w:autoSpaceDE w:val="0"/>
        <w:autoSpaceDN w:val="0"/>
        <w:spacing w:line="276" w:lineRule="auto"/>
        <w:ind w:left="1440" w:right="173" w:hanging="360"/>
        <w:rPr>
          <w:rFonts w:eastAsia="Times New Roman"/>
        </w:rPr>
      </w:pPr>
      <w:r w:rsidRPr="00CB2CB5">
        <w:rPr>
          <w:rFonts w:eastAsia="Times New Roman"/>
        </w:rPr>
        <w:lastRenderedPageBreak/>
        <w:t xml:space="preserve">The </w:t>
      </w:r>
      <w:proofErr w:type="spellStart"/>
      <w:r w:rsidRPr="00CB2CB5">
        <w:rPr>
          <w:rFonts w:eastAsia="Times New Roman"/>
        </w:rPr>
        <w:t>LivingWise</w:t>
      </w:r>
      <w:proofErr w:type="spellEnd"/>
      <w:r w:rsidRPr="00CB2CB5">
        <w:rPr>
          <w:rFonts w:eastAsia="Times New Roman"/>
          <w:vertAlign w:val="superscript"/>
        </w:rPr>
        <w:t>®</w:t>
      </w:r>
      <w:r w:rsidRPr="00CB2CB5">
        <w:rPr>
          <w:rFonts w:eastAsia="Times New Roman"/>
        </w:rPr>
        <w:t xml:space="preserve"> Program is an educational program for students. Participating </w:t>
      </w:r>
      <w:r w:rsidRPr="006C59DA">
        <w:rPr>
          <w:rFonts w:eastAsia="Times New Roman"/>
        </w:rPr>
        <w:t xml:space="preserve">students and </w:t>
      </w:r>
      <w:r w:rsidRPr="00CB2CB5">
        <w:rPr>
          <w:rFonts w:eastAsia="Times New Roman"/>
        </w:rPr>
        <w:t xml:space="preserve">teachers are provided with </w:t>
      </w:r>
      <w:r w:rsidRPr="006C59DA">
        <w:rPr>
          <w:rFonts w:eastAsia="Times New Roman"/>
        </w:rPr>
        <w:t xml:space="preserve">a </w:t>
      </w:r>
      <w:proofErr w:type="spellStart"/>
      <w:r w:rsidRPr="006C59DA">
        <w:rPr>
          <w:rFonts w:eastAsia="Times New Roman"/>
        </w:rPr>
        <w:t>LivingWise</w:t>
      </w:r>
      <w:proofErr w:type="spellEnd"/>
      <w:r w:rsidRPr="007E64AD">
        <w:rPr>
          <w:rFonts w:eastAsia="Times New Roman"/>
          <w:vertAlign w:val="superscript"/>
        </w:rPr>
        <w:t>®</w:t>
      </w:r>
      <w:r w:rsidRPr="006C59DA">
        <w:rPr>
          <w:rFonts w:eastAsia="Times New Roman"/>
        </w:rPr>
        <w:t xml:space="preserve"> kit that contains </w:t>
      </w:r>
      <w:r w:rsidRPr="00CB2CB5">
        <w:rPr>
          <w:rFonts w:eastAsia="Times New Roman"/>
        </w:rPr>
        <w:t xml:space="preserve">educational materials </w:t>
      </w:r>
      <w:r w:rsidRPr="006C59DA">
        <w:rPr>
          <w:rFonts w:eastAsia="Times New Roman"/>
        </w:rPr>
        <w:t>and energy saving devices that students install in their homes</w:t>
      </w:r>
      <w:r w:rsidRPr="00CB2CB5">
        <w:rPr>
          <w:rFonts w:eastAsia="Times New Roman"/>
        </w:rPr>
        <w:t>.</w:t>
      </w:r>
    </w:p>
    <w:p w14:paraId="733B093B" w14:textId="77777777" w:rsidR="002C0819" w:rsidRPr="00CB2CB5" w:rsidRDefault="002C0819" w:rsidP="002C0819">
      <w:pPr>
        <w:numPr>
          <w:ilvl w:val="0"/>
          <w:numId w:val="6"/>
        </w:numPr>
        <w:autoSpaceDE w:val="0"/>
        <w:autoSpaceDN w:val="0"/>
        <w:spacing w:line="276" w:lineRule="auto"/>
        <w:ind w:left="1440" w:right="173" w:hanging="360"/>
        <w:rPr>
          <w:rFonts w:eastAsia="Times New Roman"/>
        </w:rPr>
      </w:pPr>
      <w:r w:rsidRPr="00CB2CB5">
        <w:rPr>
          <w:rFonts w:eastAsia="Times New Roman"/>
        </w:rPr>
        <w:t xml:space="preserve">The </w:t>
      </w:r>
      <w:r w:rsidRPr="006C59DA">
        <w:rPr>
          <w:rFonts w:eastAsia="Times New Roman"/>
        </w:rPr>
        <w:t>Residential Lighting</w:t>
      </w:r>
      <w:r w:rsidRPr="00CB2CB5">
        <w:rPr>
          <w:rFonts w:eastAsia="Times New Roman"/>
        </w:rPr>
        <w:t xml:space="preserve"> Program offers discounts at participating retail locations for customers to replace their existing light bulbs with more energy efficient </w:t>
      </w:r>
      <w:r w:rsidRPr="005375FE">
        <w:rPr>
          <w:rFonts w:eastAsia="Times New Roman"/>
        </w:rPr>
        <w:t>Light Emitting Diodes (“LED”) lighting</w:t>
      </w:r>
      <w:r w:rsidRPr="00CB2CB5">
        <w:rPr>
          <w:rFonts w:eastAsia="Times New Roman"/>
        </w:rPr>
        <w:t>.</w:t>
      </w:r>
    </w:p>
    <w:p w14:paraId="3ADE0A81" w14:textId="77777777" w:rsidR="002C0819" w:rsidRPr="00CB2CB5" w:rsidRDefault="002C0819" w:rsidP="002C0819">
      <w:pPr>
        <w:widowControl w:val="0"/>
        <w:numPr>
          <w:ilvl w:val="0"/>
          <w:numId w:val="6"/>
        </w:numPr>
        <w:autoSpaceDE w:val="0"/>
        <w:autoSpaceDN w:val="0"/>
        <w:spacing w:line="276" w:lineRule="auto"/>
        <w:ind w:left="1440" w:right="173" w:hanging="360"/>
        <w:rPr>
          <w:rFonts w:eastAsia="Times New Roman"/>
        </w:rPr>
      </w:pPr>
      <w:r w:rsidRPr="00CB2CB5">
        <w:rPr>
          <w:rFonts w:eastAsia="Times New Roman"/>
        </w:rPr>
        <w:t>The ENERGY STAR</w:t>
      </w:r>
      <w:r w:rsidRPr="00CB2CB5">
        <w:rPr>
          <w:rFonts w:eastAsia="Times New Roman"/>
          <w:vertAlign w:val="superscript"/>
        </w:rPr>
        <w:t>®</w:t>
      </w:r>
      <w:r w:rsidRPr="00CB2CB5">
        <w:rPr>
          <w:rFonts w:eastAsia="Times New Roman"/>
        </w:rPr>
        <w:t xml:space="preserve"> New Homes Program provides incentives for homebuilders to construct energy efficient homes that exceed the current building code.</w:t>
      </w:r>
    </w:p>
    <w:p w14:paraId="7345CA41" w14:textId="77777777" w:rsidR="002C0819" w:rsidRDefault="002C0819" w:rsidP="002C0819">
      <w:pPr>
        <w:widowControl w:val="0"/>
        <w:autoSpaceDE w:val="0"/>
        <w:autoSpaceDN w:val="0"/>
        <w:spacing w:line="276" w:lineRule="auto"/>
        <w:ind w:right="173"/>
        <w:rPr>
          <w:rFonts w:eastAsia="Times New Roman"/>
        </w:rPr>
      </w:pPr>
    </w:p>
    <w:p w14:paraId="576D262F" w14:textId="77777777" w:rsidR="002C0819" w:rsidRDefault="002C0819" w:rsidP="00691544">
      <w:pPr>
        <w:keepNext/>
        <w:widowControl w:val="0"/>
        <w:autoSpaceDE w:val="0"/>
        <w:autoSpaceDN w:val="0"/>
        <w:spacing w:line="276" w:lineRule="auto"/>
        <w:ind w:left="720" w:right="173" w:firstLine="360"/>
        <w:rPr>
          <w:rFonts w:eastAsia="Times New Roman"/>
        </w:rPr>
      </w:pPr>
      <w:r>
        <w:rPr>
          <w:rFonts w:eastAsia="Times New Roman"/>
        </w:rPr>
        <w:t>Commercial</w:t>
      </w:r>
    </w:p>
    <w:p w14:paraId="115EBB9C" w14:textId="77777777" w:rsidR="002C0819" w:rsidRDefault="002C0819" w:rsidP="00691544">
      <w:pPr>
        <w:keepNext/>
        <w:widowControl w:val="0"/>
        <w:autoSpaceDE w:val="0"/>
        <w:autoSpaceDN w:val="0"/>
        <w:spacing w:line="276" w:lineRule="auto"/>
        <w:ind w:left="720" w:right="173"/>
        <w:rPr>
          <w:rFonts w:eastAsia="Times New Roman"/>
        </w:rPr>
      </w:pPr>
    </w:p>
    <w:p w14:paraId="7A4FFDAD" w14:textId="77777777" w:rsidR="002C0819" w:rsidRDefault="002C0819" w:rsidP="002C0819">
      <w:pPr>
        <w:widowControl w:val="0"/>
        <w:numPr>
          <w:ilvl w:val="0"/>
          <w:numId w:val="6"/>
        </w:numPr>
        <w:autoSpaceDE w:val="0"/>
        <w:autoSpaceDN w:val="0"/>
        <w:spacing w:line="276" w:lineRule="auto"/>
        <w:ind w:left="1440" w:right="173" w:hanging="360"/>
        <w:rPr>
          <w:rFonts w:eastAsia="Times New Roman"/>
        </w:rPr>
      </w:pPr>
      <w:r w:rsidRPr="00CB2CB5">
        <w:rPr>
          <w:rFonts w:eastAsia="Times New Roman"/>
        </w:rPr>
        <w:t xml:space="preserve">The Commercial Comprehensive Program provides incentives </w:t>
      </w:r>
      <w:r>
        <w:rPr>
          <w:rFonts w:eastAsia="Times New Roman"/>
        </w:rPr>
        <w:t xml:space="preserve">and rebates to commercial </w:t>
      </w:r>
      <w:r w:rsidRPr="005375FE">
        <w:rPr>
          <w:rFonts w:eastAsia="Times New Roman"/>
        </w:rPr>
        <w:t xml:space="preserve">customers whose average annual demand is up to and including 100 kW for installing eligible energy efficiency measures such as </w:t>
      </w:r>
      <w:r w:rsidRPr="00CB2CB5">
        <w:rPr>
          <w:rFonts w:eastAsia="Times New Roman"/>
        </w:rPr>
        <w:t>lighting, HVAC,</w:t>
      </w:r>
      <w:r>
        <w:rPr>
          <w:rFonts w:eastAsia="Times New Roman"/>
        </w:rPr>
        <w:t xml:space="preserve"> </w:t>
      </w:r>
      <w:r w:rsidRPr="00CB2CB5">
        <w:rPr>
          <w:rFonts w:eastAsia="Times New Roman"/>
        </w:rPr>
        <w:t>controls,</w:t>
      </w:r>
      <w:r>
        <w:rPr>
          <w:rFonts w:eastAsia="Times New Roman"/>
        </w:rPr>
        <w:t xml:space="preserve"> pool pumps, cool roofs, commercial food service equipment, refrigeration measures, and building envelope measures.</w:t>
      </w:r>
      <w:r w:rsidRPr="00CB2CB5">
        <w:rPr>
          <w:rFonts w:eastAsia="Times New Roman"/>
        </w:rPr>
        <w:t xml:space="preserve"> </w:t>
      </w:r>
    </w:p>
    <w:p w14:paraId="69C3C3EA" w14:textId="77777777" w:rsidR="002C0819" w:rsidRPr="00CB2CB5" w:rsidRDefault="002C0819" w:rsidP="002C0819">
      <w:pPr>
        <w:widowControl w:val="0"/>
        <w:numPr>
          <w:ilvl w:val="0"/>
          <w:numId w:val="6"/>
        </w:numPr>
        <w:autoSpaceDE w:val="0"/>
        <w:autoSpaceDN w:val="0"/>
        <w:spacing w:line="276" w:lineRule="auto"/>
        <w:ind w:left="1440" w:right="173" w:hanging="360"/>
        <w:rPr>
          <w:rFonts w:eastAsia="Times New Roman"/>
        </w:rPr>
      </w:pPr>
      <w:r w:rsidRPr="00CB2CB5">
        <w:rPr>
          <w:rFonts w:eastAsia="Times New Roman"/>
        </w:rPr>
        <w:t>The SCORE Plus Program provides incentives to large commercial customers</w:t>
      </w:r>
      <w:r>
        <w:rPr>
          <w:rFonts w:eastAsia="Times New Roman"/>
        </w:rPr>
        <w:t xml:space="preserve"> with an average demand greater than 100 kW</w:t>
      </w:r>
      <w:r w:rsidRPr="00CB2CB5">
        <w:rPr>
          <w:rFonts w:eastAsia="Times New Roman"/>
        </w:rPr>
        <w:t>, as well as schools, city</w:t>
      </w:r>
      <w:r>
        <w:rPr>
          <w:rFonts w:eastAsia="Times New Roman"/>
        </w:rPr>
        <w:t xml:space="preserve">, </w:t>
      </w:r>
      <w:r w:rsidRPr="00CB2CB5">
        <w:rPr>
          <w:rFonts w:eastAsia="Times New Roman"/>
        </w:rPr>
        <w:t>county</w:t>
      </w:r>
      <w:r>
        <w:rPr>
          <w:rFonts w:eastAsia="Times New Roman"/>
        </w:rPr>
        <w:t>, and government</w:t>
      </w:r>
      <w:r w:rsidRPr="00CB2CB5">
        <w:rPr>
          <w:rFonts w:eastAsia="Times New Roman"/>
        </w:rPr>
        <w:t xml:space="preserve"> customers for EE measures including lighting, HVAC, controls</w:t>
      </w:r>
      <w:r>
        <w:rPr>
          <w:rFonts w:eastAsia="Times New Roman"/>
        </w:rPr>
        <w:t>, pool pumps, cool roofs, commercial food service equipment, refrigeration measures, building envelope measures,</w:t>
      </w:r>
      <w:r w:rsidRPr="00CB2CB5">
        <w:rPr>
          <w:rFonts w:eastAsia="Times New Roman"/>
        </w:rPr>
        <w:t xml:space="preserve"> and custom projects.</w:t>
      </w:r>
    </w:p>
    <w:p w14:paraId="163FE1C5" w14:textId="77777777" w:rsidR="002C0819" w:rsidRPr="00CB2CB5" w:rsidRDefault="002C0819" w:rsidP="002C0819">
      <w:pPr>
        <w:widowControl w:val="0"/>
        <w:autoSpaceDE w:val="0"/>
        <w:autoSpaceDN w:val="0"/>
        <w:spacing w:line="276" w:lineRule="auto"/>
        <w:ind w:left="1080" w:right="168"/>
        <w:rPr>
          <w:rFonts w:eastAsia="Times New Roman"/>
        </w:rPr>
      </w:pPr>
    </w:p>
    <w:p w14:paraId="123079CA" w14:textId="6DBD92EE" w:rsidR="00017C16" w:rsidRPr="00CB2CB5" w:rsidRDefault="00CA7293" w:rsidP="008759DE">
      <w:pPr>
        <w:pStyle w:val="ListParagraph"/>
        <w:widowControl w:val="0"/>
        <w:numPr>
          <w:ilvl w:val="3"/>
          <w:numId w:val="1"/>
        </w:numPr>
        <w:autoSpaceDE w:val="0"/>
        <w:autoSpaceDN w:val="0"/>
        <w:spacing w:after="0" w:line="276" w:lineRule="auto"/>
        <w:ind w:left="1440" w:right="168" w:hanging="360"/>
        <w:contextualSpacing w:val="0"/>
        <w:rPr>
          <w:rFonts w:ascii="Times New Roman" w:eastAsia="Times New Roman" w:hAnsi="Times New Roman"/>
          <w:b/>
          <w:sz w:val="24"/>
        </w:rPr>
      </w:pPr>
      <w:r>
        <w:rPr>
          <w:rFonts w:ascii="Times New Roman" w:eastAsia="Times New Roman" w:hAnsi="Times New Roman"/>
          <w:b/>
          <w:sz w:val="24"/>
        </w:rPr>
        <w:t xml:space="preserve">New Mexico </w:t>
      </w:r>
      <w:r w:rsidR="007E6AD9">
        <w:rPr>
          <w:rFonts w:ascii="Times New Roman" w:eastAsia="Times New Roman" w:hAnsi="Times New Roman"/>
          <w:b/>
          <w:sz w:val="24"/>
        </w:rPr>
        <w:t xml:space="preserve">Residential and </w:t>
      </w:r>
      <w:r>
        <w:rPr>
          <w:rFonts w:ascii="Times New Roman" w:eastAsia="Times New Roman" w:hAnsi="Times New Roman"/>
          <w:b/>
          <w:sz w:val="24"/>
        </w:rPr>
        <w:t>Commercial Load Management Programs</w:t>
      </w:r>
    </w:p>
    <w:p w14:paraId="68BCE52A" w14:textId="77777777" w:rsidR="00017C16" w:rsidRPr="00CB2CB5" w:rsidRDefault="00017C16" w:rsidP="008759DE">
      <w:pPr>
        <w:widowControl w:val="0"/>
        <w:autoSpaceDE w:val="0"/>
        <w:autoSpaceDN w:val="0"/>
        <w:spacing w:line="276" w:lineRule="auto"/>
        <w:ind w:left="1080" w:right="168"/>
        <w:rPr>
          <w:rFonts w:eastAsia="Times New Roman"/>
        </w:rPr>
      </w:pPr>
    </w:p>
    <w:p w14:paraId="4403291E" w14:textId="45D152C1" w:rsidR="00065F66" w:rsidRDefault="00065F66" w:rsidP="008759DE">
      <w:pPr>
        <w:widowControl w:val="0"/>
        <w:autoSpaceDE w:val="0"/>
        <w:autoSpaceDN w:val="0"/>
        <w:spacing w:line="276" w:lineRule="auto"/>
        <w:ind w:left="1080" w:right="168"/>
        <w:rPr>
          <w:rFonts w:eastAsia="Times New Roman"/>
        </w:rPr>
      </w:pPr>
      <w:r w:rsidRPr="00065F66">
        <w:rPr>
          <w:rFonts w:eastAsia="Times New Roman"/>
        </w:rPr>
        <w:t xml:space="preserve">The Commission's </w:t>
      </w:r>
      <w:r w:rsidR="00A57C52">
        <w:rPr>
          <w:rFonts w:eastAsia="Times New Roman"/>
        </w:rPr>
        <w:t xml:space="preserve">March 2019 </w:t>
      </w:r>
      <w:r w:rsidRPr="00065F66">
        <w:rPr>
          <w:rFonts w:eastAsia="Times New Roman"/>
        </w:rPr>
        <w:t xml:space="preserve">Final Order in Case No 18-00116-UT approved EPE's Commercial Load Management Program, and the Commission's </w:t>
      </w:r>
      <w:r w:rsidR="00A57C52">
        <w:rPr>
          <w:rFonts w:eastAsia="Times New Roman"/>
        </w:rPr>
        <w:t xml:space="preserve">July 2020 </w:t>
      </w:r>
      <w:r w:rsidRPr="00065F66">
        <w:rPr>
          <w:rFonts w:eastAsia="Times New Roman"/>
        </w:rPr>
        <w:t>Final Order in Case No 18-00116-UT approved EPE's Residential Load Management Program.</w:t>
      </w:r>
    </w:p>
    <w:p w14:paraId="6EE46C80" w14:textId="77777777" w:rsidR="00017C16" w:rsidRPr="00CB2CB5" w:rsidRDefault="00017C16" w:rsidP="008759DE">
      <w:pPr>
        <w:widowControl w:val="0"/>
        <w:autoSpaceDE w:val="0"/>
        <w:autoSpaceDN w:val="0"/>
        <w:spacing w:line="276" w:lineRule="auto"/>
        <w:ind w:left="1080" w:right="168"/>
        <w:rPr>
          <w:rFonts w:eastAsia="Times New Roman"/>
        </w:rPr>
      </w:pPr>
    </w:p>
    <w:p w14:paraId="61558924" w14:textId="7454EB28" w:rsidR="00065F66" w:rsidRDefault="00065F66" w:rsidP="008759DE">
      <w:pPr>
        <w:widowControl w:val="0"/>
        <w:autoSpaceDE w:val="0"/>
        <w:autoSpaceDN w:val="0"/>
        <w:spacing w:line="276" w:lineRule="auto"/>
        <w:ind w:left="1080" w:right="168"/>
        <w:rPr>
          <w:rFonts w:eastAsia="Times New Roman"/>
        </w:rPr>
      </w:pPr>
      <w:r w:rsidRPr="00065F66">
        <w:rPr>
          <w:rFonts w:eastAsia="Times New Roman"/>
        </w:rPr>
        <w:t xml:space="preserve">EPE's </w:t>
      </w:r>
      <w:r w:rsidR="007E6AD9">
        <w:rPr>
          <w:rFonts w:eastAsia="Times New Roman"/>
        </w:rPr>
        <w:t xml:space="preserve">Residential and </w:t>
      </w:r>
      <w:r w:rsidRPr="00065F66">
        <w:rPr>
          <w:rFonts w:eastAsia="Times New Roman"/>
        </w:rPr>
        <w:t>Commercial Load Management Programs engage utility customers to reduce their electricity use (load) during peak hours or under certain conditions, which in turn, can substantially reduce demand for electricity during EPE's peak hours, providing aggregate benefits for the electric grid and</w:t>
      </w:r>
      <w:r w:rsidR="005F03FF">
        <w:rPr>
          <w:rFonts w:eastAsia="Times New Roman"/>
        </w:rPr>
        <w:t xml:space="preserve"> </w:t>
      </w:r>
      <w:r w:rsidRPr="00065F66">
        <w:rPr>
          <w:rFonts w:eastAsia="Times New Roman"/>
        </w:rPr>
        <w:t xml:space="preserve">participants themselves. </w:t>
      </w:r>
    </w:p>
    <w:p w14:paraId="7485042A" w14:textId="77777777" w:rsidR="00065F66" w:rsidRDefault="00065F66" w:rsidP="008759DE">
      <w:pPr>
        <w:widowControl w:val="0"/>
        <w:autoSpaceDE w:val="0"/>
        <w:autoSpaceDN w:val="0"/>
        <w:spacing w:line="276" w:lineRule="auto"/>
        <w:ind w:left="1080" w:right="168"/>
        <w:rPr>
          <w:rFonts w:eastAsia="Times New Roman"/>
        </w:rPr>
      </w:pPr>
    </w:p>
    <w:p w14:paraId="4C236887" w14:textId="24613D59" w:rsidR="00017C16" w:rsidRDefault="00017C16" w:rsidP="008759DE">
      <w:pPr>
        <w:widowControl w:val="0"/>
        <w:autoSpaceDE w:val="0"/>
        <w:autoSpaceDN w:val="0"/>
        <w:spacing w:line="276" w:lineRule="auto"/>
        <w:ind w:left="1080" w:right="168"/>
        <w:rPr>
          <w:rFonts w:eastAsia="Times New Roman"/>
        </w:rPr>
      </w:pPr>
      <w:r w:rsidRPr="00CB2CB5">
        <w:rPr>
          <w:rFonts w:eastAsia="Times New Roman"/>
        </w:rPr>
        <w:t xml:space="preserve">The </w:t>
      </w:r>
      <w:r w:rsidR="00065F66">
        <w:rPr>
          <w:rFonts w:eastAsia="Times New Roman"/>
        </w:rPr>
        <w:t>load management</w:t>
      </w:r>
      <w:r w:rsidRPr="00CB2CB5">
        <w:rPr>
          <w:rFonts w:eastAsia="Times New Roman"/>
        </w:rPr>
        <w:t xml:space="preserve"> season begins on June 1 and continues through September 30 each year.  </w:t>
      </w:r>
    </w:p>
    <w:p w14:paraId="7EC92772" w14:textId="77777777" w:rsidR="002C0819" w:rsidRPr="00CB2CB5" w:rsidRDefault="002C0819" w:rsidP="008759DE">
      <w:pPr>
        <w:widowControl w:val="0"/>
        <w:autoSpaceDE w:val="0"/>
        <w:autoSpaceDN w:val="0"/>
        <w:spacing w:line="276" w:lineRule="auto"/>
        <w:ind w:left="1080" w:right="168"/>
        <w:rPr>
          <w:rFonts w:eastAsia="Times New Roman"/>
        </w:rPr>
      </w:pPr>
    </w:p>
    <w:p w14:paraId="74447B72" w14:textId="77777777" w:rsidR="007E6AD9" w:rsidRDefault="007E6AD9" w:rsidP="007E6AD9">
      <w:pPr>
        <w:widowControl w:val="0"/>
        <w:numPr>
          <w:ilvl w:val="0"/>
          <w:numId w:val="6"/>
        </w:numPr>
        <w:autoSpaceDE w:val="0"/>
        <w:autoSpaceDN w:val="0"/>
        <w:spacing w:line="276" w:lineRule="auto"/>
        <w:ind w:left="1440" w:right="173" w:hanging="360"/>
        <w:rPr>
          <w:rFonts w:eastAsia="Times New Roman"/>
        </w:rPr>
      </w:pPr>
      <w:r>
        <w:rPr>
          <w:rFonts w:eastAsia="Times New Roman"/>
        </w:rPr>
        <w:lastRenderedPageBreak/>
        <w:t xml:space="preserve">The </w:t>
      </w:r>
      <w:r w:rsidRPr="005375FE">
        <w:rPr>
          <w:rFonts w:eastAsia="Times New Roman"/>
        </w:rPr>
        <w:t>Residential Load Management Program</w:t>
      </w:r>
      <w:r>
        <w:rPr>
          <w:rFonts w:eastAsia="Times New Roman"/>
        </w:rPr>
        <w:t xml:space="preserve"> provides customers with rebates for enrolling an existing qualifying internet-enabled smart thermostat for load management events or for the purchase and enrollment of a new internet-enabled smart thermostat through EPE’s online website.  Participants who enroll, voluntarily allow EPE to control their smart thermostat to relieve peak load during the time of the event.</w:t>
      </w:r>
    </w:p>
    <w:p w14:paraId="056DF0F7" w14:textId="600F0973" w:rsidR="00017C16" w:rsidRDefault="00017C16" w:rsidP="008759DE">
      <w:pPr>
        <w:widowControl w:val="0"/>
        <w:autoSpaceDE w:val="0"/>
        <w:autoSpaceDN w:val="0"/>
        <w:spacing w:line="276" w:lineRule="auto"/>
        <w:ind w:left="1080" w:right="168"/>
        <w:rPr>
          <w:rFonts w:eastAsia="Times New Roman"/>
        </w:rPr>
      </w:pPr>
    </w:p>
    <w:p w14:paraId="6C241455" w14:textId="77777777" w:rsidR="00065F66" w:rsidRDefault="00065F66" w:rsidP="00065F66">
      <w:pPr>
        <w:widowControl w:val="0"/>
        <w:numPr>
          <w:ilvl w:val="0"/>
          <w:numId w:val="6"/>
        </w:numPr>
        <w:autoSpaceDE w:val="0"/>
        <w:autoSpaceDN w:val="0"/>
        <w:spacing w:line="276" w:lineRule="auto"/>
        <w:ind w:left="1440" w:right="173" w:hanging="360"/>
        <w:rPr>
          <w:rFonts w:eastAsia="Times New Roman"/>
        </w:rPr>
      </w:pPr>
      <w:r>
        <w:rPr>
          <w:rFonts w:eastAsia="Times New Roman"/>
        </w:rPr>
        <w:t xml:space="preserve">The </w:t>
      </w:r>
      <w:r w:rsidRPr="00760AC2">
        <w:rPr>
          <w:rFonts w:eastAsia="Times New Roman"/>
        </w:rPr>
        <w:t xml:space="preserve">Commercial Load Management Program allows participating customers to provide on-call, voluntary curtailment of electric consumption during peak demand periods in return for incentive payments. </w:t>
      </w:r>
      <w:r>
        <w:rPr>
          <w:rFonts w:eastAsia="Times New Roman"/>
        </w:rPr>
        <w:t>This program is designed to target commercial participants from the educational, government, and private commercial sector with an average demand greater than 100 kW.</w:t>
      </w:r>
    </w:p>
    <w:p w14:paraId="3BEA5BF7" w14:textId="77777777" w:rsidR="00065F66" w:rsidRPr="00CB2CB5" w:rsidRDefault="00065F66" w:rsidP="008759DE">
      <w:pPr>
        <w:widowControl w:val="0"/>
        <w:autoSpaceDE w:val="0"/>
        <w:autoSpaceDN w:val="0"/>
        <w:spacing w:line="276" w:lineRule="auto"/>
        <w:ind w:left="1080" w:right="168"/>
        <w:rPr>
          <w:rFonts w:eastAsia="Times New Roman"/>
        </w:rPr>
      </w:pPr>
    </w:p>
    <w:p w14:paraId="5E362ADE" w14:textId="308B1D6D" w:rsidR="00017C16" w:rsidRPr="00CB2CB5" w:rsidRDefault="00017C16" w:rsidP="00192CA0">
      <w:pPr>
        <w:widowControl w:val="0"/>
        <w:autoSpaceDE w:val="0"/>
        <w:autoSpaceDN w:val="0"/>
        <w:spacing w:line="276" w:lineRule="auto"/>
        <w:ind w:left="1080" w:right="168"/>
        <w:rPr>
          <w:rFonts w:eastAsia="Times New Roman"/>
        </w:rPr>
      </w:pPr>
      <w:r w:rsidRPr="00CB2CB5">
        <w:rPr>
          <w:rFonts w:eastAsia="Times New Roman"/>
        </w:rPr>
        <w:t xml:space="preserve">Table </w:t>
      </w:r>
      <w:r w:rsidR="00961314">
        <w:rPr>
          <w:rFonts w:eastAsia="Times New Roman"/>
        </w:rPr>
        <w:t>4</w:t>
      </w:r>
      <w:r w:rsidRPr="00CB2CB5">
        <w:rPr>
          <w:rFonts w:eastAsia="Times New Roman"/>
        </w:rPr>
        <w:t xml:space="preserve"> below provides EPE's New Mexico EE Portfolio of Programs and their Average Estimated Useful</w:t>
      </w:r>
      <w:r w:rsidRPr="00CB2CB5">
        <w:rPr>
          <w:rFonts w:eastAsia="Times New Roman"/>
          <w:spacing w:val="-5"/>
        </w:rPr>
        <w:t xml:space="preserve"> </w:t>
      </w:r>
      <w:r w:rsidRPr="00CB2CB5">
        <w:rPr>
          <w:rFonts w:eastAsia="Times New Roman"/>
        </w:rPr>
        <w:t>Life (</w:t>
      </w:r>
      <w:r w:rsidR="00B81EE4" w:rsidRPr="00CB2CB5">
        <w:rPr>
          <w:rFonts w:eastAsia="Times New Roman"/>
        </w:rPr>
        <w:t>"</w:t>
      </w:r>
      <w:proofErr w:type="spellStart"/>
      <w:r w:rsidRPr="00CB2CB5">
        <w:rPr>
          <w:rFonts w:eastAsia="Times New Roman"/>
        </w:rPr>
        <w:t>EUL</w:t>
      </w:r>
      <w:proofErr w:type="spellEnd"/>
      <w:r w:rsidR="00B81EE4" w:rsidRPr="00CB2CB5">
        <w:rPr>
          <w:rFonts w:eastAsia="Times New Roman"/>
        </w:rPr>
        <w:t>"</w:t>
      </w:r>
      <w:r w:rsidRPr="00CB2CB5">
        <w:rPr>
          <w:rFonts w:eastAsia="Times New Roman"/>
        </w:rPr>
        <w:t>).</w:t>
      </w:r>
    </w:p>
    <w:p w14:paraId="5F1765A8" w14:textId="77777777" w:rsidR="00B92DC1" w:rsidRPr="00CB2CB5" w:rsidRDefault="00B92DC1" w:rsidP="00192CA0">
      <w:pPr>
        <w:widowControl w:val="0"/>
        <w:autoSpaceDE w:val="0"/>
        <w:autoSpaceDN w:val="0"/>
        <w:spacing w:line="276" w:lineRule="auto"/>
        <w:ind w:left="1080" w:right="168"/>
        <w:rPr>
          <w:rFonts w:eastAsia="Times New Roman"/>
        </w:rPr>
      </w:pPr>
    </w:p>
    <w:p w14:paraId="1FA3C429" w14:textId="277ACEDF" w:rsidR="00B74161" w:rsidRPr="00CB2CB5" w:rsidRDefault="00B74161" w:rsidP="008759DE">
      <w:pPr>
        <w:pStyle w:val="Caption"/>
        <w:keepNext/>
        <w:spacing w:line="276" w:lineRule="auto"/>
        <w:jc w:val="center"/>
      </w:pPr>
      <w:bookmarkStart w:id="25" w:name="_Toc534193083"/>
      <w:r w:rsidRPr="00CB2CB5">
        <w:t xml:space="preserve">Table </w:t>
      </w:r>
      <w:r w:rsidR="00961314">
        <w:rPr>
          <w:noProof/>
        </w:rPr>
        <w:t>4</w:t>
      </w:r>
      <w:r w:rsidRPr="00CB2CB5">
        <w:t xml:space="preserve"> – Current Portfolio of New Mexico EE</w:t>
      </w:r>
      <w:r w:rsidR="005F03FF">
        <w:t>/LM</w:t>
      </w:r>
      <w:r w:rsidRPr="00CB2CB5">
        <w:t xml:space="preserve"> Programs and Program </w:t>
      </w:r>
      <w:proofErr w:type="spellStart"/>
      <w:r w:rsidRPr="00CB2CB5">
        <w:t>EUL</w:t>
      </w:r>
      <w:bookmarkEnd w:id="25"/>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8"/>
        <w:gridCol w:w="2804"/>
      </w:tblGrid>
      <w:tr w:rsidR="00017C16" w:rsidRPr="00CB2CB5" w14:paraId="3B9C6408" w14:textId="77777777" w:rsidTr="00607291">
        <w:trPr>
          <w:jc w:val="center"/>
        </w:trPr>
        <w:tc>
          <w:tcPr>
            <w:tcW w:w="8052" w:type="dxa"/>
            <w:gridSpan w:val="2"/>
            <w:tcBorders>
              <w:bottom w:val="single" w:sz="6" w:space="0" w:color="000000"/>
            </w:tcBorders>
            <w:shd w:val="clear" w:color="auto" w:fill="C6D9F1"/>
          </w:tcPr>
          <w:p w14:paraId="68A92279" w14:textId="77777777" w:rsidR="00017C16" w:rsidRPr="00CB2CB5" w:rsidRDefault="00017C16" w:rsidP="008759DE">
            <w:pPr>
              <w:pStyle w:val="TableParagraph"/>
              <w:spacing w:line="276" w:lineRule="auto"/>
              <w:rPr>
                <w:b/>
                <w:sz w:val="24"/>
              </w:rPr>
            </w:pPr>
          </w:p>
        </w:tc>
      </w:tr>
      <w:tr w:rsidR="00017C16" w:rsidRPr="00CB2CB5" w14:paraId="5D09CF2F" w14:textId="77777777" w:rsidTr="00607291">
        <w:trPr>
          <w:jc w:val="center"/>
        </w:trPr>
        <w:tc>
          <w:tcPr>
            <w:tcW w:w="5248" w:type="dxa"/>
            <w:tcBorders>
              <w:top w:val="single" w:sz="6" w:space="0" w:color="000000"/>
              <w:bottom w:val="single" w:sz="6" w:space="0" w:color="000000"/>
              <w:right w:val="single" w:sz="6" w:space="0" w:color="000000"/>
            </w:tcBorders>
            <w:vAlign w:val="center"/>
          </w:tcPr>
          <w:p w14:paraId="79B66C35" w14:textId="77777777" w:rsidR="00017C16" w:rsidRPr="00CB2CB5" w:rsidRDefault="00607291" w:rsidP="008759DE">
            <w:pPr>
              <w:pStyle w:val="TableParagraph"/>
              <w:spacing w:line="276" w:lineRule="auto"/>
              <w:ind w:left="103"/>
              <w:rPr>
                <w:b/>
                <w:sz w:val="24"/>
              </w:rPr>
            </w:pPr>
            <w:r w:rsidRPr="00CB2CB5">
              <w:rPr>
                <w:b/>
                <w:sz w:val="24"/>
              </w:rPr>
              <w:t>Program</w:t>
            </w:r>
          </w:p>
        </w:tc>
        <w:tc>
          <w:tcPr>
            <w:tcW w:w="2804" w:type="dxa"/>
            <w:tcBorders>
              <w:top w:val="single" w:sz="6" w:space="0" w:color="000000"/>
              <w:left w:val="single" w:sz="6" w:space="0" w:color="000000"/>
              <w:bottom w:val="single" w:sz="6" w:space="0" w:color="000000"/>
            </w:tcBorders>
          </w:tcPr>
          <w:p w14:paraId="66621D45" w14:textId="77777777" w:rsidR="00017C16" w:rsidRPr="00CB2CB5" w:rsidRDefault="00607291" w:rsidP="008759DE">
            <w:pPr>
              <w:pStyle w:val="TableParagraph"/>
              <w:spacing w:line="276" w:lineRule="auto"/>
              <w:ind w:left="1114" w:right="155" w:hanging="944"/>
              <w:jc w:val="left"/>
              <w:rPr>
                <w:b/>
                <w:sz w:val="24"/>
              </w:rPr>
            </w:pPr>
            <w:r w:rsidRPr="00CB2CB5">
              <w:rPr>
                <w:b/>
                <w:sz w:val="24"/>
              </w:rPr>
              <w:t>Estimated Useful Life</w:t>
            </w:r>
            <w:r w:rsidRPr="00CB2CB5">
              <w:rPr>
                <w:b/>
                <w:sz w:val="24"/>
                <w:vertAlign w:val="superscript"/>
              </w:rPr>
              <w:t>1</w:t>
            </w:r>
          </w:p>
        </w:tc>
      </w:tr>
      <w:tr w:rsidR="00017C16" w:rsidRPr="00CB2CB5" w14:paraId="037C16B9" w14:textId="77777777" w:rsidTr="00B92A5E">
        <w:trPr>
          <w:trHeight w:hRule="exact" w:val="430"/>
          <w:jc w:val="center"/>
        </w:trPr>
        <w:tc>
          <w:tcPr>
            <w:tcW w:w="5248" w:type="dxa"/>
            <w:tcBorders>
              <w:top w:val="single" w:sz="6" w:space="0" w:color="000000"/>
              <w:bottom w:val="single" w:sz="6" w:space="0" w:color="000000"/>
              <w:right w:val="single" w:sz="6" w:space="0" w:color="000000"/>
            </w:tcBorders>
          </w:tcPr>
          <w:p w14:paraId="5C5E2639" w14:textId="77777777" w:rsidR="00017C16" w:rsidRPr="00CB2CB5" w:rsidRDefault="00017C16" w:rsidP="008759DE">
            <w:pPr>
              <w:pStyle w:val="TableParagraph"/>
              <w:spacing w:line="276" w:lineRule="auto"/>
              <w:ind w:left="103"/>
              <w:jc w:val="left"/>
              <w:rPr>
                <w:b/>
                <w:sz w:val="24"/>
              </w:rPr>
            </w:pPr>
            <w:r w:rsidRPr="00CB2CB5">
              <w:rPr>
                <w:b/>
                <w:sz w:val="24"/>
              </w:rPr>
              <w:t>Residential Programs</w:t>
            </w:r>
          </w:p>
        </w:tc>
        <w:tc>
          <w:tcPr>
            <w:tcW w:w="2804" w:type="dxa"/>
            <w:tcBorders>
              <w:top w:val="single" w:sz="6" w:space="0" w:color="000000"/>
              <w:left w:val="single" w:sz="6" w:space="0" w:color="000000"/>
              <w:bottom w:val="single" w:sz="6" w:space="0" w:color="000000"/>
            </w:tcBorders>
          </w:tcPr>
          <w:p w14:paraId="22ED44FB" w14:textId="77777777" w:rsidR="00017C16" w:rsidRPr="00CB2CB5" w:rsidRDefault="00017C16" w:rsidP="008759DE">
            <w:pPr>
              <w:spacing w:line="276" w:lineRule="auto"/>
            </w:pPr>
          </w:p>
        </w:tc>
      </w:tr>
      <w:tr w:rsidR="00017C16" w:rsidRPr="00CB2CB5" w14:paraId="295FDBC5" w14:textId="77777777" w:rsidTr="00B92A5E">
        <w:trPr>
          <w:trHeight w:hRule="exact" w:val="428"/>
          <w:jc w:val="center"/>
        </w:trPr>
        <w:tc>
          <w:tcPr>
            <w:tcW w:w="5248" w:type="dxa"/>
            <w:tcBorders>
              <w:top w:val="single" w:sz="6" w:space="0" w:color="000000"/>
              <w:bottom w:val="single" w:sz="6" w:space="0" w:color="000000"/>
              <w:right w:val="single" w:sz="6" w:space="0" w:color="000000"/>
            </w:tcBorders>
          </w:tcPr>
          <w:p w14:paraId="4A8059E6" w14:textId="77777777" w:rsidR="00017C16" w:rsidRPr="00CB2CB5" w:rsidRDefault="00017C16" w:rsidP="008759DE">
            <w:pPr>
              <w:pStyle w:val="TableParagraph"/>
              <w:spacing w:line="276" w:lineRule="auto"/>
              <w:ind w:left="103"/>
              <w:jc w:val="left"/>
              <w:rPr>
                <w:sz w:val="16"/>
              </w:rPr>
            </w:pPr>
            <w:proofErr w:type="spellStart"/>
            <w:r w:rsidRPr="00CB2CB5">
              <w:rPr>
                <w:sz w:val="24"/>
              </w:rPr>
              <w:t>LivingWise</w:t>
            </w:r>
            <w:proofErr w:type="spellEnd"/>
            <w:r w:rsidRPr="00CB2CB5">
              <w:rPr>
                <w:position w:val="11"/>
                <w:sz w:val="16"/>
              </w:rPr>
              <w:t>®</w:t>
            </w:r>
          </w:p>
        </w:tc>
        <w:tc>
          <w:tcPr>
            <w:tcW w:w="2804" w:type="dxa"/>
            <w:tcBorders>
              <w:top w:val="single" w:sz="6" w:space="0" w:color="000000"/>
              <w:left w:val="single" w:sz="6" w:space="0" w:color="000000"/>
              <w:bottom w:val="single" w:sz="6" w:space="0" w:color="000000"/>
            </w:tcBorders>
          </w:tcPr>
          <w:p w14:paraId="3905AA37" w14:textId="77777777" w:rsidR="00017C16" w:rsidRPr="00CB2CB5" w:rsidRDefault="00017C16" w:rsidP="008759DE">
            <w:pPr>
              <w:pStyle w:val="TableParagraph"/>
              <w:spacing w:line="276" w:lineRule="auto"/>
              <w:ind w:right="757"/>
              <w:jc w:val="right"/>
              <w:rPr>
                <w:sz w:val="24"/>
              </w:rPr>
            </w:pPr>
            <w:r w:rsidRPr="00CB2CB5">
              <w:rPr>
                <w:sz w:val="24"/>
              </w:rPr>
              <w:t>9</w:t>
            </w:r>
          </w:p>
        </w:tc>
      </w:tr>
      <w:tr w:rsidR="00017C16" w:rsidRPr="00CB2CB5" w14:paraId="3D0EB1F9" w14:textId="77777777" w:rsidTr="00B92A5E">
        <w:trPr>
          <w:trHeight w:hRule="exact" w:val="430"/>
          <w:jc w:val="center"/>
        </w:trPr>
        <w:tc>
          <w:tcPr>
            <w:tcW w:w="5248" w:type="dxa"/>
            <w:tcBorders>
              <w:top w:val="single" w:sz="6" w:space="0" w:color="000000"/>
              <w:bottom w:val="single" w:sz="6" w:space="0" w:color="000000"/>
              <w:right w:val="single" w:sz="6" w:space="0" w:color="000000"/>
            </w:tcBorders>
          </w:tcPr>
          <w:p w14:paraId="5D7EDB99" w14:textId="77777777" w:rsidR="00017C16" w:rsidRPr="00CB2CB5" w:rsidRDefault="00017C16" w:rsidP="008759DE">
            <w:pPr>
              <w:pStyle w:val="TableParagraph"/>
              <w:spacing w:line="276" w:lineRule="auto"/>
              <w:ind w:left="103"/>
              <w:jc w:val="left"/>
              <w:rPr>
                <w:sz w:val="24"/>
              </w:rPr>
            </w:pPr>
            <w:r w:rsidRPr="00CB2CB5">
              <w:rPr>
                <w:sz w:val="24"/>
              </w:rPr>
              <w:t>Residential Comprehensive</w:t>
            </w:r>
          </w:p>
        </w:tc>
        <w:tc>
          <w:tcPr>
            <w:tcW w:w="2804" w:type="dxa"/>
            <w:tcBorders>
              <w:top w:val="single" w:sz="6" w:space="0" w:color="000000"/>
              <w:left w:val="single" w:sz="6" w:space="0" w:color="000000"/>
              <w:bottom w:val="single" w:sz="6" w:space="0" w:color="000000"/>
            </w:tcBorders>
          </w:tcPr>
          <w:p w14:paraId="66BB5DE9" w14:textId="77777777" w:rsidR="00017C16" w:rsidRPr="00CB2CB5" w:rsidRDefault="00017C16" w:rsidP="008759DE">
            <w:pPr>
              <w:pStyle w:val="TableParagraph"/>
              <w:spacing w:line="276" w:lineRule="auto"/>
              <w:ind w:right="757"/>
              <w:jc w:val="right"/>
              <w:rPr>
                <w:sz w:val="24"/>
              </w:rPr>
            </w:pPr>
            <w:r w:rsidRPr="00CB2CB5">
              <w:rPr>
                <w:sz w:val="24"/>
              </w:rPr>
              <w:t>15</w:t>
            </w:r>
          </w:p>
        </w:tc>
      </w:tr>
      <w:tr w:rsidR="00017C16" w:rsidRPr="00CB2CB5" w14:paraId="195F71C6" w14:textId="77777777" w:rsidTr="00B92A5E">
        <w:trPr>
          <w:trHeight w:hRule="exact" w:val="428"/>
          <w:jc w:val="center"/>
        </w:trPr>
        <w:tc>
          <w:tcPr>
            <w:tcW w:w="5248" w:type="dxa"/>
            <w:tcBorders>
              <w:top w:val="single" w:sz="6" w:space="0" w:color="000000"/>
              <w:bottom w:val="single" w:sz="6" w:space="0" w:color="000000"/>
              <w:right w:val="single" w:sz="6" w:space="0" w:color="000000"/>
            </w:tcBorders>
          </w:tcPr>
          <w:p w14:paraId="77CE80BC" w14:textId="6632A276" w:rsidR="00017C16" w:rsidRPr="00CB2CB5" w:rsidRDefault="00065F66" w:rsidP="008759DE">
            <w:pPr>
              <w:pStyle w:val="TableParagraph"/>
              <w:spacing w:line="276" w:lineRule="auto"/>
              <w:ind w:left="103"/>
              <w:jc w:val="left"/>
              <w:rPr>
                <w:sz w:val="24"/>
              </w:rPr>
            </w:pPr>
            <w:r w:rsidRPr="00760AC2">
              <w:rPr>
                <w:sz w:val="24"/>
              </w:rPr>
              <w:t>Residential Lighting</w:t>
            </w:r>
          </w:p>
        </w:tc>
        <w:tc>
          <w:tcPr>
            <w:tcW w:w="2804" w:type="dxa"/>
            <w:tcBorders>
              <w:top w:val="single" w:sz="6" w:space="0" w:color="000000"/>
              <w:left w:val="single" w:sz="6" w:space="0" w:color="000000"/>
              <w:bottom w:val="single" w:sz="6" w:space="0" w:color="000000"/>
            </w:tcBorders>
          </w:tcPr>
          <w:p w14:paraId="482D9FFC" w14:textId="77777777" w:rsidR="00017C16" w:rsidRPr="00CB2CB5" w:rsidRDefault="00017C16" w:rsidP="008759DE">
            <w:pPr>
              <w:pStyle w:val="TableParagraph"/>
              <w:spacing w:line="276" w:lineRule="auto"/>
              <w:ind w:right="757"/>
              <w:jc w:val="right"/>
              <w:rPr>
                <w:sz w:val="24"/>
              </w:rPr>
            </w:pPr>
            <w:r w:rsidRPr="00CB2CB5">
              <w:rPr>
                <w:sz w:val="24"/>
              </w:rPr>
              <w:t>12</w:t>
            </w:r>
          </w:p>
        </w:tc>
      </w:tr>
      <w:tr w:rsidR="00017C16" w:rsidRPr="00CB2CB5" w14:paraId="6B1924A6" w14:textId="77777777" w:rsidTr="00B92A5E">
        <w:trPr>
          <w:trHeight w:hRule="exact" w:val="429"/>
          <w:jc w:val="center"/>
        </w:trPr>
        <w:tc>
          <w:tcPr>
            <w:tcW w:w="5248" w:type="dxa"/>
            <w:tcBorders>
              <w:top w:val="single" w:sz="6" w:space="0" w:color="000000"/>
              <w:bottom w:val="single" w:sz="6" w:space="0" w:color="000000"/>
              <w:right w:val="single" w:sz="6" w:space="0" w:color="000000"/>
            </w:tcBorders>
          </w:tcPr>
          <w:p w14:paraId="7D9C69A1" w14:textId="77777777" w:rsidR="00017C16" w:rsidRPr="00CB2CB5" w:rsidRDefault="00017C16" w:rsidP="008759DE">
            <w:pPr>
              <w:pStyle w:val="TableParagraph"/>
              <w:spacing w:line="276" w:lineRule="auto"/>
              <w:ind w:left="103"/>
              <w:jc w:val="left"/>
              <w:rPr>
                <w:sz w:val="24"/>
              </w:rPr>
            </w:pPr>
            <w:r w:rsidRPr="00CB2CB5">
              <w:rPr>
                <w:sz w:val="24"/>
              </w:rPr>
              <w:t>ENERGY STAR</w:t>
            </w:r>
            <w:r w:rsidRPr="00CB2CB5">
              <w:rPr>
                <w:position w:val="11"/>
                <w:sz w:val="16"/>
              </w:rPr>
              <w:t xml:space="preserve">® </w:t>
            </w:r>
            <w:r w:rsidRPr="00CB2CB5">
              <w:rPr>
                <w:sz w:val="24"/>
              </w:rPr>
              <w:t>New Homes</w:t>
            </w:r>
          </w:p>
        </w:tc>
        <w:tc>
          <w:tcPr>
            <w:tcW w:w="2804" w:type="dxa"/>
            <w:tcBorders>
              <w:top w:val="single" w:sz="6" w:space="0" w:color="000000"/>
              <w:left w:val="single" w:sz="6" w:space="0" w:color="000000"/>
              <w:bottom w:val="single" w:sz="6" w:space="0" w:color="000000"/>
            </w:tcBorders>
          </w:tcPr>
          <w:p w14:paraId="748D483C" w14:textId="77777777" w:rsidR="00017C16" w:rsidRPr="00CB2CB5" w:rsidRDefault="00017C16" w:rsidP="008759DE">
            <w:pPr>
              <w:pStyle w:val="TableParagraph"/>
              <w:spacing w:line="276" w:lineRule="auto"/>
              <w:ind w:right="757"/>
              <w:jc w:val="right"/>
              <w:rPr>
                <w:sz w:val="24"/>
              </w:rPr>
            </w:pPr>
            <w:r w:rsidRPr="00CB2CB5">
              <w:rPr>
                <w:sz w:val="24"/>
              </w:rPr>
              <w:t>21</w:t>
            </w:r>
          </w:p>
        </w:tc>
      </w:tr>
      <w:tr w:rsidR="00065F66" w:rsidRPr="00CB2CB5" w14:paraId="5BE46EAF" w14:textId="77777777" w:rsidTr="00B92A5E">
        <w:trPr>
          <w:trHeight w:hRule="exact" w:val="428"/>
          <w:jc w:val="center"/>
        </w:trPr>
        <w:tc>
          <w:tcPr>
            <w:tcW w:w="5248" w:type="dxa"/>
            <w:tcBorders>
              <w:top w:val="single" w:sz="6" w:space="0" w:color="000000"/>
              <w:bottom w:val="single" w:sz="6" w:space="0" w:color="000000"/>
              <w:right w:val="single" w:sz="6" w:space="0" w:color="000000"/>
            </w:tcBorders>
          </w:tcPr>
          <w:p w14:paraId="6F5BF597" w14:textId="30D823F9" w:rsidR="00065F66" w:rsidRPr="00CB2CB5" w:rsidRDefault="00065F66" w:rsidP="008759DE">
            <w:pPr>
              <w:pStyle w:val="TableParagraph"/>
              <w:spacing w:line="276" w:lineRule="auto"/>
              <w:ind w:left="103"/>
              <w:jc w:val="left"/>
              <w:rPr>
                <w:sz w:val="24"/>
              </w:rPr>
            </w:pPr>
            <w:r w:rsidRPr="00065F66">
              <w:rPr>
                <w:sz w:val="24"/>
              </w:rPr>
              <w:t>Residential Load Management</w:t>
            </w:r>
          </w:p>
        </w:tc>
        <w:tc>
          <w:tcPr>
            <w:tcW w:w="2804" w:type="dxa"/>
            <w:tcBorders>
              <w:top w:val="single" w:sz="6" w:space="0" w:color="000000"/>
              <w:left w:val="single" w:sz="6" w:space="0" w:color="000000"/>
              <w:bottom w:val="single" w:sz="6" w:space="0" w:color="000000"/>
            </w:tcBorders>
          </w:tcPr>
          <w:p w14:paraId="35E98D74" w14:textId="6E114FA9" w:rsidR="00065F66" w:rsidRPr="00CB2CB5" w:rsidRDefault="009106A3" w:rsidP="008759DE">
            <w:pPr>
              <w:pStyle w:val="TableParagraph"/>
              <w:spacing w:line="276" w:lineRule="auto"/>
              <w:ind w:right="757"/>
              <w:jc w:val="right"/>
              <w:rPr>
                <w:sz w:val="24"/>
              </w:rPr>
            </w:pPr>
            <w:r>
              <w:rPr>
                <w:sz w:val="24"/>
              </w:rPr>
              <w:t>10</w:t>
            </w:r>
          </w:p>
        </w:tc>
      </w:tr>
      <w:tr w:rsidR="00017C16" w:rsidRPr="00CB2CB5" w14:paraId="18469FB7" w14:textId="77777777" w:rsidTr="00B92A5E">
        <w:trPr>
          <w:trHeight w:hRule="exact" w:val="428"/>
          <w:jc w:val="center"/>
        </w:trPr>
        <w:tc>
          <w:tcPr>
            <w:tcW w:w="5248" w:type="dxa"/>
            <w:tcBorders>
              <w:top w:val="single" w:sz="6" w:space="0" w:color="000000"/>
              <w:bottom w:val="single" w:sz="6" w:space="0" w:color="000000"/>
              <w:right w:val="single" w:sz="6" w:space="0" w:color="000000"/>
            </w:tcBorders>
          </w:tcPr>
          <w:p w14:paraId="3E9FE213" w14:textId="0434EA8A" w:rsidR="00017C16" w:rsidRPr="00CB2CB5" w:rsidRDefault="00065F66" w:rsidP="008759DE">
            <w:pPr>
              <w:pStyle w:val="TableParagraph"/>
              <w:spacing w:line="276" w:lineRule="auto"/>
              <w:ind w:left="103"/>
              <w:jc w:val="left"/>
              <w:rPr>
                <w:sz w:val="24"/>
              </w:rPr>
            </w:pPr>
            <w:r>
              <w:rPr>
                <w:sz w:val="24"/>
              </w:rPr>
              <w:t xml:space="preserve">NM </w:t>
            </w:r>
            <w:proofErr w:type="spellStart"/>
            <w:r w:rsidR="00017C16" w:rsidRPr="00CB2CB5">
              <w:rPr>
                <w:sz w:val="24"/>
              </w:rPr>
              <w:t>EnergySaver</w:t>
            </w:r>
            <w:proofErr w:type="spellEnd"/>
            <w:r w:rsidR="00017C16" w:rsidRPr="00CB2CB5">
              <w:rPr>
                <w:sz w:val="24"/>
              </w:rPr>
              <w:t xml:space="preserve"> (Low Income)</w:t>
            </w:r>
          </w:p>
        </w:tc>
        <w:tc>
          <w:tcPr>
            <w:tcW w:w="2804" w:type="dxa"/>
            <w:tcBorders>
              <w:top w:val="single" w:sz="6" w:space="0" w:color="000000"/>
              <w:left w:val="single" w:sz="6" w:space="0" w:color="000000"/>
              <w:bottom w:val="single" w:sz="6" w:space="0" w:color="000000"/>
            </w:tcBorders>
          </w:tcPr>
          <w:p w14:paraId="16B0D0CA" w14:textId="77777777" w:rsidR="00017C16" w:rsidRPr="00CB2CB5" w:rsidRDefault="00017C16" w:rsidP="008759DE">
            <w:pPr>
              <w:pStyle w:val="TableParagraph"/>
              <w:spacing w:line="276" w:lineRule="auto"/>
              <w:ind w:right="757"/>
              <w:jc w:val="right"/>
              <w:rPr>
                <w:sz w:val="24"/>
              </w:rPr>
            </w:pPr>
            <w:r w:rsidRPr="00CB2CB5">
              <w:rPr>
                <w:sz w:val="24"/>
              </w:rPr>
              <w:t>16</w:t>
            </w:r>
          </w:p>
        </w:tc>
      </w:tr>
      <w:tr w:rsidR="00017C16" w:rsidRPr="00CB2CB5" w14:paraId="75B955BD" w14:textId="77777777" w:rsidTr="00B92A5E">
        <w:trPr>
          <w:trHeight w:hRule="exact" w:val="330"/>
          <w:jc w:val="center"/>
        </w:trPr>
        <w:tc>
          <w:tcPr>
            <w:tcW w:w="5248" w:type="dxa"/>
            <w:tcBorders>
              <w:top w:val="single" w:sz="6" w:space="0" w:color="000000"/>
              <w:bottom w:val="single" w:sz="6" w:space="0" w:color="000000"/>
              <w:right w:val="single" w:sz="6" w:space="0" w:color="000000"/>
            </w:tcBorders>
          </w:tcPr>
          <w:p w14:paraId="6869EA26" w14:textId="77777777" w:rsidR="00017C16" w:rsidRPr="00CB2CB5" w:rsidRDefault="00017C16" w:rsidP="008759DE">
            <w:pPr>
              <w:spacing w:line="276" w:lineRule="auto"/>
            </w:pPr>
          </w:p>
        </w:tc>
        <w:tc>
          <w:tcPr>
            <w:tcW w:w="2804" w:type="dxa"/>
            <w:tcBorders>
              <w:top w:val="single" w:sz="6" w:space="0" w:color="000000"/>
              <w:left w:val="single" w:sz="6" w:space="0" w:color="000000"/>
              <w:bottom w:val="single" w:sz="6" w:space="0" w:color="000000"/>
            </w:tcBorders>
          </w:tcPr>
          <w:p w14:paraId="42489643" w14:textId="77777777" w:rsidR="00017C16" w:rsidRPr="00CB2CB5" w:rsidRDefault="00017C16" w:rsidP="008759DE">
            <w:pPr>
              <w:spacing w:line="276" w:lineRule="auto"/>
            </w:pPr>
          </w:p>
        </w:tc>
      </w:tr>
      <w:tr w:rsidR="00017C16" w:rsidRPr="00CB2CB5" w14:paraId="67EE14D6" w14:textId="77777777" w:rsidTr="00B92A5E">
        <w:trPr>
          <w:trHeight w:hRule="exact" w:val="430"/>
          <w:jc w:val="center"/>
        </w:trPr>
        <w:tc>
          <w:tcPr>
            <w:tcW w:w="5248" w:type="dxa"/>
            <w:tcBorders>
              <w:top w:val="single" w:sz="6" w:space="0" w:color="000000"/>
              <w:bottom w:val="single" w:sz="6" w:space="0" w:color="000000"/>
              <w:right w:val="single" w:sz="6" w:space="0" w:color="000000"/>
            </w:tcBorders>
          </w:tcPr>
          <w:p w14:paraId="621B25D9" w14:textId="77777777" w:rsidR="00017C16" w:rsidRPr="00CB2CB5" w:rsidRDefault="00017C16" w:rsidP="008759DE">
            <w:pPr>
              <w:pStyle w:val="TableParagraph"/>
              <w:spacing w:line="276" w:lineRule="auto"/>
              <w:ind w:left="103"/>
              <w:jc w:val="left"/>
              <w:rPr>
                <w:b/>
                <w:sz w:val="24"/>
              </w:rPr>
            </w:pPr>
            <w:r w:rsidRPr="00CB2CB5">
              <w:rPr>
                <w:b/>
                <w:sz w:val="24"/>
              </w:rPr>
              <w:t>Commercial Programs</w:t>
            </w:r>
          </w:p>
        </w:tc>
        <w:tc>
          <w:tcPr>
            <w:tcW w:w="2804" w:type="dxa"/>
            <w:tcBorders>
              <w:top w:val="single" w:sz="6" w:space="0" w:color="000000"/>
              <w:left w:val="single" w:sz="6" w:space="0" w:color="000000"/>
              <w:bottom w:val="single" w:sz="6" w:space="0" w:color="000000"/>
            </w:tcBorders>
          </w:tcPr>
          <w:p w14:paraId="4687EF24" w14:textId="77777777" w:rsidR="00017C16" w:rsidRPr="00CB2CB5" w:rsidRDefault="00017C16" w:rsidP="008759DE">
            <w:pPr>
              <w:spacing w:line="276" w:lineRule="auto"/>
            </w:pPr>
          </w:p>
        </w:tc>
      </w:tr>
      <w:tr w:rsidR="00857BD1" w:rsidRPr="00CB2CB5" w14:paraId="52AF5292" w14:textId="77777777" w:rsidTr="00C665BE">
        <w:trPr>
          <w:trHeight w:hRule="exact" w:val="427"/>
          <w:jc w:val="center"/>
        </w:trPr>
        <w:tc>
          <w:tcPr>
            <w:tcW w:w="5248" w:type="dxa"/>
            <w:tcBorders>
              <w:top w:val="single" w:sz="6" w:space="0" w:color="000000"/>
              <w:right w:val="single" w:sz="6" w:space="0" w:color="000000"/>
            </w:tcBorders>
          </w:tcPr>
          <w:p w14:paraId="191E800C" w14:textId="13225AE4" w:rsidR="00857BD1" w:rsidRPr="00CB2CB5" w:rsidRDefault="00857BD1" w:rsidP="00C665BE">
            <w:pPr>
              <w:pStyle w:val="TableParagraph"/>
              <w:spacing w:line="276" w:lineRule="auto"/>
              <w:ind w:left="103"/>
              <w:jc w:val="left"/>
              <w:rPr>
                <w:sz w:val="24"/>
              </w:rPr>
            </w:pPr>
            <w:r w:rsidRPr="00CB2CB5">
              <w:rPr>
                <w:sz w:val="24"/>
              </w:rPr>
              <w:t>Commercial Comprehensive</w:t>
            </w:r>
          </w:p>
        </w:tc>
        <w:tc>
          <w:tcPr>
            <w:tcW w:w="2804" w:type="dxa"/>
            <w:tcBorders>
              <w:top w:val="single" w:sz="6" w:space="0" w:color="000000"/>
              <w:left w:val="single" w:sz="6" w:space="0" w:color="000000"/>
            </w:tcBorders>
          </w:tcPr>
          <w:p w14:paraId="4222F8CB" w14:textId="77777777" w:rsidR="00857BD1" w:rsidRPr="00CB2CB5" w:rsidRDefault="00857BD1" w:rsidP="00C665BE">
            <w:pPr>
              <w:pStyle w:val="TableParagraph"/>
              <w:spacing w:line="276" w:lineRule="auto"/>
              <w:ind w:right="757"/>
              <w:jc w:val="right"/>
              <w:rPr>
                <w:sz w:val="24"/>
              </w:rPr>
            </w:pPr>
            <w:r w:rsidRPr="00CB2CB5">
              <w:rPr>
                <w:sz w:val="24"/>
              </w:rPr>
              <w:t>14</w:t>
            </w:r>
          </w:p>
        </w:tc>
      </w:tr>
      <w:tr w:rsidR="00857BD1" w:rsidRPr="00CB2CB5" w14:paraId="11E77A89" w14:textId="77777777" w:rsidTr="00C665BE">
        <w:trPr>
          <w:trHeight w:hRule="exact" w:val="428"/>
          <w:jc w:val="center"/>
        </w:trPr>
        <w:tc>
          <w:tcPr>
            <w:tcW w:w="5248" w:type="dxa"/>
            <w:tcBorders>
              <w:top w:val="single" w:sz="6" w:space="0" w:color="000000"/>
              <w:bottom w:val="single" w:sz="6" w:space="0" w:color="000000"/>
              <w:right w:val="single" w:sz="6" w:space="0" w:color="000000"/>
            </w:tcBorders>
          </w:tcPr>
          <w:p w14:paraId="5635A019" w14:textId="77777777" w:rsidR="00857BD1" w:rsidRPr="00CB2CB5" w:rsidRDefault="00857BD1" w:rsidP="00C665BE">
            <w:pPr>
              <w:pStyle w:val="TableParagraph"/>
              <w:spacing w:line="276" w:lineRule="auto"/>
              <w:ind w:left="103"/>
              <w:jc w:val="left"/>
              <w:rPr>
                <w:sz w:val="24"/>
              </w:rPr>
            </w:pPr>
            <w:r w:rsidRPr="00CB2CB5">
              <w:rPr>
                <w:sz w:val="24"/>
              </w:rPr>
              <w:t>SCORE Plus</w:t>
            </w:r>
          </w:p>
        </w:tc>
        <w:tc>
          <w:tcPr>
            <w:tcW w:w="2804" w:type="dxa"/>
            <w:tcBorders>
              <w:top w:val="single" w:sz="6" w:space="0" w:color="000000"/>
              <w:left w:val="single" w:sz="6" w:space="0" w:color="000000"/>
              <w:bottom w:val="single" w:sz="6" w:space="0" w:color="000000"/>
            </w:tcBorders>
          </w:tcPr>
          <w:p w14:paraId="624BD2EB" w14:textId="77777777" w:rsidR="00857BD1" w:rsidRPr="00CB2CB5" w:rsidRDefault="00857BD1" w:rsidP="00C665BE">
            <w:pPr>
              <w:pStyle w:val="TableParagraph"/>
              <w:spacing w:line="276" w:lineRule="auto"/>
              <w:ind w:right="757"/>
              <w:jc w:val="right"/>
              <w:rPr>
                <w:sz w:val="24"/>
              </w:rPr>
            </w:pPr>
            <w:r w:rsidRPr="00CB2CB5">
              <w:rPr>
                <w:sz w:val="24"/>
              </w:rPr>
              <w:t>14</w:t>
            </w:r>
          </w:p>
        </w:tc>
      </w:tr>
      <w:tr w:rsidR="00857BD1" w:rsidRPr="00CB2CB5" w14:paraId="6D851CB3" w14:textId="77777777" w:rsidTr="00B92A5E">
        <w:trPr>
          <w:trHeight w:hRule="exact" w:val="428"/>
          <w:jc w:val="center"/>
        </w:trPr>
        <w:tc>
          <w:tcPr>
            <w:tcW w:w="5248" w:type="dxa"/>
            <w:tcBorders>
              <w:top w:val="single" w:sz="6" w:space="0" w:color="000000"/>
              <w:bottom w:val="single" w:sz="6" w:space="0" w:color="000000"/>
              <w:right w:val="single" w:sz="6" w:space="0" w:color="000000"/>
            </w:tcBorders>
          </w:tcPr>
          <w:p w14:paraId="7721935C" w14:textId="7AFC09EB" w:rsidR="00857BD1" w:rsidRPr="00CB2CB5" w:rsidRDefault="00857BD1" w:rsidP="008759DE">
            <w:pPr>
              <w:pStyle w:val="TableParagraph"/>
              <w:spacing w:line="276" w:lineRule="auto"/>
              <w:ind w:left="103"/>
              <w:jc w:val="left"/>
              <w:rPr>
                <w:sz w:val="24"/>
              </w:rPr>
            </w:pPr>
            <w:r>
              <w:rPr>
                <w:sz w:val="24"/>
              </w:rPr>
              <w:t>Commercial Load Management</w:t>
            </w:r>
          </w:p>
        </w:tc>
        <w:tc>
          <w:tcPr>
            <w:tcW w:w="2804" w:type="dxa"/>
            <w:tcBorders>
              <w:top w:val="single" w:sz="6" w:space="0" w:color="000000"/>
              <w:left w:val="single" w:sz="6" w:space="0" w:color="000000"/>
              <w:bottom w:val="single" w:sz="6" w:space="0" w:color="000000"/>
            </w:tcBorders>
          </w:tcPr>
          <w:p w14:paraId="5E1F3019" w14:textId="4CECE616" w:rsidR="00857BD1" w:rsidRPr="00CB2CB5" w:rsidRDefault="009106A3" w:rsidP="008759DE">
            <w:pPr>
              <w:pStyle w:val="TableParagraph"/>
              <w:spacing w:line="276" w:lineRule="auto"/>
              <w:ind w:right="757"/>
              <w:jc w:val="right"/>
              <w:rPr>
                <w:sz w:val="24"/>
              </w:rPr>
            </w:pPr>
            <w:r>
              <w:rPr>
                <w:sz w:val="24"/>
              </w:rPr>
              <w:t>1</w:t>
            </w:r>
          </w:p>
        </w:tc>
      </w:tr>
    </w:tbl>
    <w:p w14:paraId="632EE145" w14:textId="67BC3AC3" w:rsidR="00017C16" w:rsidRPr="00CB2CB5" w:rsidRDefault="00017C16" w:rsidP="00607291">
      <w:pPr>
        <w:pStyle w:val="ListParagraph"/>
        <w:widowControl w:val="0"/>
        <w:numPr>
          <w:ilvl w:val="0"/>
          <w:numId w:val="5"/>
        </w:numPr>
        <w:autoSpaceDE w:val="0"/>
        <w:autoSpaceDN w:val="0"/>
        <w:spacing w:after="0" w:line="276" w:lineRule="auto"/>
        <w:ind w:left="1080" w:right="720"/>
        <w:contextualSpacing w:val="0"/>
        <w:jc w:val="both"/>
        <w:rPr>
          <w:rFonts w:ascii="Times New Roman" w:hAnsi="Times New Roman"/>
          <w:sz w:val="20"/>
          <w:szCs w:val="16"/>
        </w:rPr>
      </w:pPr>
      <w:proofErr w:type="spellStart"/>
      <w:r w:rsidRPr="00CB2CB5">
        <w:rPr>
          <w:rFonts w:ascii="Times New Roman" w:hAnsi="Times New Roman"/>
          <w:sz w:val="20"/>
          <w:szCs w:val="16"/>
        </w:rPr>
        <w:t>EUL</w:t>
      </w:r>
      <w:proofErr w:type="spellEnd"/>
      <w:r w:rsidRPr="00CB2CB5">
        <w:rPr>
          <w:rFonts w:ascii="Times New Roman" w:hAnsi="Times New Roman"/>
          <w:sz w:val="20"/>
          <w:szCs w:val="16"/>
        </w:rPr>
        <w:t xml:space="preserve"> values as identified by the statewide Measurement and Verification Evaluator for program year </w:t>
      </w:r>
      <w:r w:rsidR="00857BD1" w:rsidRPr="00CB2CB5">
        <w:rPr>
          <w:rFonts w:ascii="Times New Roman" w:hAnsi="Times New Roman"/>
          <w:sz w:val="20"/>
          <w:szCs w:val="16"/>
        </w:rPr>
        <w:t>20</w:t>
      </w:r>
      <w:r w:rsidR="00857BD1">
        <w:rPr>
          <w:rFonts w:ascii="Times New Roman" w:hAnsi="Times New Roman"/>
          <w:sz w:val="20"/>
          <w:szCs w:val="16"/>
        </w:rPr>
        <w:t>20</w:t>
      </w:r>
      <w:r w:rsidRPr="00CB2CB5">
        <w:rPr>
          <w:rFonts w:ascii="Times New Roman" w:hAnsi="Times New Roman"/>
          <w:sz w:val="20"/>
          <w:szCs w:val="16"/>
        </w:rPr>
        <w:t>.</w:t>
      </w:r>
    </w:p>
    <w:p w14:paraId="188511E0" w14:textId="77777777" w:rsidR="00017C16" w:rsidRPr="00CB2CB5" w:rsidRDefault="00017C16" w:rsidP="008759DE">
      <w:pPr>
        <w:widowControl w:val="0"/>
        <w:autoSpaceDE w:val="0"/>
        <w:autoSpaceDN w:val="0"/>
        <w:spacing w:line="276" w:lineRule="auto"/>
        <w:ind w:left="1080"/>
        <w:jc w:val="left"/>
        <w:rPr>
          <w:rFonts w:eastAsia="Times New Roman"/>
        </w:rPr>
      </w:pPr>
    </w:p>
    <w:p w14:paraId="440B87E1" w14:textId="10E97BF2" w:rsidR="00017C16" w:rsidRDefault="00017C16" w:rsidP="00607291">
      <w:pPr>
        <w:autoSpaceDE w:val="0"/>
        <w:autoSpaceDN w:val="0"/>
        <w:spacing w:line="276" w:lineRule="auto"/>
        <w:ind w:left="1080" w:right="173"/>
        <w:rPr>
          <w:rFonts w:eastAsia="Times New Roman"/>
        </w:rPr>
      </w:pPr>
      <w:r w:rsidRPr="00CB2CB5">
        <w:rPr>
          <w:rFonts w:eastAsia="Times New Roman"/>
        </w:rPr>
        <w:t xml:space="preserve">Table </w:t>
      </w:r>
      <w:r w:rsidR="00B415AA">
        <w:rPr>
          <w:rFonts w:eastAsia="Times New Roman"/>
        </w:rPr>
        <w:t>5</w:t>
      </w:r>
      <w:r w:rsidR="00B415AA" w:rsidRPr="00CB2CB5">
        <w:rPr>
          <w:rFonts w:eastAsia="Times New Roman"/>
        </w:rPr>
        <w:t xml:space="preserve"> </w:t>
      </w:r>
      <w:r w:rsidRPr="00CB2CB5">
        <w:rPr>
          <w:rFonts w:eastAsia="Times New Roman"/>
        </w:rPr>
        <w:t>provides the actual verified savings for EPE's New Mexico EE</w:t>
      </w:r>
      <w:r w:rsidR="005F03FF">
        <w:rPr>
          <w:rFonts w:eastAsia="Times New Roman"/>
        </w:rPr>
        <w:t>/LM</w:t>
      </w:r>
      <w:r w:rsidRPr="00CB2CB5">
        <w:rPr>
          <w:rFonts w:eastAsia="Times New Roman"/>
        </w:rPr>
        <w:t xml:space="preserve"> programs for 2015 to </w:t>
      </w:r>
      <w:r w:rsidR="00857BD1" w:rsidRPr="00CB2CB5">
        <w:rPr>
          <w:rFonts w:eastAsia="Times New Roman"/>
        </w:rPr>
        <w:t>20</w:t>
      </w:r>
      <w:r w:rsidR="00857BD1">
        <w:rPr>
          <w:rFonts w:eastAsia="Times New Roman"/>
        </w:rPr>
        <w:t>20</w:t>
      </w:r>
      <w:r w:rsidR="00857BD1" w:rsidRPr="00CB2CB5">
        <w:rPr>
          <w:rFonts w:eastAsia="Times New Roman"/>
        </w:rPr>
        <w:t xml:space="preserve"> </w:t>
      </w:r>
      <w:r w:rsidRPr="00CB2CB5">
        <w:rPr>
          <w:rFonts w:eastAsia="Times New Roman"/>
        </w:rPr>
        <w:t xml:space="preserve">and provides anticipated savings for </w:t>
      </w:r>
      <w:r w:rsidR="00857BD1" w:rsidRPr="00CB2CB5">
        <w:rPr>
          <w:rFonts w:eastAsia="Times New Roman"/>
        </w:rPr>
        <w:t>20</w:t>
      </w:r>
      <w:r w:rsidR="00857BD1">
        <w:rPr>
          <w:rFonts w:eastAsia="Times New Roman"/>
        </w:rPr>
        <w:t>21</w:t>
      </w:r>
      <w:r w:rsidR="00857BD1" w:rsidRPr="00CB2CB5">
        <w:rPr>
          <w:rFonts w:eastAsia="Times New Roman"/>
        </w:rPr>
        <w:t xml:space="preserve"> </w:t>
      </w:r>
      <w:r w:rsidRPr="00CB2CB5">
        <w:rPr>
          <w:rFonts w:eastAsia="Times New Roman"/>
        </w:rPr>
        <w:t xml:space="preserve">to </w:t>
      </w:r>
      <w:r w:rsidR="00857BD1" w:rsidRPr="00CB2CB5">
        <w:rPr>
          <w:rFonts w:eastAsia="Times New Roman"/>
        </w:rPr>
        <w:t>20</w:t>
      </w:r>
      <w:r w:rsidR="00857BD1">
        <w:rPr>
          <w:rFonts w:eastAsia="Times New Roman"/>
        </w:rPr>
        <w:t>24</w:t>
      </w:r>
      <w:r w:rsidRPr="00CB2CB5">
        <w:rPr>
          <w:rFonts w:eastAsia="Times New Roman"/>
        </w:rPr>
        <w:t xml:space="preserve">. The projected </w:t>
      </w:r>
      <w:r w:rsidRPr="00CB2CB5">
        <w:rPr>
          <w:rFonts w:eastAsia="Times New Roman"/>
        </w:rPr>
        <w:lastRenderedPageBreak/>
        <w:t>savings are based on EPE</w:t>
      </w:r>
      <w:r w:rsidR="00B81EE4" w:rsidRPr="00CB2CB5">
        <w:rPr>
          <w:rFonts w:eastAsia="Times New Roman"/>
        </w:rPr>
        <w:t>'</w:t>
      </w:r>
      <w:r w:rsidRPr="00CB2CB5">
        <w:rPr>
          <w:rFonts w:eastAsia="Times New Roman"/>
        </w:rPr>
        <w:t>s Plan approved by Final Order in NMPRC Case No.</w:t>
      </w:r>
      <w:r w:rsidR="00857BD1">
        <w:rPr>
          <w:rFonts w:eastAsia="Times New Roman"/>
        </w:rPr>
        <w:t xml:space="preserve"> 18</w:t>
      </w:r>
      <w:r w:rsidRPr="00CB2CB5">
        <w:rPr>
          <w:rFonts w:eastAsia="Times New Roman"/>
        </w:rPr>
        <w:noBreakHyphen/>
      </w:r>
      <w:r w:rsidR="00857BD1">
        <w:rPr>
          <w:rFonts w:eastAsia="Times New Roman"/>
        </w:rPr>
        <w:t>00116</w:t>
      </w:r>
      <w:r w:rsidRPr="00CB2CB5">
        <w:rPr>
          <w:rFonts w:eastAsia="Times New Roman"/>
        </w:rPr>
        <w:t xml:space="preserve">-UT.  The gross </w:t>
      </w:r>
      <w:r w:rsidR="005F03FF">
        <w:rPr>
          <w:rFonts w:eastAsia="Times New Roman"/>
        </w:rPr>
        <w:t>megawatt (“</w:t>
      </w:r>
      <w:r w:rsidRPr="00CB2CB5">
        <w:rPr>
          <w:rFonts w:eastAsia="Times New Roman"/>
        </w:rPr>
        <w:t>MW</w:t>
      </w:r>
      <w:r w:rsidR="005F03FF">
        <w:rPr>
          <w:rFonts w:eastAsia="Times New Roman"/>
        </w:rPr>
        <w:t>”)</w:t>
      </w:r>
      <w:r w:rsidRPr="00CB2CB5">
        <w:rPr>
          <w:rFonts w:eastAsia="Times New Roman"/>
        </w:rPr>
        <w:t xml:space="preserve"> and </w:t>
      </w:r>
      <w:r w:rsidR="005F03FF">
        <w:rPr>
          <w:rFonts w:eastAsia="Times New Roman"/>
        </w:rPr>
        <w:t>m</w:t>
      </w:r>
      <w:r w:rsidR="0051783A" w:rsidRPr="00CB2CB5">
        <w:rPr>
          <w:rFonts w:eastAsia="Times New Roman"/>
        </w:rPr>
        <w:t>egawatt</w:t>
      </w:r>
      <w:r w:rsidR="000B0BDC" w:rsidRPr="00CB2CB5">
        <w:rPr>
          <w:rFonts w:eastAsia="Times New Roman"/>
        </w:rPr>
        <w:noBreakHyphen/>
      </w:r>
      <w:r w:rsidR="0051783A" w:rsidRPr="00CB2CB5">
        <w:rPr>
          <w:rFonts w:eastAsia="Times New Roman"/>
        </w:rPr>
        <w:t>hour (</w:t>
      </w:r>
      <w:r w:rsidR="00B81EE4" w:rsidRPr="00CB2CB5">
        <w:rPr>
          <w:rFonts w:eastAsia="Times New Roman"/>
        </w:rPr>
        <w:t>"</w:t>
      </w:r>
      <w:r w:rsidRPr="00CB2CB5">
        <w:rPr>
          <w:rFonts w:eastAsia="Times New Roman"/>
        </w:rPr>
        <w:t>MWh</w:t>
      </w:r>
      <w:r w:rsidR="00B81EE4" w:rsidRPr="00CB2CB5">
        <w:rPr>
          <w:rFonts w:eastAsia="Times New Roman"/>
        </w:rPr>
        <w:t>"</w:t>
      </w:r>
      <w:r w:rsidR="0051783A" w:rsidRPr="00CB2CB5">
        <w:rPr>
          <w:rFonts w:eastAsia="Times New Roman"/>
        </w:rPr>
        <w:t>)</w:t>
      </w:r>
      <w:r w:rsidRPr="00CB2CB5">
        <w:rPr>
          <w:rFonts w:eastAsia="Times New Roman"/>
        </w:rPr>
        <w:t xml:space="preserve"> projections do not include a peak demand coincidence factor adjustment that is used for load forecasting</w:t>
      </w:r>
      <w:r w:rsidRPr="00CB2CB5">
        <w:rPr>
          <w:rFonts w:eastAsia="Times New Roman"/>
          <w:spacing w:val="-5"/>
        </w:rPr>
        <w:t xml:space="preserve"> </w:t>
      </w:r>
      <w:r w:rsidRPr="00CB2CB5">
        <w:rPr>
          <w:rFonts w:eastAsia="Times New Roman"/>
        </w:rPr>
        <w:t xml:space="preserve">purposes reflected in the </w:t>
      </w:r>
      <w:proofErr w:type="spellStart"/>
      <w:r w:rsidRPr="00CB2CB5">
        <w:rPr>
          <w:rFonts w:eastAsia="Times New Roman"/>
        </w:rPr>
        <w:t>L&amp;R</w:t>
      </w:r>
      <w:proofErr w:type="spellEnd"/>
      <w:r w:rsidRPr="00CB2CB5">
        <w:rPr>
          <w:rFonts w:eastAsia="Times New Roman"/>
        </w:rPr>
        <w:t>.</w:t>
      </w:r>
    </w:p>
    <w:p w14:paraId="42AB15BC" w14:textId="77777777" w:rsidR="00510031" w:rsidRDefault="00510031" w:rsidP="008759DE">
      <w:pPr>
        <w:pStyle w:val="Caption"/>
        <w:keepNext/>
        <w:spacing w:line="276" w:lineRule="auto"/>
        <w:jc w:val="center"/>
      </w:pPr>
      <w:bookmarkStart w:id="26" w:name="_Toc534193084"/>
    </w:p>
    <w:p w14:paraId="0E627EE5" w14:textId="060D2E04" w:rsidR="00017C16" w:rsidRPr="00CB2CB5" w:rsidRDefault="00B74161" w:rsidP="008759DE">
      <w:pPr>
        <w:pStyle w:val="Caption"/>
        <w:keepNext/>
        <w:spacing w:line="276" w:lineRule="auto"/>
        <w:jc w:val="center"/>
      </w:pPr>
      <w:r w:rsidRPr="00CB2CB5">
        <w:t xml:space="preserve">Table </w:t>
      </w:r>
      <w:r w:rsidR="00D7007D">
        <w:rPr>
          <w:noProof/>
        </w:rPr>
        <w:t>5</w:t>
      </w:r>
      <w:r w:rsidR="00017C16" w:rsidRPr="00CB2CB5">
        <w:rPr>
          <w:b w:val="0"/>
        </w:rPr>
        <w:t xml:space="preserve"> </w:t>
      </w:r>
      <w:r w:rsidRPr="00CB2CB5">
        <w:rPr>
          <w:b w:val="0"/>
        </w:rPr>
        <w:t xml:space="preserve">– </w:t>
      </w:r>
      <w:r w:rsidR="00017C16" w:rsidRPr="00CB2CB5">
        <w:t>New</w:t>
      </w:r>
      <w:r w:rsidRPr="00CB2CB5">
        <w:t xml:space="preserve"> </w:t>
      </w:r>
      <w:r w:rsidR="00017C16" w:rsidRPr="00CB2CB5">
        <w:t xml:space="preserve">Mexico Verified and Projected Participation, Impacts and Budget </w:t>
      </w:r>
      <w:r w:rsidR="005F03FF">
        <w:t xml:space="preserve">for EE/LM </w:t>
      </w:r>
      <w:r w:rsidR="00017C16" w:rsidRPr="00CB2CB5">
        <w:t>Portfolio</w:t>
      </w:r>
      <w:bookmarkEnd w:id="26"/>
    </w:p>
    <w:p w14:paraId="73AAE078" w14:textId="77777777" w:rsidR="00017C16" w:rsidRPr="00CB2CB5" w:rsidRDefault="00017C16" w:rsidP="008759DE">
      <w:pPr>
        <w:pStyle w:val="BodyText"/>
        <w:spacing w:line="276" w:lineRule="auto"/>
        <w:rPr>
          <w:b/>
          <w:sz w:val="20"/>
        </w:rPr>
      </w:pP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1407"/>
        <w:gridCol w:w="1408"/>
        <w:gridCol w:w="1453"/>
        <w:gridCol w:w="1408"/>
        <w:gridCol w:w="1407"/>
        <w:gridCol w:w="1408"/>
      </w:tblGrid>
      <w:tr w:rsidR="00017C16" w:rsidRPr="00CB2CB5" w14:paraId="780452D9" w14:textId="77777777" w:rsidTr="00607291">
        <w:tc>
          <w:tcPr>
            <w:tcW w:w="1407" w:type="dxa"/>
            <w:shd w:val="clear" w:color="auto" w:fill="C6D9F1"/>
            <w:vAlign w:val="bottom"/>
          </w:tcPr>
          <w:p w14:paraId="7D724E28" w14:textId="77777777" w:rsidR="00017C16" w:rsidRPr="00CB2CB5" w:rsidRDefault="00017C16" w:rsidP="00607291">
            <w:pPr>
              <w:pStyle w:val="TableParagraph"/>
              <w:spacing w:line="276" w:lineRule="auto"/>
              <w:ind w:left="185" w:hanging="90"/>
              <w:rPr>
                <w:b/>
              </w:rPr>
            </w:pPr>
            <w:r w:rsidRPr="00CB2CB5">
              <w:rPr>
                <w:b/>
              </w:rPr>
              <w:t>Year</w:t>
            </w:r>
          </w:p>
        </w:tc>
        <w:tc>
          <w:tcPr>
            <w:tcW w:w="1407" w:type="dxa"/>
            <w:shd w:val="clear" w:color="auto" w:fill="C6D9F1"/>
            <w:vAlign w:val="bottom"/>
          </w:tcPr>
          <w:p w14:paraId="252D4A65" w14:textId="77777777" w:rsidR="00017C16" w:rsidRPr="00CB2CB5" w:rsidRDefault="00017C16" w:rsidP="003A5B15">
            <w:pPr>
              <w:pStyle w:val="TableParagraph"/>
              <w:spacing w:line="276" w:lineRule="auto"/>
              <w:ind w:right="121" w:firstLine="38"/>
              <w:rPr>
                <w:b/>
              </w:rPr>
            </w:pPr>
            <w:r w:rsidRPr="00CB2CB5">
              <w:rPr>
                <w:b/>
              </w:rPr>
              <w:t>Annual Participants</w:t>
            </w:r>
            <w:r w:rsidRPr="00CB2CB5">
              <w:rPr>
                <w:b/>
                <w:vertAlign w:val="superscript"/>
              </w:rPr>
              <w:t>1</w:t>
            </w:r>
          </w:p>
        </w:tc>
        <w:tc>
          <w:tcPr>
            <w:tcW w:w="1408" w:type="dxa"/>
            <w:shd w:val="clear" w:color="auto" w:fill="C6D9F1"/>
            <w:vAlign w:val="bottom"/>
          </w:tcPr>
          <w:p w14:paraId="558BD3E4" w14:textId="77777777" w:rsidR="00607291" w:rsidRPr="00CB2CB5" w:rsidRDefault="00017C16" w:rsidP="00607291">
            <w:pPr>
              <w:pStyle w:val="TableParagraph"/>
              <w:spacing w:line="276" w:lineRule="auto"/>
              <w:ind w:right="148"/>
              <w:rPr>
                <w:b/>
              </w:rPr>
            </w:pPr>
            <w:r w:rsidRPr="00CB2CB5">
              <w:rPr>
                <w:b/>
              </w:rPr>
              <w:t>Annual MW Demand Savings</w:t>
            </w:r>
          </w:p>
          <w:p w14:paraId="704CAB71" w14:textId="77777777" w:rsidR="00017C16" w:rsidRPr="00CB2CB5" w:rsidRDefault="00017C16" w:rsidP="00607291">
            <w:pPr>
              <w:pStyle w:val="TableParagraph"/>
              <w:spacing w:line="276" w:lineRule="auto"/>
              <w:ind w:right="148"/>
              <w:rPr>
                <w:b/>
              </w:rPr>
            </w:pPr>
            <w:r w:rsidRPr="00CB2CB5">
              <w:rPr>
                <w:b/>
              </w:rPr>
              <w:t>(at Meter)</w:t>
            </w:r>
          </w:p>
        </w:tc>
        <w:tc>
          <w:tcPr>
            <w:tcW w:w="1453" w:type="dxa"/>
            <w:shd w:val="clear" w:color="auto" w:fill="C6D9F1"/>
            <w:vAlign w:val="bottom"/>
          </w:tcPr>
          <w:p w14:paraId="4859F12E" w14:textId="77777777" w:rsidR="00607291" w:rsidRPr="00CB2CB5" w:rsidRDefault="00017C16" w:rsidP="00607291">
            <w:pPr>
              <w:pStyle w:val="TableParagraph"/>
              <w:spacing w:line="276" w:lineRule="auto"/>
              <w:ind w:right="44" w:hanging="1"/>
              <w:rPr>
                <w:b/>
              </w:rPr>
            </w:pPr>
            <w:r w:rsidRPr="00CB2CB5">
              <w:rPr>
                <w:b/>
              </w:rPr>
              <w:t>Annual MWh</w:t>
            </w:r>
            <w:r w:rsidRPr="00CB2CB5">
              <w:rPr>
                <w:b/>
                <w:spacing w:val="-2"/>
              </w:rPr>
              <w:t xml:space="preserve"> </w:t>
            </w:r>
            <w:r w:rsidRPr="00CB2CB5">
              <w:rPr>
                <w:b/>
              </w:rPr>
              <w:t>Energy Savings</w:t>
            </w:r>
          </w:p>
          <w:p w14:paraId="3D86578A" w14:textId="77777777" w:rsidR="00017C16" w:rsidRPr="00CB2CB5" w:rsidRDefault="00017C16" w:rsidP="00607291">
            <w:pPr>
              <w:pStyle w:val="TableParagraph"/>
              <w:spacing w:line="276" w:lineRule="auto"/>
              <w:ind w:right="44" w:hanging="1"/>
              <w:rPr>
                <w:b/>
              </w:rPr>
            </w:pPr>
            <w:r w:rsidRPr="00CB2CB5">
              <w:rPr>
                <w:b/>
              </w:rPr>
              <w:t>(at Meter)</w:t>
            </w:r>
          </w:p>
        </w:tc>
        <w:tc>
          <w:tcPr>
            <w:tcW w:w="1408" w:type="dxa"/>
            <w:shd w:val="clear" w:color="auto" w:fill="C6D9F1"/>
            <w:vAlign w:val="bottom"/>
          </w:tcPr>
          <w:p w14:paraId="65D91D33" w14:textId="77777777" w:rsidR="00017C16" w:rsidRPr="00CB2CB5" w:rsidRDefault="00017C16" w:rsidP="00607291">
            <w:pPr>
              <w:pStyle w:val="TableParagraph"/>
              <w:spacing w:line="276" w:lineRule="auto"/>
              <w:ind w:right="102" w:hanging="2"/>
              <w:rPr>
                <w:b/>
              </w:rPr>
            </w:pPr>
            <w:r w:rsidRPr="00CB2CB5">
              <w:rPr>
                <w:b/>
              </w:rPr>
              <w:t xml:space="preserve">Annual Rebate/ </w:t>
            </w:r>
            <w:r w:rsidRPr="00CB2CB5">
              <w:rPr>
                <w:b/>
                <w:w w:val="95"/>
              </w:rPr>
              <w:t xml:space="preserve">Incentive </w:t>
            </w:r>
            <w:r w:rsidRPr="00CB2CB5">
              <w:rPr>
                <w:b/>
              </w:rPr>
              <w:t>Costs</w:t>
            </w:r>
          </w:p>
        </w:tc>
        <w:tc>
          <w:tcPr>
            <w:tcW w:w="1407" w:type="dxa"/>
            <w:shd w:val="clear" w:color="auto" w:fill="C6D9F1"/>
            <w:vAlign w:val="bottom"/>
          </w:tcPr>
          <w:p w14:paraId="55422616" w14:textId="77777777" w:rsidR="00017C16" w:rsidRPr="00CB2CB5" w:rsidRDefault="00017C16" w:rsidP="00607291">
            <w:pPr>
              <w:pStyle w:val="TableParagraph"/>
              <w:spacing w:before="189" w:line="276" w:lineRule="auto"/>
              <w:ind w:right="108"/>
              <w:rPr>
                <w:b/>
              </w:rPr>
            </w:pPr>
            <w:r w:rsidRPr="00CB2CB5">
              <w:rPr>
                <w:b/>
                <w:w w:val="95"/>
              </w:rPr>
              <w:t xml:space="preserve">Annual </w:t>
            </w:r>
            <w:r w:rsidRPr="00CB2CB5">
              <w:rPr>
                <w:b/>
              </w:rPr>
              <w:t>Admin Costs</w:t>
            </w:r>
            <w:r w:rsidRPr="00CB2CB5">
              <w:rPr>
                <w:b/>
                <w:vertAlign w:val="superscript"/>
              </w:rPr>
              <w:t>2</w:t>
            </w:r>
          </w:p>
        </w:tc>
        <w:tc>
          <w:tcPr>
            <w:tcW w:w="1408" w:type="dxa"/>
            <w:shd w:val="clear" w:color="auto" w:fill="C6D9F1"/>
            <w:vAlign w:val="bottom"/>
          </w:tcPr>
          <w:p w14:paraId="65BBFDCB" w14:textId="77777777" w:rsidR="00017C16" w:rsidRPr="00CB2CB5" w:rsidRDefault="00017C16" w:rsidP="00607291">
            <w:pPr>
              <w:pStyle w:val="TableParagraph"/>
              <w:spacing w:before="189" w:line="276" w:lineRule="auto"/>
              <w:ind w:right="60"/>
              <w:rPr>
                <w:b/>
              </w:rPr>
            </w:pPr>
            <w:r w:rsidRPr="00CB2CB5">
              <w:rPr>
                <w:b/>
              </w:rPr>
              <w:t>Total Annual Program Costs</w:t>
            </w:r>
          </w:p>
        </w:tc>
      </w:tr>
      <w:tr w:rsidR="00017C16" w:rsidRPr="00CB2CB5" w14:paraId="51EC9738" w14:textId="77777777" w:rsidTr="00691544">
        <w:trPr>
          <w:trHeight w:val="432"/>
        </w:trPr>
        <w:tc>
          <w:tcPr>
            <w:tcW w:w="1407" w:type="dxa"/>
            <w:vAlign w:val="center"/>
          </w:tcPr>
          <w:p w14:paraId="58EB4392" w14:textId="77777777" w:rsidR="00017C16" w:rsidRPr="00CB2CB5" w:rsidRDefault="00017C16" w:rsidP="003A5B15">
            <w:pPr>
              <w:pStyle w:val="TableParagraph"/>
              <w:tabs>
                <w:tab w:val="left" w:pos="113"/>
              </w:tabs>
              <w:ind w:left="185" w:hanging="90"/>
            </w:pPr>
            <w:r w:rsidRPr="00CB2CB5">
              <w:t>2015♦</w:t>
            </w:r>
          </w:p>
        </w:tc>
        <w:tc>
          <w:tcPr>
            <w:tcW w:w="1407" w:type="dxa"/>
            <w:vAlign w:val="center"/>
          </w:tcPr>
          <w:p w14:paraId="548C11E1" w14:textId="77777777" w:rsidR="00017C16" w:rsidRPr="00CB2CB5" w:rsidRDefault="00017C16" w:rsidP="00691544">
            <w:pPr>
              <w:pStyle w:val="TableParagraph"/>
              <w:ind w:right="121"/>
            </w:pPr>
            <w:r w:rsidRPr="00CB2CB5">
              <w:t>42,654</w:t>
            </w:r>
          </w:p>
        </w:tc>
        <w:tc>
          <w:tcPr>
            <w:tcW w:w="1408" w:type="dxa"/>
            <w:vAlign w:val="center"/>
          </w:tcPr>
          <w:p w14:paraId="1C96B66A" w14:textId="77777777" w:rsidR="00017C16" w:rsidRPr="00CB2CB5" w:rsidRDefault="00017C16">
            <w:pPr>
              <w:pStyle w:val="TableParagraph"/>
              <w:ind w:left="71" w:right="77"/>
            </w:pPr>
            <w:r w:rsidRPr="00CB2CB5">
              <w:t>3.681</w:t>
            </w:r>
          </w:p>
        </w:tc>
        <w:tc>
          <w:tcPr>
            <w:tcW w:w="1453" w:type="dxa"/>
            <w:vAlign w:val="center"/>
          </w:tcPr>
          <w:p w14:paraId="5CE0B388" w14:textId="77777777" w:rsidR="00017C16" w:rsidRPr="00CB2CB5" w:rsidRDefault="00017C16">
            <w:pPr>
              <w:pStyle w:val="TableParagraph"/>
              <w:ind w:right="44"/>
            </w:pPr>
            <w:r w:rsidRPr="00CB2CB5">
              <w:t>15,729</w:t>
            </w:r>
          </w:p>
        </w:tc>
        <w:tc>
          <w:tcPr>
            <w:tcW w:w="1408" w:type="dxa"/>
            <w:vAlign w:val="center"/>
          </w:tcPr>
          <w:p w14:paraId="33545CFF" w14:textId="77777777" w:rsidR="00017C16" w:rsidRPr="00CB2CB5" w:rsidRDefault="00017C16">
            <w:pPr>
              <w:pStyle w:val="TableParagraph"/>
              <w:ind w:right="102"/>
            </w:pPr>
            <w:r w:rsidRPr="00CB2CB5">
              <w:t>$3,250,299</w:t>
            </w:r>
          </w:p>
        </w:tc>
        <w:tc>
          <w:tcPr>
            <w:tcW w:w="1407" w:type="dxa"/>
            <w:vAlign w:val="center"/>
          </w:tcPr>
          <w:p w14:paraId="46806E64" w14:textId="77777777" w:rsidR="00017C16" w:rsidRPr="00CB2CB5" w:rsidRDefault="00017C16">
            <w:pPr>
              <w:pStyle w:val="TableParagraph"/>
              <w:ind w:right="109"/>
            </w:pPr>
            <w:r w:rsidRPr="00CB2CB5">
              <w:t>$1,455,948</w:t>
            </w:r>
          </w:p>
        </w:tc>
        <w:tc>
          <w:tcPr>
            <w:tcW w:w="1408" w:type="dxa"/>
            <w:vAlign w:val="center"/>
          </w:tcPr>
          <w:p w14:paraId="4817BE4E" w14:textId="77777777" w:rsidR="00017C16" w:rsidRPr="00CB2CB5" w:rsidRDefault="00017C16">
            <w:pPr>
              <w:pStyle w:val="TableParagraph"/>
              <w:ind w:right="128"/>
            </w:pPr>
            <w:r w:rsidRPr="00CB2CB5">
              <w:t>$4,706,247</w:t>
            </w:r>
          </w:p>
        </w:tc>
      </w:tr>
      <w:tr w:rsidR="00017C16" w:rsidRPr="00CB2CB5" w14:paraId="48E57685" w14:textId="77777777" w:rsidTr="00691544">
        <w:trPr>
          <w:trHeight w:val="432"/>
        </w:trPr>
        <w:tc>
          <w:tcPr>
            <w:tcW w:w="1407" w:type="dxa"/>
            <w:vAlign w:val="center"/>
          </w:tcPr>
          <w:p w14:paraId="7C7213DC" w14:textId="77777777" w:rsidR="00017C16" w:rsidRPr="00CB2CB5" w:rsidRDefault="00017C16">
            <w:pPr>
              <w:pStyle w:val="TableParagraph"/>
              <w:tabs>
                <w:tab w:val="left" w:pos="113"/>
              </w:tabs>
              <w:ind w:left="185" w:hanging="90"/>
            </w:pPr>
            <w:r w:rsidRPr="00CB2CB5">
              <w:t>2016♦</w:t>
            </w:r>
          </w:p>
        </w:tc>
        <w:tc>
          <w:tcPr>
            <w:tcW w:w="1407" w:type="dxa"/>
            <w:vAlign w:val="center"/>
          </w:tcPr>
          <w:p w14:paraId="3F70DAEE" w14:textId="77777777" w:rsidR="00017C16" w:rsidRPr="00CB2CB5" w:rsidRDefault="00017C16" w:rsidP="00691544">
            <w:pPr>
              <w:pStyle w:val="TableParagraph"/>
              <w:ind w:right="121"/>
            </w:pPr>
            <w:r w:rsidRPr="00CB2CB5">
              <w:t>44,279</w:t>
            </w:r>
          </w:p>
        </w:tc>
        <w:tc>
          <w:tcPr>
            <w:tcW w:w="1408" w:type="dxa"/>
            <w:vAlign w:val="center"/>
          </w:tcPr>
          <w:p w14:paraId="678BA79D" w14:textId="77777777" w:rsidR="00017C16" w:rsidRPr="00CB2CB5" w:rsidRDefault="00017C16">
            <w:pPr>
              <w:pStyle w:val="TableParagraph"/>
              <w:ind w:left="71" w:right="77"/>
            </w:pPr>
            <w:r w:rsidRPr="00CB2CB5">
              <w:t>5.897</w:t>
            </w:r>
          </w:p>
        </w:tc>
        <w:tc>
          <w:tcPr>
            <w:tcW w:w="1453" w:type="dxa"/>
            <w:vAlign w:val="center"/>
          </w:tcPr>
          <w:p w14:paraId="73AA12FD" w14:textId="77777777" w:rsidR="00017C16" w:rsidRPr="00CB2CB5" w:rsidRDefault="00017C16">
            <w:pPr>
              <w:pStyle w:val="TableParagraph"/>
              <w:ind w:right="44"/>
            </w:pPr>
            <w:r w:rsidRPr="00CB2CB5">
              <w:t>18,213</w:t>
            </w:r>
          </w:p>
        </w:tc>
        <w:tc>
          <w:tcPr>
            <w:tcW w:w="1408" w:type="dxa"/>
            <w:vAlign w:val="center"/>
          </w:tcPr>
          <w:p w14:paraId="5EA775C2" w14:textId="77777777" w:rsidR="00017C16" w:rsidRPr="00CB2CB5" w:rsidRDefault="00017C16">
            <w:pPr>
              <w:pStyle w:val="TableParagraph"/>
              <w:ind w:right="102"/>
            </w:pPr>
            <w:r w:rsidRPr="00CB2CB5">
              <w:t>$3,827,090</w:t>
            </w:r>
          </w:p>
        </w:tc>
        <w:tc>
          <w:tcPr>
            <w:tcW w:w="1407" w:type="dxa"/>
            <w:vAlign w:val="center"/>
          </w:tcPr>
          <w:p w14:paraId="595D8B6F" w14:textId="77777777" w:rsidR="00017C16" w:rsidRPr="00CB2CB5" w:rsidRDefault="00017C16">
            <w:pPr>
              <w:pStyle w:val="TableParagraph"/>
              <w:ind w:right="109"/>
            </w:pPr>
            <w:r w:rsidRPr="00CB2CB5">
              <w:t>$1,670,719</w:t>
            </w:r>
          </w:p>
        </w:tc>
        <w:tc>
          <w:tcPr>
            <w:tcW w:w="1408" w:type="dxa"/>
            <w:vAlign w:val="center"/>
          </w:tcPr>
          <w:p w14:paraId="74BB1A1B" w14:textId="77777777" w:rsidR="00017C16" w:rsidRPr="00CB2CB5" w:rsidRDefault="00017C16">
            <w:pPr>
              <w:pStyle w:val="TableParagraph"/>
              <w:ind w:right="128"/>
            </w:pPr>
            <w:r w:rsidRPr="00CB2CB5">
              <w:t>$5,497,809</w:t>
            </w:r>
          </w:p>
        </w:tc>
      </w:tr>
      <w:tr w:rsidR="00017C16" w:rsidRPr="00CB2CB5" w14:paraId="62234CD2" w14:textId="77777777" w:rsidTr="00691544">
        <w:trPr>
          <w:trHeight w:val="432"/>
        </w:trPr>
        <w:tc>
          <w:tcPr>
            <w:tcW w:w="1407" w:type="dxa"/>
            <w:vAlign w:val="center"/>
          </w:tcPr>
          <w:p w14:paraId="260097C5" w14:textId="77777777" w:rsidR="00017C16" w:rsidRPr="00CB2CB5" w:rsidRDefault="00017C16">
            <w:pPr>
              <w:pStyle w:val="TableParagraph"/>
              <w:tabs>
                <w:tab w:val="left" w:pos="113"/>
              </w:tabs>
              <w:ind w:left="185" w:hanging="90"/>
            </w:pPr>
            <w:r w:rsidRPr="00CB2CB5">
              <w:t>2017♦</w:t>
            </w:r>
          </w:p>
        </w:tc>
        <w:tc>
          <w:tcPr>
            <w:tcW w:w="1407" w:type="dxa"/>
            <w:vAlign w:val="center"/>
          </w:tcPr>
          <w:p w14:paraId="7FCB3708" w14:textId="117C4588" w:rsidR="00017C16" w:rsidRPr="00CB2CB5" w:rsidRDefault="00E03B81" w:rsidP="00691544">
            <w:pPr>
              <w:pStyle w:val="TableParagraph"/>
              <w:ind w:right="121"/>
              <w:rPr>
                <w:color w:val="auto"/>
              </w:rPr>
            </w:pPr>
            <w:r>
              <w:rPr>
                <w:color w:val="auto"/>
              </w:rPr>
              <w:t>165,050</w:t>
            </w:r>
          </w:p>
        </w:tc>
        <w:tc>
          <w:tcPr>
            <w:tcW w:w="1408" w:type="dxa"/>
            <w:vAlign w:val="center"/>
          </w:tcPr>
          <w:p w14:paraId="320B1F46" w14:textId="77777777" w:rsidR="00017C16" w:rsidRPr="00CB2CB5" w:rsidRDefault="00017C16">
            <w:pPr>
              <w:pStyle w:val="TableParagraph"/>
              <w:ind w:left="71" w:right="77"/>
            </w:pPr>
            <w:r w:rsidRPr="00CB2CB5">
              <w:t>2.501</w:t>
            </w:r>
          </w:p>
        </w:tc>
        <w:tc>
          <w:tcPr>
            <w:tcW w:w="1453" w:type="dxa"/>
            <w:vAlign w:val="center"/>
          </w:tcPr>
          <w:p w14:paraId="6FBB9386" w14:textId="77777777" w:rsidR="00017C16" w:rsidRPr="00CB2CB5" w:rsidRDefault="00017C16">
            <w:pPr>
              <w:pStyle w:val="TableParagraph"/>
              <w:ind w:right="44"/>
            </w:pPr>
            <w:r w:rsidRPr="00CB2CB5">
              <w:t>12,729</w:t>
            </w:r>
          </w:p>
        </w:tc>
        <w:tc>
          <w:tcPr>
            <w:tcW w:w="1408" w:type="dxa"/>
            <w:vAlign w:val="center"/>
          </w:tcPr>
          <w:p w14:paraId="0A176662" w14:textId="77777777" w:rsidR="00017C16" w:rsidRPr="00CB2CB5" w:rsidRDefault="00017C16">
            <w:pPr>
              <w:pStyle w:val="TableParagraph"/>
              <w:ind w:right="102"/>
            </w:pPr>
            <w:r w:rsidRPr="00CB2CB5">
              <w:t>$2,942,309</w:t>
            </w:r>
          </w:p>
        </w:tc>
        <w:tc>
          <w:tcPr>
            <w:tcW w:w="1407" w:type="dxa"/>
            <w:vAlign w:val="center"/>
          </w:tcPr>
          <w:p w14:paraId="3EBF63E4" w14:textId="77777777" w:rsidR="00017C16" w:rsidRPr="00CB2CB5" w:rsidRDefault="00017C16">
            <w:pPr>
              <w:pStyle w:val="TableParagraph"/>
              <w:ind w:right="109"/>
            </w:pPr>
            <w:r w:rsidRPr="00CB2CB5">
              <w:t>$1,508,575</w:t>
            </w:r>
          </w:p>
        </w:tc>
        <w:tc>
          <w:tcPr>
            <w:tcW w:w="1408" w:type="dxa"/>
            <w:vAlign w:val="center"/>
          </w:tcPr>
          <w:p w14:paraId="4F67F4B3" w14:textId="77777777" w:rsidR="00017C16" w:rsidRPr="00CB2CB5" w:rsidRDefault="00017C16">
            <w:pPr>
              <w:pStyle w:val="TableParagraph"/>
              <w:ind w:right="128"/>
            </w:pPr>
            <w:r w:rsidRPr="00CB2CB5">
              <w:t>$4,450,884</w:t>
            </w:r>
          </w:p>
        </w:tc>
      </w:tr>
      <w:tr w:rsidR="00017C16" w:rsidRPr="00CB2CB5" w14:paraId="1677B9F1" w14:textId="77777777" w:rsidTr="00691544">
        <w:trPr>
          <w:trHeight w:val="432"/>
        </w:trPr>
        <w:tc>
          <w:tcPr>
            <w:tcW w:w="1407" w:type="dxa"/>
            <w:vAlign w:val="center"/>
          </w:tcPr>
          <w:p w14:paraId="7F46ED4D" w14:textId="756E92B6" w:rsidR="00017C16" w:rsidRPr="00CB2CB5" w:rsidRDefault="00017C16">
            <w:pPr>
              <w:pStyle w:val="TableParagraph"/>
              <w:tabs>
                <w:tab w:val="left" w:pos="113"/>
              </w:tabs>
              <w:ind w:left="185" w:hanging="90"/>
            </w:pPr>
            <w:r w:rsidRPr="00CB2CB5">
              <w:rPr>
                <w:color w:val="auto"/>
                <w:szCs w:val="22"/>
              </w:rPr>
              <w:t>2018</w:t>
            </w:r>
            <w:r w:rsidR="003A5B15" w:rsidRPr="003A5B15">
              <w:rPr>
                <w:color w:val="auto"/>
                <w:szCs w:val="22"/>
              </w:rPr>
              <w:t>♦</w:t>
            </w:r>
          </w:p>
        </w:tc>
        <w:tc>
          <w:tcPr>
            <w:tcW w:w="1407" w:type="dxa"/>
            <w:vAlign w:val="center"/>
          </w:tcPr>
          <w:p w14:paraId="5F0A9B15" w14:textId="3A4D5F08" w:rsidR="00017C16" w:rsidRPr="00CB2CB5" w:rsidRDefault="00E03B81" w:rsidP="00691544">
            <w:pPr>
              <w:pStyle w:val="TableParagraph"/>
              <w:ind w:right="121"/>
              <w:rPr>
                <w:color w:val="auto"/>
              </w:rPr>
            </w:pPr>
            <w:r>
              <w:rPr>
                <w:color w:val="auto"/>
              </w:rPr>
              <w:t>163,177</w:t>
            </w:r>
          </w:p>
        </w:tc>
        <w:tc>
          <w:tcPr>
            <w:tcW w:w="1408" w:type="dxa"/>
            <w:vAlign w:val="center"/>
          </w:tcPr>
          <w:p w14:paraId="34EC5510" w14:textId="45439B95" w:rsidR="00017C16" w:rsidRPr="00CB2CB5" w:rsidRDefault="00E03B81">
            <w:pPr>
              <w:pStyle w:val="TableParagraph"/>
              <w:ind w:left="71" w:right="77"/>
            </w:pPr>
            <w:r>
              <w:t>3.664</w:t>
            </w:r>
          </w:p>
        </w:tc>
        <w:tc>
          <w:tcPr>
            <w:tcW w:w="1453" w:type="dxa"/>
            <w:vAlign w:val="center"/>
          </w:tcPr>
          <w:p w14:paraId="698817E2" w14:textId="4DB48FA0" w:rsidR="00017C16" w:rsidRPr="00CB2CB5" w:rsidRDefault="00E03B81">
            <w:pPr>
              <w:pStyle w:val="TableParagraph"/>
              <w:ind w:right="44"/>
            </w:pPr>
            <w:r>
              <w:t>17,217</w:t>
            </w:r>
          </w:p>
        </w:tc>
        <w:tc>
          <w:tcPr>
            <w:tcW w:w="1408" w:type="dxa"/>
            <w:vAlign w:val="center"/>
          </w:tcPr>
          <w:p w14:paraId="25092779" w14:textId="22F6C791" w:rsidR="00017C16" w:rsidRPr="00CB2CB5" w:rsidRDefault="00017C16">
            <w:pPr>
              <w:pStyle w:val="TableParagraph"/>
              <w:ind w:right="102"/>
            </w:pPr>
            <w:r w:rsidRPr="00CB2CB5">
              <w:t>$</w:t>
            </w:r>
            <w:r w:rsidR="00E03B81">
              <w:t>3,183,759</w:t>
            </w:r>
          </w:p>
        </w:tc>
        <w:tc>
          <w:tcPr>
            <w:tcW w:w="1407" w:type="dxa"/>
            <w:vAlign w:val="center"/>
          </w:tcPr>
          <w:p w14:paraId="6B3C15C9" w14:textId="7052C25D" w:rsidR="00017C16" w:rsidRPr="00CB2CB5" w:rsidRDefault="00017C16">
            <w:pPr>
              <w:pStyle w:val="TableParagraph"/>
              <w:ind w:right="109"/>
            </w:pPr>
            <w:r w:rsidRPr="00CB2CB5">
              <w:t>$</w:t>
            </w:r>
            <w:r w:rsidR="00E03B81">
              <w:t>1,882,557</w:t>
            </w:r>
          </w:p>
        </w:tc>
        <w:tc>
          <w:tcPr>
            <w:tcW w:w="1408" w:type="dxa"/>
            <w:vAlign w:val="center"/>
          </w:tcPr>
          <w:p w14:paraId="7B1CAF23" w14:textId="31F76EEF" w:rsidR="00017C16" w:rsidRPr="00CB2CB5" w:rsidRDefault="00017C16">
            <w:pPr>
              <w:pStyle w:val="TableParagraph"/>
              <w:ind w:right="128"/>
            </w:pPr>
            <w:r w:rsidRPr="00CB2CB5">
              <w:t>$</w:t>
            </w:r>
            <w:r w:rsidR="00E03B81">
              <w:t>5,066,315</w:t>
            </w:r>
          </w:p>
        </w:tc>
      </w:tr>
      <w:tr w:rsidR="00017C16" w:rsidRPr="00CB2CB5" w14:paraId="6F277EE8" w14:textId="77777777" w:rsidTr="00691544">
        <w:trPr>
          <w:trHeight w:val="432"/>
        </w:trPr>
        <w:tc>
          <w:tcPr>
            <w:tcW w:w="1407" w:type="dxa"/>
            <w:vAlign w:val="center"/>
          </w:tcPr>
          <w:p w14:paraId="0A251F81" w14:textId="66959CBC" w:rsidR="00017C16" w:rsidRPr="00CB2CB5" w:rsidRDefault="00017C16">
            <w:pPr>
              <w:pStyle w:val="TableParagraph"/>
              <w:tabs>
                <w:tab w:val="left" w:pos="113"/>
              </w:tabs>
              <w:ind w:left="185" w:hanging="90"/>
            </w:pPr>
            <w:r w:rsidRPr="00CB2CB5">
              <w:rPr>
                <w:color w:val="auto"/>
                <w:szCs w:val="22"/>
              </w:rPr>
              <w:t>2019</w:t>
            </w:r>
            <w:r w:rsidR="003A5B15" w:rsidRPr="003A5B15">
              <w:rPr>
                <w:color w:val="auto"/>
                <w:szCs w:val="22"/>
              </w:rPr>
              <w:t>♦</w:t>
            </w:r>
          </w:p>
        </w:tc>
        <w:tc>
          <w:tcPr>
            <w:tcW w:w="1407" w:type="dxa"/>
            <w:vAlign w:val="center"/>
          </w:tcPr>
          <w:p w14:paraId="4D36603E" w14:textId="7C67981E" w:rsidR="00017C16" w:rsidRPr="00CB2CB5" w:rsidRDefault="00E03B81" w:rsidP="00691544">
            <w:pPr>
              <w:pStyle w:val="TableParagraph"/>
              <w:ind w:right="121"/>
            </w:pPr>
            <w:r>
              <w:rPr>
                <w:color w:val="auto"/>
                <w:szCs w:val="22"/>
              </w:rPr>
              <w:t>210,695</w:t>
            </w:r>
          </w:p>
        </w:tc>
        <w:tc>
          <w:tcPr>
            <w:tcW w:w="1408" w:type="dxa"/>
            <w:vAlign w:val="center"/>
          </w:tcPr>
          <w:p w14:paraId="3A171632" w14:textId="2D43BA2D" w:rsidR="00017C16" w:rsidRPr="00CB2CB5" w:rsidRDefault="00E03B81">
            <w:pPr>
              <w:pStyle w:val="TableParagraph"/>
              <w:ind w:left="71" w:right="77"/>
            </w:pPr>
            <w:r>
              <w:rPr>
                <w:color w:val="auto"/>
                <w:szCs w:val="22"/>
              </w:rPr>
              <w:t>4.892</w:t>
            </w:r>
          </w:p>
        </w:tc>
        <w:tc>
          <w:tcPr>
            <w:tcW w:w="1453" w:type="dxa"/>
            <w:vAlign w:val="center"/>
          </w:tcPr>
          <w:p w14:paraId="22BB56AE" w14:textId="1A4A0CD1" w:rsidR="00017C16" w:rsidRPr="00CB2CB5" w:rsidRDefault="00E03B81">
            <w:pPr>
              <w:pStyle w:val="TableParagraph"/>
              <w:ind w:right="44"/>
            </w:pPr>
            <w:r>
              <w:rPr>
                <w:color w:val="auto"/>
                <w:szCs w:val="22"/>
              </w:rPr>
              <w:t>16,549</w:t>
            </w:r>
          </w:p>
        </w:tc>
        <w:tc>
          <w:tcPr>
            <w:tcW w:w="1408" w:type="dxa"/>
            <w:vAlign w:val="center"/>
          </w:tcPr>
          <w:p w14:paraId="07F914E0" w14:textId="25DA77CF" w:rsidR="00017C16" w:rsidRPr="00CB2CB5" w:rsidRDefault="00017C16">
            <w:pPr>
              <w:pStyle w:val="TableParagraph"/>
              <w:ind w:right="102"/>
            </w:pPr>
            <w:r w:rsidRPr="00CB2CB5">
              <w:rPr>
                <w:color w:val="auto"/>
                <w:szCs w:val="22"/>
              </w:rPr>
              <w:t>$</w:t>
            </w:r>
            <w:r w:rsidR="00E03B81">
              <w:rPr>
                <w:color w:val="auto"/>
                <w:szCs w:val="22"/>
              </w:rPr>
              <w:t>3,149,722</w:t>
            </w:r>
          </w:p>
        </w:tc>
        <w:tc>
          <w:tcPr>
            <w:tcW w:w="1407" w:type="dxa"/>
            <w:vAlign w:val="center"/>
          </w:tcPr>
          <w:p w14:paraId="79A289AC" w14:textId="4932F76C" w:rsidR="00017C16" w:rsidRPr="00CB2CB5" w:rsidRDefault="00017C16">
            <w:pPr>
              <w:pStyle w:val="TableParagraph"/>
              <w:ind w:right="109"/>
            </w:pPr>
            <w:r w:rsidRPr="00CB2CB5">
              <w:rPr>
                <w:color w:val="auto"/>
                <w:szCs w:val="22"/>
              </w:rPr>
              <w:t>$</w:t>
            </w:r>
            <w:r w:rsidR="00E03B81">
              <w:rPr>
                <w:color w:val="auto"/>
                <w:szCs w:val="22"/>
              </w:rPr>
              <w:t>1,966,960</w:t>
            </w:r>
          </w:p>
        </w:tc>
        <w:tc>
          <w:tcPr>
            <w:tcW w:w="1408" w:type="dxa"/>
            <w:vAlign w:val="center"/>
          </w:tcPr>
          <w:p w14:paraId="6B888371" w14:textId="434ABF0E" w:rsidR="00017C16" w:rsidRPr="00CB2CB5" w:rsidRDefault="00017C16">
            <w:pPr>
              <w:pStyle w:val="TableParagraph"/>
              <w:ind w:right="128"/>
            </w:pPr>
            <w:r w:rsidRPr="00CB2CB5">
              <w:rPr>
                <w:color w:val="auto"/>
                <w:szCs w:val="22"/>
              </w:rPr>
              <w:t>$</w:t>
            </w:r>
            <w:r w:rsidR="00E03B81">
              <w:rPr>
                <w:color w:val="auto"/>
                <w:szCs w:val="22"/>
              </w:rPr>
              <w:t>5,116,681</w:t>
            </w:r>
          </w:p>
        </w:tc>
      </w:tr>
      <w:tr w:rsidR="00017C16" w:rsidRPr="00CB2CB5" w14:paraId="21DEAE72" w14:textId="77777777" w:rsidTr="00691544">
        <w:trPr>
          <w:trHeight w:val="432"/>
        </w:trPr>
        <w:tc>
          <w:tcPr>
            <w:tcW w:w="1407" w:type="dxa"/>
            <w:vAlign w:val="center"/>
          </w:tcPr>
          <w:p w14:paraId="593C8A08" w14:textId="43A548E7" w:rsidR="00017C16" w:rsidRPr="00CB2CB5" w:rsidRDefault="00017C16">
            <w:pPr>
              <w:pStyle w:val="TableParagraph"/>
              <w:tabs>
                <w:tab w:val="left" w:pos="113"/>
              </w:tabs>
              <w:ind w:left="185" w:hanging="90"/>
            </w:pPr>
            <w:r w:rsidRPr="00CB2CB5">
              <w:rPr>
                <w:color w:val="auto"/>
                <w:szCs w:val="22"/>
              </w:rPr>
              <w:t>2020</w:t>
            </w:r>
          </w:p>
        </w:tc>
        <w:tc>
          <w:tcPr>
            <w:tcW w:w="1407" w:type="dxa"/>
            <w:vAlign w:val="center"/>
          </w:tcPr>
          <w:p w14:paraId="02884993" w14:textId="2590473E" w:rsidR="00017C16" w:rsidRPr="00CB2CB5" w:rsidRDefault="00E03B81" w:rsidP="00691544">
            <w:pPr>
              <w:pStyle w:val="TableParagraph"/>
              <w:ind w:right="121"/>
            </w:pPr>
            <w:r>
              <w:rPr>
                <w:color w:val="auto"/>
                <w:szCs w:val="22"/>
              </w:rPr>
              <w:t>66,303</w:t>
            </w:r>
          </w:p>
        </w:tc>
        <w:tc>
          <w:tcPr>
            <w:tcW w:w="1408" w:type="dxa"/>
            <w:vAlign w:val="center"/>
          </w:tcPr>
          <w:p w14:paraId="417B38C3" w14:textId="2B09D01E" w:rsidR="00017C16" w:rsidRPr="00CB2CB5" w:rsidRDefault="00E03B81">
            <w:pPr>
              <w:pStyle w:val="TableParagraph"/>
              <w:ind w:left="71" w:right="77"/>
            </w:pPr>
            <w:r>
              <w:rPr>
                <w:color w:val="auto"/>
                <w:szCs w:val="22"/>
              </w:rPr>
              <w:t>7.032</w:t>
            </w:r>
          </w:p>
        </w:tc>
        <w:tc>
          <w:tcPr>
            <w:tcW w:w="1453" w:type="dxa"/>
            <w:vAlign w:val="center"/>
          </w:tcPr>
          <w:p w14:paraId="2F3D58B3" w14:textId="3281EA63" w:rsidR="00017C16" w:rsidRPr="00CB2CB5" w:rsidRDefault="00E03B81">
            <w:pPr>
              <w:pStyle w:val="TableParagraph"/>
              <w:ind w:right="44"/>
            </w:pPr>
            <w:r>
              <w:rPr>
                <w:color w:val="auto"/>
                <w:szCs w:val="22"/>
              </w:rPr>
              <w:t>22,166</w:t>
            </w:r>
          </w:p>
        </w:tc>
        <w:tc>
          <w:tcPr>
            <w:tcW w:w="1408" w:type="dxa"/>
            <w:vAlign w:val="center"/>
          </w:tcPr>
          <w:p w14:paraId="5F809CEC" w14:textId="3D09A97D" w:rsidR="00017C16" w:rsidRPr="00CB2CB5" w:rsidRDefault="00017C16">
            <w:pPr>
              <w:pStyle w:val="TableParagraph"/>
              <w:ind w:right="102"/>
            </w:pPr>
            <w:r w:rsidRPr="00CB2CB5">
              <w:rPr>
                <w:color w:val="auto"/>
                <w:szCs w:val="22"/>
              </w:rPr>
              <w:t>$</w:t>
            </w:r>
            <w:r w:rsidR="00E03B81">
              <w:rPr>
                <w:color w:val="auto"/>
                <w:szCs w:val="22"/>
              </w:rPr>
              <w:t>3,156,200</w:t>
            </w:r>
          </w:p>
        </w:tc>
        <w:tc>
          <w:tcPr>
            <w:tcW w:w="1407" w:type="dxa"/>
            <w:vAlign w:val="center"/>
          </w:tcPr>
          <w:p w14:paraId="6410F807" w14:textId="36B7EBDD" w:rsidR="00017C16" w:rsidRPr="00CB2CB5" w:rsidRDefault="00017C16">
            <w:pPr>
              <w:pStyle w:val="TableParagraph"/>
              <w:ind w:right="109"/>
            </w:pPr>
            <w:r w:rsidRPr="00CB2CB5">
              <w:rPr>
                <w:color w:val="auto"/>
                <w:szCs w:val="22"/>
              </w:rPr>
              <w:t>$</w:t>
            </w:r>
            <w:r w:rsidR="00E03B81">
              <w:rPr>
                <w:color w:val="auto"/>
                <w:szCs w:val="22"/>
              </w:rPr>
              <w:t>1,765,885</w:t>
            </w:r>
          </w:p>
        </w:tc>
        <w:tc>
          <w:tcPr>
            <w:tcW w:w="1408" w:type="dxa"/>
            <w:vAlign w:val="center"/>
          </w:tcPr>
          <w:p w14:paraId="7A080CC4" w14:textId="48E053C1" w:rsidR="00017C16" w:rsidRPr="00CB2CB5" w:rsidRDefault="00017C16">
            <w:pPr>
              <w:pStyle w:val="TableParagraph"/>
              <w:ind w:right="128"/>
            </w:pPr>
            <w:r w:rsidRPr="00CB2CB5">
              <w:rPr>
                <w:color w:val="auto"/>
                <w:szCs w:val="22"/>
              </w:rPr>
              <w:t>$</w:t>
            </w:r>
            <w:r w:rsidR="00E03B81">
              <w:rPr>
                <w:color w:val="auto"/>
                <w:szCs w:val="22"/>
              </w:rPr>
              <w:t>4,922,085</w:t>
            </w:r>
          </w:p>
        </w:tc>
      </w:tr>
      <w:tr w:rsidR="00017C16" w:rsidRPr="00CB2CB5" w14:paraId="1F2395E0" w14:textId="77777777" w:rsidTr="00691544">
        <w:trPr>
          <w:trHeight w:val="432"/>
        </w:trPr>
        <w:tc>
          <w:tcPr>
            <w:tcW w:w="1407" w:type="dxa"/>
            <w:vAlign w:val="center"/>
          </w:tcPr>
          <w:p w14:paraId="76D70CF9" w14:textId="77777777" w:rsidR="00017C16" w:rsidRPr="00CB2CB5" w:rsidRDefault="00017C16">
            <w:pPr>
              <w:pStyle w:val="TableParagraph"/>
              <w:tabs>
                <w:tab w:val="left" w:pos="113"/>
              </w:tabs>
              <w:ind w:left="185" w:hanging="90"/>
            </w:pPr>
            <w:r w:rsidRPr="00CB2CB5">
              <w:rPr>
                <w:color w:val="auto"/>
                <w:szCs w:val="22"/>
              </w:rPr>
              <w:t>2021</w:t>
            </w:r>
          </w:p>
        </w:tc>
        <w:tc>
          <w:tcPr>
            <w:tcW w:w="1407" w:type="dxa"/>
            <w:vAlign w:val="center"/>
          </w:tcPr>
          <w:p w14:paraId="3319AA30" w14:textId="77777777" w:rsidR="00017C16" w:rsidRPr="00CB2CB5" w:rsidRDefault="00017C16" w:rsidP="00691544">
            <w:pPr>
              <w:pStyle w:val="TableParagraph"/>
              <w:ind w:right="121"/>
            </w:pPr>
            <w:r w:rsidRPr="00CB2CB5">
              <w:rPr>
                <w:color w:val="auto"/>
                <w:szCs w:val="22"/>
              </w:rPr>
              <w:t>48,852</w:t>
            </w:r>
          </w:p>
        </w:tc>
        <w:tc>
          <w:tcPr>
            <w:tcW w:w="1408" w:type="dxa"/>
            <w:vAlign w:val="center"/>
          </w:tcPr>
          <w:p w14:paraId="7AA2C57B" w14:textId="77777777" w:rsidR="00017C16" w:rsidRPr="00CB2CB5" w:rsidRDefault="00017C16">
            <w:pPr>
              <w:pStyle w:val="TableParagraph"/>
              <w:ind w:left="71" w:right="77"/>
            </w:pPr>
            <w:r w:rsidRPr="00CB2CB5">
              <w:rPr>
                <w:color w:val="auto"/>
                <w:szCs w:val="22"/>
              </w:rPr>
              <w:t>7.959</w:t>
            </w:r>
          </w:p>
        </w:tc>
        <w:tc>
          <w:tcPr>
            <w:tcW w:w="1453" w:type="dxa"/>
            <w:vAlign w:val="center"/>
          </w:tcPr>
          <w:p w14:paraId="517EFBEA" w14:textId="77777777" w:rsidR="00017C16" w:rsidRPr="00CB2CB5" w:rsidRDefault="00017C16">
            <w:pPr>
              <w:pStyle w:val="TableParagraph"/>
              <w:ind w:right="44"/>
            </w:pPr>
            <w:r w:rsidRPr="00CB2CB5">
              <w:rPr>
                <w:color w:val="auto"/>
                <w:szCs w:val="22"/>
              </w:rPr>
              <w:t>14,405</w:t>
            </w:r>
          </w:p>
        </w:tc>
        <w:tc>
          <w:tcPr>
            <w:tcW w:w="1408" w:type="dxa"/>
            <w:vAlign w:val="center"/>
          </w:tcPr>
          <w:p w14:paraId="0F932025" w14:textId="77777777" w:rsidR="00017C16" w:rsidRPr="00CB2CB5" w:rsidRDefault="00017C16">
            <w:pPr>
              <w:pStyle w:val="TableParagraph"/>
              <w:ind w:right="102"/>
            </w:pPr>
            <w:r w:rsidRPr="00CB2CB5">
              <w:rPr>
                <w:color w:val="auto"/>
                <w:szCs w:val="22"/>
              </w:rPr>
              <w:t>$3,180,466</w:t>
            </w:r>
          </w:p>
        </w:tc>
        <w:tc>
          <w:tcPr>
            <w:tcW w:w="1407" w:type="dxa"/>
            <w:vAlign w:val="center"/>
          </w:tcPr>
          <w:p w14:paraId="1A44E0A5" w14:textId="77777777" w:rsidR="00017C16" w:rsidRPr="00CB2CB5" w:rsidRDefault="00017C16">
            <w:pPr>
              <w:pStyle w:val="TableParagraph"/>
              <w:ind w:right="109"/>
            </w:pPr>
            <w:r w:rsidRPr="00CB2CB5">
              <w:rPr>
                <w:color w:val="auto"/>
                <w:szCs w:val="22"/>
              </w:rPr>
              <w:t>$1,933,180</w:t>
            </w:r>
          </w:p>
        </w:tc>
        <w:tc>
          <w:tcPr>
            <w:tcW w:w="1408" w:type="dxa"/>
            <w:vAlign w:val="center"/>
          </w:tcPr>
          <w:p w14:paraId="5F6ACC11" w14:textId="77777777" w:rsidR="00017C16" w:rsidRPr="00CB2CB5" w:rsidRDefault="00017C16">
            <w:pPr>
              <w:pStyle w:val="TableParagraph"/>
              <w:ind w:right="128"/>
            </w:pPr>
            <w:r w:rsidRPr="00CB2CB5">
              <w:rPr>
                <w:color w:val="auto"/>
                <w:szCs w:val="22"/>
              </w:rPr>
              <w:t>$5,113,646</w:t>
            </w:r>
          </w:p>
        </w:tc>
      </w:tr>
    </w:tbl>
    <w:p w14:paraId="333962DB" w14:textId="77777777" w:rsidR="00017C16" w:rsidRPr="00CB2CB5" w:rsidRDefault="00017C16" w:rsidP="00B92A5E">
      <w:pPr>
        <w:pStyle w:val="ListParagraph"/>
        <w:tabs>
          <w:tab w:val="left" w:pos="358"/>
        </w:tabs>
        <w:spacing w:after="0" w:line="276" w:lineRule="auto"/>
        <w:ind w:left="0"/>
        <w:contextualSpacing w:val="0"/>
        <w:rPr>
          <w:rFonts w:ascii="Times New Roman" w:hAnsi="Times New Roman"/>
          <w:sz w:val="24"/>
        </w:rPr>
      </w:pPr>
    </w:p>
    <w:p w14:paraId="72BCEB69" w14:textId="77777777" w:rsidR="00017C16" w:rsidRPr="00CB2CB5" w:rsidRDefault="00017C16" w:rsidP="00B92A5E">
      <w:pPr>
        <w:pStyle w:val="ListParagraph"/>
        <w:widowControl w:val="0"/>
        <w:numPr>
          <w:ilvl w:val="0"/>
          <w:numId w:val="9"/>
        </w:numPr>
        <w:autoSpaceDE w:val="0"/>
        <w:autoSpaceDN w:val="0"/>
        <w:spacing w:after="0" w:line="276" w:lineRule="auto"/>
        <w:ind w:left="360" w:right="90"/>
        <w:contextualSpacing w:val="0"/>
        <w:jc w:val="both"/>
        <w:rPr>
          <w:rFonts w:ascii="Times New Roman" w:hAnsi="Times New Roman"/>
          <w:spacing w:val="-2"/>
          <w:sz w:val="24"/>
          <w:szCs w:val="16"/>
        </w:rPr>
      </w:pPr>
      <w:r w:rsidRPr="00CB2CB5">
        <w:rPr>
          <w:rFonts w:ascii="Times New Roman" w:hAnsi="Times New Roman"/>
          <w:spacing w:val="-2"/>
          <w:sz w:val="24"/>
          <w:szCs w:val="16"/>
        </w:rPr>
        <w:t xml:space="preserve">Includes Third Party Costs, Promotion Costs, Program Development Costs, and </w:t>
      </w:r>
      <w:proofErr w:type="spellStart"/>
      <w:r w:rsidRPr="00CB2CB5">
        <w:rPr>
          <w:rFonts w:ascii="Times New Roman" w:hAnsi="Times New Roman"/>
          <w:spacing w:val="-2"/>
          <w:sz w:val="24"/>
          <w:szCs w:val="16"/>
        </w:rPr>
        <w:t>EM&amp;V</w:t>
      </w:r>
      <w:proofErr w:type="spellEnd"/>
      <w:r w:rsidRPr="00CB2CB5">
        <w:rPr>
          <w:rFonts w:ascii="Times New Roman" w:hAnsi="Times New Roman"/>
          <w:spacing w:val="-2"/>
          <w:sz w:val="24"/>
          <w:szCs w:val="16"/>
        </w:rPr>
        <w:t xml:space="preserve"> Costs</w:t>
      </w:r>
    </w:p>
    <w:p w14:paraId="54A000BF" w14:textId="77777777" w:rsidR="00017C16" w:rsidRPr="00CB2CB5" w:rsidRDefault="00017C16" w:rsidP="00607291">
      <w:pPr>
        <w:pStyle w:val="ListParagraph"/>
        <w:widowControl w:val="0"/>
        <w:autoSpaceDE w:val="0"/>
        <w:autoSpaceDN w:val="0"/>
        <w:spacing w:after="0" w:line="276" w:lineRule="auto"/>
        <w:ind w:left="360" w:right="173" w:hanging="360"/>
        <w:rPr>
          <w:rFonts w:ascii="Times New Roman" w:hAnsi="Times New Roman"/>
          <w:sz w:val="24"/>
          <w:szCs w:val="16"/>
        </w:rPr>
      </w:pPr>
      <w:r w:rsidRPr="00CB2CB5">
        <w:rPr>
          <w:rFonts w:ascii="Times New Roman" w:hAnsi="Times New Roman"/>
          <w:sz w:val="24"/>
          <w:szCs w:val="16"/>
        </w:rPr>
        <w:t>♦</w:t>
      </w:r>
      <w:r w:rsidRPr="00CB2CB5">
        <w:rPr>
          <w:rFonts w:ascii="Times New Roman" w:hAnsi="Times New Roman"/>
          <w:sz w:val="24"/>
          <w:szCs w:val="16"/>
        </w:rPr>
        <w:tab/>
        <w:t xml:space="preserve">Verified by Commission approved statewide </w:t>
      </w:r>
      <w:proofErr w:type="spellStart"/>
      <w:r w:rsidRPr="00CB2CB5">
        <w:rPr>
          <w:rFonts w:ascii="Times New Roman" w:hAnsi="Times New Roman"/>
          <w:sz w:val="24"/>
          <w:szCs w:val="16"/>
        </w:rPr>
        <w:t>EM&amp;V</w:t>
      </w:r>
      <w:proofErr w:type="spellEnd"/>
      <w:r w:rsidRPr="00CB2CB5">
        <w:rPr>
          <w:rFonts w:ascii="Times New Roman" w:hAnsi="Times New Roman"/>
          <w:sz w:val="24"/>
          <w:szCs w:val="16"/>
        </w:rPr>
        <w:t xml:space="preserve"> contractor</w:t>
      </w:r>
    </w:p>
    <w:p w14:paraId="194984EB" w14:textId="77777777" w:rsidR="00017C16" w:rsidRPr="00CB2CB5" w:rsidRDefault="00017C16" w:rsidP="00607291">
      <w:pPr>
        <w:widowControl w:val="0"/>
        <w:autoSpaceDE w:val="0"/>
        <w:autoSpaceDN w:val="0"/>
        <w:spacing w:line="276" w:lineRule="auto"/>
        <w:ind w:right="173"/>
        <w:rPr>
          <w:rFonts w:eastAsia="Times New Roman"/>
        </w:rPr>
      </w:pPr>
    </w:p>
    <w:p w14:paraId="347CE391" w14:textId="67FDBF8B" w:rsidR="00017C16" w:rsidRPr="00CB2CB5" w:rsidRDefault="00017C16" w:rsidP="008759DE">
      <w:pPr>
        <w:pStyle w:val="ListParagraph"/>
        <w:widowControl w:val="0"/>
        <w:numPr>
          <w:ilvl w:val="3"/>
          <w:numId w:val="1"/>
        </w:numPr>
        <w:autoSpaceDE w:val="0"/>
        <w:autoSpaceDN w:val="0"/>
        <w:spacing w:after="0" w:line="276" w:lineRule="auto"/>
        <w:ind w:left="1440" w:right="168" w:hanging="360"/>
        <w:contextualSpacing w:val="0"/>
        <w:rPr>
          <w:rFonts w:ascii="Times New Roman" w:eastAsia="Times New Roman" w:hAnsi="Times New Roman"/>
          <w:b/>
          <w:sz w:val="24"/>
        </w:rPr>
      </w:pPr>
      <w:r w:rsidRPr="00CB2CB5">
        <w:rPr>
          <w:rFonts w:ascii="Times New Roman" w:eastAsia="Times New Roman" w:hAnsi="Times New Roman"/>
          <w:b/>
          <w:sz w:val="24"/>
        </w:rPr>
        <w:t>Texas Energy Efficiency Programs</w:t>
      </w:r>
    </w:p>
    <w:p w14:paraId="3633145B" w14:textId="77777777" w:rsidR="00017C16" w:rsidRPr="00CB2CB5" w:rsidRDefault="00017C16" w:rsidP="008759DE">
      <w:pPr>
        <w:widowControl w:val="0"/>
        <w:autoSpaceDE w:val="0"/>
        <w:autoSpaceDN w:val="0"/>
        <w:spacing w:line="276" w:lineRule="auto"/>
        <w:ind w:left="1080" w:right="168"/>
        <w:rPr>
          <w:rFonts w:eastAsia="Times New Roman"/>
        </w:rPr>
      </w:pPr>
    </w:p>
    <w:p w14:paraId="60A0C95D" w14:textId="0C944361" w:rsidR="00017C16" w:rsidRPr="00CB2CB5" w:rsidRDefault="00017C16" w:rsidP="008759DE">
      <w:pPr>
        <w:widowControl w:val="0"/>
        <w:autoSpaceDE w:val="0"/>
        <w:autoSpaceDN w:val="0"/>
        <w:spacing w:line="276" w:lineRule="auto"/>
        <w:ind w:left="1080" w:right="167"/>
        <w:rPr>
          <w:rFonts w:eastAsia="Times New Roman"/>
        </w:rPr>
      </w:pPr>
      <w:r w:rsidRPr="00CB2CB5">
        <w:rPr>
          <w:rFonts w:eastAsia="Times New Roman"/>
        </w:rPr>
        <w:t xml:space="preserve">EPE has offered EE programs in its Texas service territory since 1999.  EPE's Texas jurisdictional programs require a minimum annual demand reduction, as well as an associated minimum energy reduction based on a 20% capacity factor.  In the Final Order of the PUCT Docket No. </w:t>
      </w:r>
      <w:r w:rsidR="00E03B81">
        <w:rPr>
          <w:rFonts w:eastAsia="Times New Roman"/>
        </w:rPr>
        <w:t>50806</w:t>
      </w:r>
      <w:r w:rsidRPr="00CB2CB5">
        <w:rPr>
          <w:rFonts w:eastAsia="Times New Roman"/>
        </w:rPr>
        <w:t>, EPE</w:t>
      </w:r>
      <w:r w:rsidR="00B81EE4" w:rsidRPr="00CB2CB5">
        <w:rPr>
          <w:rFonts w:eastAsia="Times New Roman"/>
        </w:rPr>
        <w:t>'</w:t>
      </w:r>
      <w:r w:rsidRPr="00CB2CB5">
        <w:rPr>
          <w:rFonts w:eastAsia="Times New Roman"/>
        </w:rPr>
        <w:t xml:space="preserve">s annual demand reduction goal for </w:t>
      </w:r>
      <w:r w:rsidR="00E03B81">
        <w:rPr>
          <w:rFonts w:eastAsia="Times New Roman"/>
        </w:rPr>
        <w:t>2020</w:t>
      </w:r>
      <w:r w:rsidR="00E03B81" w:rsidRPr="00CB2CB5">
        <w:rPr>
          <w:rFonts w:eastAsia="Times New Roman"/>
        </w:rPr>
        <w:t xml:space="preserve"> </w:t>
      </w:r>
      <w:r w:rsidRPr="00CB2CB5">
        <w:rPr>
          <w:rFonts w:eastAsia="Times New Roman"/>
        </w:rPr>
        <w:t>was 11.16</w:t>
      </w:r>
      <w:r w:rsidR="00E03B81">
        <w:rPr>
          <w:rFonts w:eastAsia="Times New Roman"/>
        </w:rPr>
        <w:t xml:space="preserve"> </w:t>
      </w:r>
      <w:r w:rsidRPr="00CB2CB5">
        <w:rPr>
          <w:rFonts w:eastAsia="Times New Roman"/>
        </w:rPr>
        <w:t xml:space="preserve">MW and its energy savings goal was 19,552 MWh.  EPE achieved a demand reduction of </w:t>
      </w:r>
      <w:r w:rsidR="00E03B81">
        <w:rPr>
          <w:rFonts w:eastAsia="Times New Roman"/>
        </w:rPr>
        <w:t xml:space="preserve">20.74 </w:t>
      </w:r>
      <w:r w:rsidRPr="00CB2CB5">
        <w:rPr>
          <w:rFonts w:eastAsia="Times New Roman"/>
        </w:rPr>
        <w:t xml:space="preserve">MW, which exceeded the demand goal by </w:t>
      </w:r>
      <w:r w:rsidR="00E03B81">
        <w:rPr>
          <w:rFonts w:eastAsia="Times New Roman"/>
        </w:rPr>
        <w:t>85.84</w:t>
      </w:r>
      <w:r w:rsidRPr="00CB2CB5">
        <w:rPr>
          <w:rFonts w:eastAsia="Times New Roman"/>
        </w:rPr>
        <w:t xml:space="preserve">%, and an energy reduction of </w:t>
      </w:r>
      <w:r w:rsidR="003A5B15">
        <w:rPr>
          <w:rFonts w:eastAsia="Times New Roman"/>
        </w:rPr>
        <w:t>30,670</w:t>
      </w:r>
      <w:r w:rsidRPr="00CB2CB5">
        <w:rPr>
          <w:rFonts w:eastAsia="Times New Roman"/>
        </w:rPr>
        <w:t xml:space="preserve"> MWh, which exceeded the energy goal by </w:t>
      </w:r>
      <w:r w:rsidR="003A5B15">
        <w:rPr>
          <w:rFonts w:eastAsia="Times New Roman"/>
        </w:rPr>
        <w:t>56.86</w:t>
      </w:r>
      <w:r w:rsidRPr="00CB2CB5">
        <w:rPr>
          <w:rFonts w:eastAsia="Times New Roman"/>
        </w:rPr>
        <w:t xml:space="preserve">%. </w:t>
      </w:r>
      <w:r w:rsidR="00444AB9" w:rsidRPr="00CB2CB5">
        <w:rPr>
          <w:rFonts w:eastAsia="Times New Roman"/>
        </w:rPr>
        <w:t xml:space="preserve"> </w:t>
      </w:r>
      <w:r w:rsidRPr="00CB2CB5">
        <w:rPr>
          <w:rFonts w:eastAsia="Times New Roman"/>
        </w:rPr>
        <w:t xml:space="preserve">Currently, EPE offers </w:t>
      </w:r>
      <w:r w:rsidR="0052115A">
        <w:rPr>
          <w:rFonts w:eastAsia="Times New Roman"/>
        </w:rPr>
        <w:t>five</w:t>
      </w:r>
      <w:r w:rsidR="0052115A" w:rsidRPr="00CB2CB5">
        <w:rPr>
          <w:rFonts w:eastAsia="Times New Roman"/>
        </w:rPr>
        <w:t xml:space="preserve"> </w:t>
      </w:r>
      <w:r w:rsidRPr="00CB2CB5">
        <w:rPr>
          <w:rFonts w:eastAsia="Times New Roman"/>
        </w:rPr>
        <w:t xml:space="preserve">residential and </w:t>
      </w:r>
      <w:r w:rsidR="00973E97">
        <w:rPr>
          <w:rFonts w:eastAsia="Times New Roman"/>
        </w:rPr>
        <w:t>three</w:t>
      </w:r>
      <w:r w:rsidR="003A5B15" w:rsidRPr="00CB2CB5">
        <w:rPr>
          <w:rFonts w:eastAsia="Times New Roman"/>
        </w:rPr>
        <w:t xml:space="preserve"> </w:t>
      </w:r>
      <w:r w:rsidRPr="00CB2CB5">
        <w:rPr>
          <w:rFonts w:eastAsia="Times New Roman"/>
        </w:rPr>
        <w:t xml:space="preserve">commercial </w:t>
      </w:r>
      <w:r w:rsidR="00973E97">
        <w:rPr>
          <w:rFonts w:eastAsia="Times New Roman"/>
        </w:rPr>
        <w:t xml:space="preserve">EE </w:t>
      </w:r>
      <w:r w:rsidRPr="00CB2CB5">
        <w:rPr>
          <w:rFonts w:eastAsia="Times New Roman"/>
        </w:rPr>
        <w:t xml:space="preserve">programs in its Texas service territory.  </w:t>
      </w:r>
    </w:p>
    <w:p w14:paraId="1359DA9E" w14:textId="77777777" w:rsidR="00017C16" w:rsidRPr="00CB2CB5" w:rsidRDefault="00017C16" w:rsidP="008759DE">
      <w:pPr>
        <w:widowControl w:val="0"/>
        <w:autoSpaceDE w:val="0"/>
        <w:autoSpaceDN w:val="0"/>
        <w:spacing w:line="276" w:lineRule="auto"/>
        <w:ind w:left="1080" w:right="169"/>
        <w:rPr>
          <w:rFonts w:eastAsia="Times New Roman"/>
        </w:rPr>
      </w:pPr>
    </w:p>
    <w:p w14:paraId="79248D1A" w14:textId="2D6533DB" w:rsidR="00017C16" w:rsidRPr="00CB2CB5" w:rsidRDefault="00017C16" w:rsidP="008759DE">
      <w:pPr>
        <w:widowControl w:val="0"/>
        <w:autoSpaceDE w:val="0"/>
        <w:autoSpaceDN w:val="0"/>
        <w:spacing w:line="276" w:lineRule="auto"/>
        <w:ind w:left="1080" w:right="167"/>
        <w:rPr>
          <w:rFonts w:eastAsia="Times New Roman"/>
          <w:bCs/>
        </w:rPr>
      </w:pPr>
      <w:r w:rsidRPr="00CB2CB5">
        <w:rPr>
          <w:rFonts w:eastAsia="Times New Roman"/>
          <w:bCs/>
        </w:rPr>
        <w:t xml:space="preserve">Table </w:t>
      </w:r>
      <w:r w:rsidR="00B415AA">
        <w:rPr>
          <w:rFonts w:eastAsia="Times New Roman"/>
          <w:bCs/>
        </w:rPr>
        <w:t>6</w:t>
      </w:r>
      <w:r w:rsidR="00B415AA" w:rsidRPr="00CB2CB5">
        <w:rPr>
          <w:rFonts w:eastAsia="Times New Roman"/>
          <w:bCs/>
        </w:rPr>
        <w:t xml:space="preserve"> </w:t>
      </w:r>
      <w:r w:rsidRPr="00CB2CB5">
        <w:rPr>
          <w:rFonts w:eastAsia="Times New Roman"/>
          <w:bCs/>
        </w:rPr>
        <w:t xml:space="preserve">provides the actual verified demand and energy savings for EPE's Texas EE programs for 2015 through </w:t>
      </w:r>
      <w:r w:rsidR="003A5B15">
        <w:rPr>
          <w:rFonts w:eastAsia="Times New Roman"/>
          <w:bCs/>
        </w:rPr>
        <w:t>2020</w:t>
      </w:r>
      <w:r w:rsidR="003A5B15" w:rsidRPr="00CB2CB5">
        <w:rPr>
          <w:rFonts w:eastAsia="Times New Roman"/>
          <w:bCs/>
        </w:rPr>
        <w:t xml:space="preserve"> </w:t>
      </w:r>
      <w:r w:rsidRPr="00CB2CB5">
        <w:rPr>
          <w:rFonts w:eastAsia="Times New Roman"/>
          <w:bCs/>
        </w:rPr>
        <w:t xml:space="preserve">and provides the projections for </w:t>
      </w:r>
      <w:r w:rsidR="003A5B15" w:rsidRPr="00CB2CB5">
        <w:rPr>
          <w:rFonts w:eastAsia="Times New Roman"/>
          <w:bCs/>
        </w:rPr>
        <w:t>20</w:t>
      </w:r>
      <w:r w:rsidR="003A5B15">
        <w:rPr>
          <w:rFonts w:eastAsia="Times New Roman"/>
          <w:bCs/>
        </w:rPr>
        <w:t>21</w:t>
      </w:r>
      <w:r w:rsidR="003A5B15" w:rsidRPr="00CB2CB5">
        <w:rPr>
          <w:rFonts w:eastAsia="Times New Roman"/>
          <w:bCs/>
        </w:rPr>
        <w:t xml:space="preserve"> </w:t>
      </w:r>
      <w:r w:rsidRPr="00CB2CB5">
        <w:rPr>
          <w:rFonts w:eastAsia="Times New Roman"/>
          <w:bCs/>
        </w:rPr>
        <w:t xml:space="preserve">and </w:t>
      </w:r>
      <w:r w:rsidR="003A5B15" w:rsidRPr="00CB2CB5">
        <w:rPr>
          <w:rFonts w:eastAsia="Times New Roman"/>
          <w:bCs/>
        </w:rPr>
        <w:t>20</w:t>
      </w:r>
      <w:r w:rsidR="003A5B15">
        <w:rPr>
          <w:rFonts w:eastAsia="Times New Roman"/>
          <w:bCs/>
        </w:rPr>
        <w:t>22</w:t>
      </w:r>
      <w:r w:rsidRPr="00CB2CB5">
        <w:rPr>
          <w:rFonts w:eastAsia="Times New Roman"/>
          <w:bCs/>
        </w:rPr>
        <w:t xml:space="preserve">. The </w:t>
      </w:r>
      <w:r w:rsidR="003A5B15" w:rsidRPr="00CB2CB5">
        <w:rPr>
          <w:rFonts w:eastAsia="Times New Roman"/>
          <w:bCs/>
        </w:rPr>
        <w:lastRenderedPageBreak/>
        <w:t>20</w:t>
      </w:r>
      <w:r w:rsidR="003A5B15">
        <w:rPr>
          <w:rFonts w:eastAsia="Times New Roman"/>
          <w:bCs/>
        </w:rPr>
        <w:t>21</w:t>
      </w:r>
      <w:r w:rsidR="003A5B15" w:rsidRPr="00CB2CB5">
        <w:rPr>
          <w:rFonts w:eastAsia="Times New Roman"/>
          <w:bCs/>
        </w:rPr>
        <w:t xml:space="preserve"> </w:t>
      </w:r>
      <w:r w:rsidRPr="00CB2CB5">
        <w:rPr>
          <w:rFonts w:eastAsia="Times New Roman"/>
          <w:bCs/>
        </w:rPr>
        <w:t xml:space="preserve">and </w:t>
      </w:r>
      <w:r w:rsidR="003A5B15" w:rsidRPr="00CB2CB5">
        <w:rPr>
          <w:rFonts w:eastAsia="Times New Roman"/>
          <w:bCs/>
        </w:rPr>
        <w:t>20</w:t>
      </w:r>
      <w:r w:rsidR="003A5B15">
        <w:rPr>
          <w:rFonts w:eastAsia="Times New Roman"/>
          <w:bCs/>
        </w:rPr>
        <w:t>22</w:t>
      </w:r>
      <w:r w:rsidR="003A5B15" w:rsidRPr="00CB2CB5">
        <w:rPr>
          <w:rFonts w:eastAsia="Times New Roman"/>
          <w:bCs/>
        </w:rPr>
        <w:t xml:space="preserve"> </w:t>
      </w:r>
      <w:r w:rsidRPr="00CB2CB5">
        <w:rPr>
          <w:rFonts w:eastAsia="Times New Roman"/>
          <w:bCs/>
        </w:rPr>
        <w:t>projections are based on the information provided in EPE</w:t>
      </w:r>
      <w:r w:rsidR="00B81EE4" w:rsidRPr="00CB2CB5">
        <w:rPr>
          <w:rFonts w:eastAsia="Times New Roman"/>
          <w:bCs/>
        </w:rPr>
        <w:t>'</w:t>
      </w:r>
      <w:r w:rsidRPr="00CB2CB5">
        <w:rPr>
          <w:rFonts w:eastAsia="Times New Roman"/>
          <w:bCs/>
        </w:rPr>
        <w:t xml:space="preserve">s </w:t>
      </w:r>
      <w:r w:rsidR="003A5B15" w:rsidRPr="00CB2CB5">
        <w:rPr>
          <w:rFonts w:eastAsia="Times New Roman"/>
          <w:bCs/>
        </w:rPr>
        <w:t>20</w:t>
      </w:r>
      <w:r w:rsidR="003A5B15">
        <w:rPr>
          <w:rFonts w:eastAsia="Times New Roman"/>
          <w:bCs/>
        </w:rPr>
        <w:t>21</w:t>
      </w:r>
      <w:r w:rsidR="003A5B15" w:rsidRPr="00CB2CB5">
        <w:rPr>
          <w:rFonts w:eastAsia="Times New Roman"/>
          <w:bCs/>
        </w:rPr>
        <w:t xml:space="preserve"> </w:t>
      </w:r>
      <w:r w:rsidRPr="00CB2CB5">
        <w:rPr>
          <w:rFonts w:eastAsia="Times New Roman"/>
          <w:bCs/>
        </w:rPr>
        <w:t xml:space="preserve">Energy Efficiency Plan and Report, PUCT Project No. </w:t>
      </w:r>
      <w:r w:rsidR="003A5B15">
        <w:rPr>
          <w:rFonts w:eastAsia="Times New Roman"/>
          <w:bCs/>
        </w:rPr>
        <w:t>51672</w:t>
      </w:r>
      <w:r w:rsidRPr="00CB2CB5">
        <w:rPr>
          <w:rFonts w:eastAsia="Times New Roman"/>
          <w:bCs/>
        </w:rPr>
        <w:t>.</w:t>
      </w:r>
    </w:p>
    <w:p w14:paraId="511B8E23" w14:textId="77777777" w:rsidR="00462AAE" w:rsidRPr="00CB2CB5" w:rsidRDefault="00462AAE" w:rsidP="008759DE">
      <w:pPr>
        <w:widowControl w:val="0"/>
        <w:autoSpaceDE w:val="0"/>
        <w:autoSpaceDN w:val="0"/>
        <w:spacing w:line="276" w:lineRule="auto"/>
        <w:ind w:left="1080" w:right="169"/>
        <w:rPr>
          <w:rFonts w:eastAsia="Times New Roman"/>
          <w:bCs/>
        </w:rPr>
      </w:pPr>
    </w:p>
    <w:p w14:paraId="3DED653E" w14:textId="23688367" w:rsidR="00017C16" w:rsidRPr="00CB2CB5" w:rsidRDefault="00B74161" w:rsidP="008759DE">
      <w:pPr>
        <w:pStyle w:val="Caption"/>
        <w:keepNext/>
        <w:spacing w:line="276" w:lineRule="auto"/>
        <w:jc w:val="center"/>
      </w:pPr>
      <w:bookmarkStart w:id="27" w:name="_Toc534193085"/>
      <w:r w:rsidRPr="00CB2CB5">
        <w:t xml:space="preserve">Table </w:t>
      </w:r>
      <w:r w:rsidR="00D7007D">
        <w:t>6</w:t>
      </w:r>
      <w:r w:rsidR="00017C16" w:rsidRPr="00CB2CB5">
        <w:rPr>
          <w:b w:val="0"/>
        </w:rPr>
        <w:t xml:space="preserve"> </w:t>
      </w:r>
      <w:r w:rsidRPr="00CB2CB5">
        <w:rPr>
          <w:b w:val="0"/>
        </w:rPr>
        <w:t>–</w:t>
      </w:r>
      <w:r w:rsidR="00017C16" w:rsidRPr="00CB2CB5">
        <w:rPr>
          <w:b w:val="0"/>
        </w:rPr>
        <w:t xml:space="preserve"> </w:t>
      </w:r>
      <w:r w:rsidR="00017C16" w:rsidRPr="00CB2CB5">
        <w:t>Texas</w:t>
      </w:r>
      <w:r w:rsidRPr="00CB2CB5">
        <w:t xml:space="preserve"> </w:t>
      </w:r>
      <w:r w:rsidR="00017C16" w:rsidRPr="00CB2CB5">
        <w:t>Verified and Projected Demand and Energy Savings</w:t>
      </w:r>
      <w:bookmarkEnd w:id="2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2016"/>
        <w:gridCol w:w="2160"/>
      </w:tblGrid>
      <w:tr w:rsidR="00017C16" w:rsidRPr="00CB2CB5" w14:paraId="077E6BC0" w14:textId="77777777" w:rsidTr="00607291">
        <w:trPr>
          <w:jc w:val="center"/>
        </w:trPr>
        <w:tc>
          <w:tcPr>
            <w:tcW w:w="1296" w:type="dxa"/>
            <w:shd w:val="clear" w:color="auto" w:fill="C6D9F1"/>
            <w:vAlign w:val="bottom"/>
          </w:tcPr>
          <w:p w14:paraId="5751DA3B" w14:textId="77777777" w:rsidR="00017C16" w:rsidRPr="00CB2CB5" w:rsidRDefault="00017C16" w:rsidP="00607291">
            <w:pPr>
              <w:pStyle w:val="TableParagraph"/>
              <w:spacing w:line="276" w:lineRule="auto"/>
              <w:ind w:left="72"/>
              <w:rPr>
                <w:b/>
              </w:rPr>
            </w:pPr>
            <w:r w:rsidRPr="00CB2CB5">
              <w:rPr>
                <w:b/>
              </w:rPr>
              <w:t>Year</w:t>
            </w:r>
          </w:p>
        </w:tc>
        <w:tc>
          <w:tcPr>
            <w:tcW w:w="2016" w:type="dxa"/>
            <w:shd w:val="clear" w:color="auto" w:fill="C6D9F1"/>
            <w:vAlign w:val="bottom"/>
          </w:tcPr>
          <w:p w14:paraId="7A2DFA0C" w14:textId="77777777" w:rsidR="00017C16" w:rsidRPr="00CB2CB5" w:rsidRDefault="00017C16" w:rsidP="00607291">
            <w:pPr>
              <w:pStyle w:val="TableParagraph"/>
              <w:spacing w:line="276" w:lineRule="auto"/>
              <w:rPr>
                <w:b/>
              </w:rPr>
            </w:pPr>
            <w:r w:rsidRPr="00CB2CB5">
              <w:rPr>
                <w:b/>
              </w:rPr>
              <w:t>Annual MW Demand Savings (at Meter)</w:t>
            </w:r>
          </w:p>
        </w:tc>
        <w:tc>
          <w:tcPr>
            <w:tcW w:w="2160" w:type="dxa"/>
            <w:shd w:val="clear" w:color="auto" w:fill="C6D9F1"/>
            <w:vAlign w:val="bottom"/>
          </w:tcPr>
          <w:p w14:paraId="50DE9EC9" w14:textId="77777777" w:rsidR="00017C16" w:rsidRPr="00CB2CB5" w:rsidRDefault="00017C16" w:rsidP="00607291">
            <w:pPr>
              <w:pStyle w:val="TableParagraph"/>
              <w:spacing w:line="276" w:lineRule="auto"/>
              <w:ind w:left="99" w:hanging="1"/>
              <w:rPr>
                <w:b/>
              </w:rPr>
            </w:pPr>
            <w:r w:rsidRPr="00CB2CB5">
              <w:rPr>
                <w:b/>
              </w:rPr>
              <w:t>Annual MWh</w:t>
            </w:r>
            <w:r w:rsidRPr="00CB2CB5">
              <w:rPr>
                <w:b/>
                <w:spacing w:val="-2"/>
              </w:rPr>
              <w:t xml:space="preserve"> </w:t>
            </w:r>
            <w:r w:rsidRPr="00CB2CB5">
              <w:rPr>
                <w:b/>
              </w:rPr>
              <w:t>Energy Savings (at Meter)</w:t>
            </w:r>
          </w:p>
        </w:tc>
      </w:tr>
      <w:tr w:rsidR="00017C16" w:rsidRPr="00CB2CB5" w14:paraId="743AF7C6" w14:textId="77777777" w:rsidTr="00940DC7">
        <w:trPr>
          <w:trHeight w:hRule="exact" w:val="432"/>
          <w:jc w:val="center"/>
        </w:trPr>
        <w:tc>
          <w:tcPr>
            <w:tcW w:w="1296" w:type="dxa"/>
            <w:vAlign w:val="center"/>
          </w:tcPr>
          <w:p w14:paraId="17F8595A" w14:textId="77777777" w:rsidR="00017C16" w:rsidRPr="00CB2CB5" w:rsidRDefault="00017C16" w:rsidP="00940DC7">
            <w:pPr>
              <w:pStyle w:val="TableParagraph"/>
              <w:spacing w:line="276" w:lineRule="auto"/>
              <w:ind w:left="180"/>
            </w:pPr>
            <w:r w:rsidRPr="00CB2CB5">
              <w:t>2015♦</w:t>
            </w:r>
          </w:p>
        </w:tc>
        <w:tc>
          <w:tcPr>
            <w:tcW w:w="2016" w:type="dxa"/>
            <w:vAlign w:val="center"/>
          </w:tcPr>
          <w:p w14:paraId="2D8898CE" w14:textId="77777777" w:rsidR="00017C16" w:rsidRPr="00CB2CB5" w:rsidRDefault="00017C16" w:rsidP="00940DC7">
            <w:pPr>
              <w:pStyle w:val="TableParagraph"/>
              <w:spacing w:line="276" w:lineRule="auto"/>
              <w:ind w:left="180"/>
            </w:pPr>
            <w:r w:rsidRPr="00CB2CB5">
              <w:t>12.305</w:t>
            </w:r>
          </w:p>
        </w:tc>
        <w:tc>
          <w:tcPr>
            <w:tcW w:w="2160" w:type="dxa"/>
            <w:vAlign w:val="center"/>
          </w:tcPr>
          <w:p w14:paraId="6C5AD8C5" w14:textId="77777777" w:rsidR="00017C16" w:rsidRPr="00CB2CB5" w:rsidRDefault="00017C16" w:rsidP="00940DC7">
            <w:pPr>
              <w:pStyle w:val="TableParagraph"/>
              <w:spacing w:line="276" w:lineRule="auto"/>
              <w:ind w:left="180"/>
            </w:pPr>
            <w:r w:rsidRPr="00CB2CB5">
              <w:t>22,283</w:t>
            </w:r>
          </w:p>
        </w:tc>
      </w:tr>
      <w:tr w:rsidR="00017C16" w:rsidRPr="00CB2CB5" w14:paraId="33072C1B" w14:textId="77777777" w:rsidTr="00940DC7">
        <w:trPr>
          <w:trHeight w:hRule="exact" w:val="432"/>
          <w:jc w:val="center"/>
        </w:trPr>
        <w:tc>
          <w:tcPr>
            <w:tcW w:w="1296" w:type="dxa"/>
            <w:vAlign w:val="center"/>
          </w:tcPr>
          <w:p w14:paraId="15404AAA" w14:textId="77777777" w:rsidR="00017C16" w:rsidRPr="00CB2CB5" w:rsidRDefault="00017C16" w:rsidP="00940DC7">
            <w:pPr>
              <w:pStyle w:val="TableParagraph"/>
              <w:spacing w:line="276" w:lineRule="auto"/>
              <w:ind w:left="180"/>
            </w:pPr>
            <w:r w:rsidRPr="00CB2CB5">
              <w:t>2016♦</w:t>
            </w:r>
          </w:p>
        </w:tc>
        <w:tc>
          <w:tcPr>
            <w:tcW w:w="2016" w:type="dxa"/>
            <w:vAlign w:val="center"/>
          </w:tcPr>
          <w:p w14:paraId="5E7D063E" w14:textId="77777777" w:rsidR="00017C16" w:rsidRPr="00CB2CB5" w:rsidRDefault="00017C16" w:rsidP="00940DC7">
            <w:pPr>
              <w:pStyle w:val="TableParagraph"/>
              <w:spacing w:line="276" w:lineRule="auto"/>
              <w:ind w:left="180"/>
            </w:pPr>
            <w:r w:rsidRPr="00CB2CB5">
              <w:t>12.790</w:t>
            </w:r>
          </w:p>
        </w:tc>
        <w:tc>
          <w:tcPr>
            <w:tcW w:w="2160" w:type="dxa"/>
            <w:vAlign w:val="center"/>
          </w:tcPr>
          <w:p w14:paraId="7D6551FC" w14:textId="77777777" w:rsidR="00017C16" w:rsidRPr="00CB2CB5" w:rsidRDefault="00017C16" w:rsidP="00940DC7">
            <w:pPr>
              <w:pStyle w:val="TableParagraph"/>
              <w:spacing w:line="276" w:lineRule="auto"/>
              <w:ind w:left="180"/>
            </w:pPr>
            <w:r w:rsidRPr="00CB2CB5">
              <w:t>22,912</w:t>
            </w:r>
          </w:p>
        </w:tc>
      </w:tr>
      <w:tr w:rsidR="00017C16" w:rsidRPr="00CB2CB5" w14:paraId="0E2882C7" w14:textId="77777777" w:rsidTr="00940DC7">
        <w:trPr>
          <w:trHeight w:hRule="exact" w:val="432"/>
          <w:jc w:val="center"/>
        </w:trPr>
        <w:tc>
          <w:tcPr>
            <w:tcW w:w="1296" w:type="dxa"/>
            <w:vAlign w:val="center"/>
          </w:tcPr>
          <w:p w14:paraId="3533CF84" w14:textId="77777777" w:rsidR="00017C16" w:rsidRPr="00CB2CB5" w:rsidRDefault="00017C16" w:rsidP="00940DC7">
            <w:pPr>
              <w:pStyle w:val="TableParagraph"/>
              <w:spacing w:line="276" w:lineRule="auto"/>
              <w:ind w:left="180"/>
            </w:pPr>
            <w:r w:rsidRPr="00CB2CB5">
              <w:t>2017♦</w:t>
            </w:r>
          </w:p>
        </w:tc>
        <w:tc>
          <w:tcPr>
            <w:tcW w:w="2016" w:type="dxa"/>
            <w:vAlign w:val="center"/>
          </w:tcPr>
          <w:p w14:paraId="1FACCE47" w14:textId="77777777" w:rsidR="00017C16" w:rsidRPr="00CB2CB5" w:rsidRDefault="00017C16" w:rsidP="00940DC7">
            <w:pPr>
              <w:pStyle w:val="TableParagraph"/>
              <w:spacing w:line="276" w:lineRule="auto"/>
              <w:ind w:left="180"/>
            </w:pPr>
            <w:r w:rsidRPr="00CB2CB5">
              <w:t>15.285</w:t>
            </w:r>
          </w:p>
        </w:tc>
        <w:tc>
          <w:tcPr>
            <w:tcW w:w="2160" w:type="dxa"/>
            <w:vAlign w:val="center"/>
          </w:tcPr>
          <w:p w14:paraId="43722CAB" w14:textId="77777777" w:rsidR="00017C16" w:rsidRPr="00CB2CB5" w:rsidRDefault="00017C16" w:rsidP="00940DC7">
            <w:pPr>
              <w:pStyle w:val="TableParagraph"/>
              <w:spacing w:line="276" w:lineRule="auto"/>
              <w:ind w:left="180"/>
            </w:pPr>
            <w:r w:rsidRPr="00CB2CB5">
              <w:t>23,312</w:t>
            </w:r>
          </w:p>
        </w:tc>
      </w:tr>
      <w:tr w:rsidR="00017C16" w:rsidRPr="00CB2CB5" w14:paraId="2E0272A2" w14:textId="77777777" w:rsidTr="00940DC7">
        <w:trPr>
          <w:trHeight w:hRule="exact" w:val="432"/>
          <w:jc w:val="center"/>
        </w:trPr>
        <w:tc>
          <w:tcPr>
            <w:tcW w:w="1296" w:type="dxa"/>
            <w:vAlign w:val="center"/>
          </w:tcPr>
          <w:p w14:paraId="432DB9ED" w14:textId="13242768" w:rsidR="00017C16" w:rsidRPr="00CB2CB5" w:rsidRDefault="00017C16" w:rsidP="00940DC7">
            <w:pPr>
              <w:pStyle w:val="TableParagraph"/>
              <w:spacing w:line="276" w:lineRule="auto"/>
              <w:ind w:left="180"/>
            </w:pPr>
            <w:r w:rsidRPr="00CB2CB5">
              <w:t>2018</w:t>
            </w:r>
            <w:r w:rsidR="003A5B15" w:rsidRPr="00CB2CB5">
              <w:t>♦</w:t>
            </w:r>
          </w:p>
        </w:tc>
        <w:tc>
          <w:tcPr>
            <w:tcW w:w="2016" w:type="dxa"/>
            <w:vAlign w:val="center"/>
          </w:tcPr>
          <w:p w14:paraId="4C428453" w14:textId="16564357" w:rsidR="00017C16" w:rsidRPr="00CB2CB5" w:rsidRDefault="003A5B15" w:rsidP="00940DC7">
            <w:pPr>
              <w:pStyle w:val="TableParagraph"/>
              <w:spacing w:line="276" w:lineRule="auto"/>
              <w:ind w:left="180"/>
            </w:pPr>
            <w:r>
              <w:t>16.846</w:t>
            </w:r>
          </w:p>
        </w:tc>
        <w:tc>
          <w:tcPr>
            <w:tcW w:w="2160" w:type="dxa"/>
            <w:vAlign w:val="center"/>
          </w:tcPr>
          <w:p w14:paraId="2EDB4C14" w14:textId="066217D5" w:rsidR="00017C16" w:rsidRPr="00CB2CB5" w:rsidRDefault="003A5B15" w:rsidP="00940DC7">
            <w:pPr>
              <w:pStyle w:val="TableParagraph"/>
              <w:spacing w:line="276" w:lineRule="auto"/>
              <w:ind w:left="180"/>
            </w:pPr>
            <w:r>
              <w:t>20,726</w:t>
            </w:r>
          </w:p>
        </w:tc>
      </w:tr>
      <w:tr w:rsidR="00017C16" w:rsidRPr="00CB2CB5" w14:paraId="0B9803A4" w14:textId="77777777" w:rsidTr="00940DC7">
        <w:trPr>
          <w:trHeight w:hRule="exact" w:val="432"/>
          <w:jc w:val="center"/>
        </w:trPr>
        <w:tc>
          <w:tcPr>
            <w:tcW w:w="1296" w:type="dxa"/>
            <w:vAlign w:val="center"/>
          </w:tcPr>
          <w:p w14:paraId="2EF482C0" w14:textId="129AEE0D" w:rsidR="00017C16" w:rsidRPr="00CB2CB5" w:rsidRDefault="00017C16" w:rsidP="00940DC7">
            <w:pPr>
              <w:pStyle w:val="TableParagraph"/>
              <w:spacing w:line="276" w:lineRule="auto"/>
              <w:ind w:left="180"/>
            </w:pPr>
            <w:r w:rsidRPr="00CB2CB5">
              <w:t>2019</w:t>
            </w:r>
            <w:r w:rsidR="003A5B15" w:rsidRPr="00CB2CB5">
              <w:t>♦</w:t>
            </w:r>
          </w:p>
        </w:tc>
        <w:tc>
          <w:tcPr>
            <w:tcW w:w="2016" w:type="dxa"/>
            <w:vAlign w:val="center"/>
          </w:tcPr>
          <w:p w14:paraId="7548C7AE" w14:textId="77777777" w:rsidR="00017C16" w:rsidRPr="00CB2CB5" w:rsidRDefault="00017C16" w:rsidP="00940DC7">
            <w:pPr>
              <w:pStyle w:val="TableParagraph"/>
              <w:spacing w:line="276" w:lineRule="auto"/>
              <w:ind w:left="180"/>
            </w:pPr>
            <w:r w:rsidRPr="00CB2CB5">
              <w:t>14.181</w:t>
            </w:r>
          </w:p>
        </w:tc>
        <w:tc>
          <w:tcPr>
            <w:tcW w:w="2160" w:type="dxa"/>
            <w:vAlign w:val="center"/>
          </w:tcPr>
          <w:p w14:paraId="04214671" w14:textId="77777777" w:rsidR="00017C16" w:rsidRPr="00CB2CB5" w:rsidRDefault="00017C16" w:rsidP="00940DC7">
            <w:pPr>
              <w:pStyle w:val="TableParagraph"/>
              <w:spacing w:line="276" w:lineRule="auto"/>
              <w:ind w:left="180"/>
            </w:pPr>
            <w:r w:rsidRPr="00CB2CB5">
              <w:t>21,054</w:t>
            </w:r>
          </w:p>
        </w:tc>
      </w:tr>
      <w:tr w:rsidR="003A5B15" w:rsidRPr="00CB2CB5" w14:paraId="4016ACCF" w14:textId="77777777" w:rsidTr="00691544">
        <w:trPr>
          <w:trHeight w:hRule="exact" w:val="432"/>
          <w:jc w:val="center"/>
        </w:trPr>
        <w:tc>
          <w:tcPr>
            <w:tcW w:w="1296" w:type="dxa"/>
            <w:vAlign w:val="center"/>
          </w:tcPr>
          <w:p w14:paraId="633A4C14" w14:textId="515AF17C" w:rsidR="003A5B15" w:rsidRPr="00CB2CB5" w:rsidRDefault="003A5B15">
            <w:pPr>
              <w:pStyle w:val="TableParagraph"/>
              <w:spacing w:line="276" w:lineRule="auto"/>
              <w:ind w:left="180"/>
            </w:pPr>
            <w:r w:rsidRPr="009D5EF8">
              <w:t>2020</w:t>
            </w:r>
            <w:r w:rsidRPr="00CB2CB5">
              <w:t>♦</w:t>
            </w:r>
          </w:p>
        </w:tc>
        <w:tc>
          <w:tcPr>
            <w:tcW w:w="2016" w:type="dxa"/>
            <w:vAlign w:val="center"/>
          </w:tcPr>
          <w:p w14:paraId="4E859420" w14:textId="44E7C7ED" w:rsidR="003A5B15" w:rsidRPr="00CB2CB5" w:rsidRDefault="003A5B15">
            <w:pPr>
              <w:pStyle w:val="TableParagraph"/>
              <w:spacing w:line="276" w:lineRule="auto"/>
              <w:ind w:left="180"/>
            </w:pPr>
            <w:r w:rsidRPr="009D5EF8">
              <w:t>20.743</w:t>
            </w:r>
          </w:p>
        </w:tc>
        <w:tc>
          <w:tcPr>
            <w:tcW w:w="2160" w:type="dxa"/>
            <w:vAlign w:val="center"/>
          </w:tcPr>
          <w:p w14:paraId="759068F0" w14:textId="0AEDA8CA" w:rsidR="003A5B15" w:rsidRPr="00CB2CB5" w:rsidRDefault="003A5B15">
            <w:pPr>
              <w:pStyle w:val="TableParagraph"/>
              <w:spacing w:line="276" w:lineRule="auto"/>
              <w:ind w:left="180"/>
            </w:pPr>
            <w:r w:rsidRPr="009D5EF8">
              <w:t>30,670</w:t>
            </w:r>
          </w:p>
        </w:tc>
      </w:tr>
      <w:tr w:rsidR="003A5B15" w:rsidRPr="00CB2CB5" w14:paraId="1AC2F7D6" w14:textId="77777777" w:rsidTr="00691544">
        <w:trPr>
          <w:trHeight w:hRule="exact" w:val="432"/>
          <w:jc w:val="center"/>
        </w:trPr>
        <w:tc>
          <w:tcPr>
            <w:tcW w:w="1296" w:type="dxa"/>
            <w:vAlign w:val="center"/>
          </w:tcPr>
          <w:p w14:paraId="2FE37808" w14:textId="5A71111E" w:rsidR="003A5B15" w:rsidRPr="00CB2CB5" w:rsidRDefault="003A5B15">
            <w:pPr>
              <w:pStyle w:val="TableParagraph"/>
              <w:spacing w:line="276" w:lineRule="auto"/>
              <w:ind w:left="180"/>
            </w:pPr>
            <w:r w:rsidRPr="009D5EF8">
              <w:t>2021</w:t>
            </w:r>
          </w:p>
        </w:tc>
        <w:tc>
          <w:tcPr>
            <w:tcW w:w="2016" w:type="dxa"/>
            <w:vAlign w:val="center"/>
          </w:tcPr>
          <w:p w14:paraId="44809B28" w14:textId="3EAA8D88" w:rsidR="003A5B15" w:rsidRPr="00CB2CB5" w:rsidRDefault="003A5B15">
            <w:pPr>
              <w:pStyle w:val="TableParagraph"/>
              <w:spacing w:line="276" w:lineRule="auto"/>
              <w:ind w:left="180"/>
            </w:pPr>
            <w:r w:rsidRPr="009D5EF8">
              <w:t>16.691</w:t>
            </w:r>
          </w:p>
        </w:tc>
        <w:tc>
          <w:tcPr>
            <w:tcW w:w="2160" w:type="dxa"/>
            <w:vAlign w:val="center"/>
          </w:tcPr>
          <w:p w14:paraId="14CD159D" w14:textId="300467E2" w:rsidR="003A5B15" w:rsidRPr="00CB2CB5" w:rsidRDefault="003A5B15">
            <w:pPr>
              <w:pStyle w:val="TableParagraph"/>
              <w:spacing w:line="276" w:lineRule="auto"/>
              <w:ind w:left="180"/>
            </w:pPr>
            <w:r w:rsidRPr="009D5EF8">
              <w:t>23,479</w:t>
            </w:r>
          </w:p>
        </w:tc>
      </w:tr>
      <w:tr w:rsidR="003A5B15" w:rsidRPr="00CB2CB5" w14:paraId="3F4EF116" w14:textId="77777777" w:rsidTr="00691544">
        <w:trPr>
          <w:trHeight w:hRule="exact" w:val="432"/>
          <w:jc w:val="center"/>
        </w:trPr>
        <w:tc>
          <w:tcPr>
            <w:tcW w:w="1296" w:type="dxa"/>
            <w:vAlign w:val="center"/>
          </w:tcPr>
          <w:p w14:paraId="23193B21" w14:textId="34121BE6" w:rsidR="003A5B15" w:rsidRPr="00CB2CB5" w:rsidRDefault="003A5B15">
            <w:pPr>
              <w:pStyle w:val="TableParagraph"/>
              <w:spacing w:line="276" w:lineRule="auto"/>
              <w:ind w:left="180"/>
            </w:pPr>
            <w:r w:rsidRPr="009D5EF8">
              <w:t>2022</w:t>
            </w:r>
          </w:p>
        </w:tc>
        <w:tc>
          <w:tcPr>
            <w:tcW w:w="2016" w:type="dxa"/>
            <w:vAlign w:val="center"/>
          </w:tcPr>
          <w:p w14:paraId="19FE2BEB" w14:textId="35C51561" w:rsidR="003A5B15" w:rsidRPr="00CB2CB5" w:rsidRDefault="003A5B15">
            <w:pPr>
              <w:pStyle w:val="TableParagraph"/>
              <w:spacing w:line="276" w:lineRule="auto"/>
              <w:ind w:left="180"/>
            </w:pPr>
            <w:r w:rsidRPr="009D5EF8">
              <w:t>19.827</w:t>
            </w:r>
          </w:p>
        </w:tc>
        <w:tc>
          <w:tcPr>
            <w:tcW w:w="2160" w:type="dxa"/>
            <w:vAlign w:val="center"/>
          </w:tcPr>
          <w:p w14:paraId="46E7A26C" w14:textId="64D2075F" w:rsidR="003A5B15" w:rsidRPr="00CB2CB5" w:rsidRDefault="003A5B15">
            <w:pPr>
              <w:pStyle w:val="TableParagraph"/>
              <w:spacing w:line="276" w:lineRule="auto"/>
              <w:ind w:left="180"/>
            </w:pPr>
            <w:r w:rsidRPr="009D5EF8">
              <w:t>26,882</w:t>
            </w:r>
          </w:p>
        </w:tc>
      </w:tr>
    </w:tbl>
    <w:p w14:paraId="61D072F5" w14:textId="77777777" w:rsidR="00017C16" w:rsidRPr="00CB2CB5" w:rsidRDefault="00017C16" w:rsidP="00940DC7">
      <w:pPr>
        <w:spacing w:line="276" w:lineRule="auto"/>
        <w:ind w:left="1890"/>
        <w:rPr>
          <w:sz w:val="18"/>
        </w:rPr>
      </w:pPr>
      <w:r w:rsidRPr="00CB2CB5">
        <w:t xml:space="preserve">♦ </w:t>
      </w:r>
      <w:r w:rsidRPr="00CB2CB5">
        <w:rPr>
          <w:sz w:val="18"/>
        </w:rPr>
        <w:t xml:space="preserve">Verified by Commission approved statewide </w:t>
      </w:r>
      <w:proofErr w:type="spellStart"/>
      <w:r w:rsidRPr="00CB2CB5">
        <w:rPr>
          <w:sz w:val="18"/>
        </w:rPr>
        <w:t>EM&amp;V</w:t>
      </w:r>
      <w:proofErr w:type="spellEnd"/>
      <w:r w:rsidRPr="00CB2CB5">
        <w:rPr>
          <w:sz w:val="18"/>
        </w:rPr>
        <w:t xml:space="preserve"> contractor</w:t>
      </w:r>
    </w:p>
    <w:p w14:paraId="14D70CAE" w14:textId="28EEFB5D" w:rsidR="00833791" w:rsidRDefault="00833791" w:rsidP="00940DC7">
      <w:pPr>
        <w:spacing w:line="276" w:lineRule="auto"/>
        <w:ind w:left="1890"/>
        <w:rPr>
          <w:sz w:val="18"/>
        </w:rPr>
      </w:pPr>
    </w:p>
    <w:p w14:paraId="732DE60A" w14:textId="77CB99F5" w:rsidR="003A5B15" w:rsidRDefault="003A5B15" w:rsidP="00940DC7">
      <w:pPr>
        <w:spacing w:line="276" w:lineRule="auto"/>
        <w:ind w:left="1890"/>
        <w:rPr>
          <w:sz w:val="18"/>
        </w:rPr>
      </w:pPr>
    </w:p>
    <w:p w14:paraId="7DD0C2C1" w14:textId="4C469639" w:rsidR="00404EFF" w:rsidRDefault="00404EFF" w:rsidP="00404EFF">
      <w:pPr>
        <w:pStyle w:val="ListParagraph"/>
        <w:widowControl w:val="0"/>
        <w:numPr>
          <w:ilvl w:val="3"/>
          <w:numId w:val="1"/>
        </w:numPr>
        <w:autoSpaceDE w:val="0"/>
        <w:autoSpaceDN w:val="0"/>
        <w:spacing w:after="0" w:line="276" w:lineRule="auto"/>
        <w:ind w:right="168"/>
        <w:contextualSpacing w:val="0"/>
        <w:rPr>
          <w:rFonts w:ascii="Times New Roman" w:eastAsia="Times New Roman" w:hAnsi="Times New Roman"/>
          <w:b/>
          <w:sz w:val="24"/>
        </w:rPr>
      </w:pPr>
      <w:r>
        <w:rPr>
          <w:rFonts w:ascii="Times New Roman" w:eastAsia="Times New Roman" w:hAnsi="Times New Roman"/>
          <w:b/>
          <w:sz w:val="24"/>
        </w:rPr>
        <w:t xml:space="preserve">Texas </w:t>
      </w:r>
      <w:r w:rsidR="00973E97">
        <w:rPr>
          <w:rFonts w:ascii="Times New Roman" w:eastAsia="Times New Roman" w:hAnsi="Times New Roman"/>
          <w:b/>
          <w:sz w:val="24"/>
        </w:rPr>
        <w:t xml:space="preserve">Residential and </w:t>
      </w:r>
      <w:r>
        <w:rPr>
          <w:rFonts w:ascii="Times New Roman" w:eastAsia="Times New Roman" w:hAnsi="Times New Roman"/>
          <w:b/>
          <w:sz w:val="24"/>
        </w:rPr>
        <w:t>Commercial Load Management Programs</w:t>
      </w:r>
    </w:p>
    <w:p w14:paraId="4CCC6EC8" w14:textId="1B0F737A" w:rsidR="00404EFF" w:rsidRPr="00FB0300" w:rsidRDefault="00404EFF" w:rsidP="00404EFF">
      <w:pPr>
        <w:pStyle w:val="ListParagraph"/>
        <w:widowControl w:val="0"/>
        <w:autoSpaceDE w:val="0"/>
        <w:autoSpaceDN w:val="0"/>
        <w:spacing w:line="276" w:lineRule="auto"/>
        <w:ind w:left="1080" w:right="168"/>
        <w:jc w:val="both"/>
        <w:rPr>
          <w:rFonts w:ascii="Times New Roman" w:eastAsia="Times New Roman" w:hAnsi="Times New Roman"/>
          <w:bCs/>
          <w:sz w:val="24"/>
        </w:rPr>
      </w:pPr>
      <w:r w:rsidRPr="00FB0300">
        <w:rPr>
          <w:rFonts w:ascii="Times New Roman" w:eastAsia="Times New Roman" w:hAnsi="Times New Roman"/>
          <w:bCs/>
          <w:sz w:val="24"/>
        </w:rPr>
        <w:t xml:space="preserve">EPE's Residential </w:t>
      </w:r>
      <w:r w:rsidR="00973E97">
        <w:rPr>
          <w:rFonts w:ascii="Times New Roman" w:eastAsia="Times New Roman" w:hAnsi="Times New Roman"/>
          <w:bCs/>
          <w:sz w:val="24"/>
        </w:rPr>
        <w:t xml:space="preserve">and </w:t>
      </w:r>
      <w:r w:rsidR="00973E97" w:rsidRPr="00FB0300">
        <w:rPr>
          <w:rFonts w:ascii="Times New Roman" w:eastAsia="Times New Roman" w:hAnsi="Times New Roman"/>
          <w:bCs/>
          <w:sz w:val="24"/>
        </w:rPr>
        <w:t xml:space="preserve">Commercial </w:t>
      </w:r>
      <w:r w:rsidRPr="00FB0300">
        <w:rPr>
          <w:rFonts w:ascii="Times New Roman" w:eastAsia="Times New Roman" w:hAnsi="Times New Roman"/>
          <w:bCs/>
          <w:sz w:val="24"/>
        </w:rPr>
        <w:t xml:space="preserve">Load Management Programs engage utility customers to reduce their electricity use (load) during peak hours or under certain conditions, which in turn, can substantially reduce demand for electricity during EPE's peak hours, providing aggregate benefits for the electric grid and-participants themselves. </w:t>
      </w:r>
    </w:p>
    <w:p w14:paraId="59C2D47C" w14:textId="77777777" w:rsidR="00404EFF" w:rsidRPr="00FB0300" w:rsidRDefault="00404EFF" w:rsidP="00404EFF">
      <w:pPr>
        <w:pStyle w:val="ListParagraph"/>
        <w:widowControl w:val="0"/>
        <w:autoSpaceDE w:val="0"/>
        <w:autoSpaceDN w:val="0"/>
        <w:spacing w:line="276" w:lineRule="auto"/>
        <w:ind w:left="1080" w:right="168"/>
        <w:jc w:val="both"/>
        <w:rPr>
          <w:rFonts w:ascii="Times New Roman" w:eastAsia="Times New Roman" w:hAnsi="Times New Roman"/>
          <w:bCs/>
          <w:sz w:val="24"/>
        </w:rPr>
      </w:pPr>
    </w:p>
    <w:p w14:paraId="225E6D1E" w14:textId="77777777" w:rsidR="00404EFF" w:rsidRPr="00FB0300" w:rsidRDefault="00404EFF" w:rsidP="00404EFF">
      <w:pPr>
        <w:pStyle w:val="ListParagraph"/>
        <w:widowControl w:val="0"/>
        <w:autoSpaceDE w:val="0"/>
        <w:autoSpaceDN w:val="0"/>
        <w:spacing w:after="0" w:line="276" w:lineRule="auto"/>
        <w:ind w:left="1080" w:right="168"/>
        <w:contextualSpacing w:val="0"/>
        <w:jc w:val="both"/>
        <w:rPr>
          <w:rFonts w:ascii="Times New Roman" w:eastAsia="Times New Roman" w:hAnsi="Times New Roman"/>
          <w:bCs/>
          <w:sz w:val="24"/>
        </w:rPr>
      </w:pPr>
      <w:r w:rsidRPr="00FB0300">
        <w:rPr>
          <w:rFonts w:ascii="Times New Roman" w:eastAsia="Times New Roman" w:hAnsi="Times New Roman"/>
          <w:bCs/>
          <w:sz w:val="24"/>
        </w:rPr>
        <w:t>The load management season begins on June 1 and continues through September 30 each year.</w:t>
      </w:r>
    </w:p>
    <w:p w14:paraId="1B8CEA19" w14:textId="5982766E" w:rsidR="00404EFF" w:rsidRDefault="00404EFF" w:rsidP="00404EFF">
      <w:pPr>
        <w:pStyle w:val="ListParagraph"/>
        <w:widowControl w:val="0"/>
        <w:autoSpaceDE w:val="0"/>
        <w:autoSpaceDN w:val="0"/>
        <w:spacing w:after="0" w:line="276" w:lineRule="auto"/>
        <w:ind w:left="1440" w:right="168" w:hanging="360"/>
        <w:contextualSpacing w:val="0"/>
        <w:rPr>
          <w:rFonts w:ascii="Times New Roman" w:eastAsia="Times New Roman" w:hAnsi="Times New Roman"/>
          <w:bCs/>
          <w:sz w:val="24"/>
        </w:rPr>
      </w:pPr>
    </w:p>
    <w:p w14:paraId="2E7B02B5" w14:textId="1C882369" w:rsidR="004A480D" w:rsidRPr="00CB2CB5" w:rsidRDefault="00642A7C" w:rsidP="00940DC7">
      <w:pPr>
        <w:pStyle w:val="Heading2"/>
        <w:numPr>
          <w:ilvl w:val="0"/>
          <w:numId w:val="26"/>
        </w:numPr>
        <w:spacing w:line="276" w:lineRule="auto"/>
        <w:ind w:left="1080" w:hanging="540"/>
        <w:rPr>
          <w:rFonts w:eastAsia="Times New Roman"/>
        </w:rPr>
      </w:pPr>
      <w:bookmarkStart w:id="28" w:name="_Toc534190303"/>
      <w:r>
        <w:rPr>
          <w:rFonts w:eastAsia="Times New Roman"/>
        </w:rPr>
        <w:t xml:space="preserve">Energy </w:t>
      </w:r>
      <w:r w:rsidR="00925B19" w:rsidRPr="00CB2CB5">
        <w:rPr>
          <w:rFonts w:eastAsia="Times New Roman"/>
        </w:rPr>
        <w:t>Storage Resources</w:t>
      </w:r>
      <w:bookmarkEnd w:id="28"/>
      <w:r w:rsidR="00A069B3" w:rsidRPr="00CB2CB5">
        <w:rPr>
          <w:rFonts w:eastAsia="Times New Roman"/>
        </w:rPr>
        <w:t xml:space="preserve"> </w:t>
      </w:r>
    </w:p>
    <w:p w14:paraId="4023AC1A" w14:textId="77777777" w:rsidR="008868AA" w:rsidRPr="00CB2CB5" w:rsidRDefault="008868AA" w:rsidP="00940DC7">
      <w:pPr>
        <w:spacing w:line="276" w:lineRule="auto"/>
        <w:ind w:left="540"/>
      </w:pPr>
    </w:p>
    <w:p w14:paraId="75C0F41D" w14:textId="63DF624C" w:rsidR="00FC71C2" w:rsidRPr="00CB2CB5" w:rsidRDefault="00371E95" w:rsidP="00FC71C2">
      <w:pPr>
        <w:spacing w:line="276" w:lineRule="auto"/>
        <w:ind w:left="540"/>
        <w:rPr>
          <w:rFonts w:eastAsia="Times New Roman"/>
        </w:rPr>
      </w:pPr>
      <w:r>
        <w:rPr>
          <w:rFonts w:eastAsia="Times New Roman"/>
        </w:rPr>
        <w:t>The Commission Final Order in Case No. 19-00348-UT denied EPE’s requested approval of a</w:t>
      </w:r>
      <w:r w:rsidR="00E737EF">
        <w:rPr>
          <w:rFonts w:eastAsia="Times New Roman"/>
        </w:rPr>
        <w:t xml:space="preserve"> stand</w:t>
      </w:r>
      <w:r w:rsidR="00510031">
        <w:rPr>
          <w:rFonts w:eastAsia="Times New Roman"/>
        </w:rPr>
        <w:t>-</w:t>
      </w:r>
      <w:r w:rsidR="00E737EF">
        <w:rPr>
          <w:rFonts w:eastAsia="Times New Roman"/>
        </w:rPr>
        <w:t>alone</w:t>
      </w:r>
      <w:r>
        <w:rPr>
          <w:rFonts w:eastAsia="Times New Roman"/>
        </w:rPr>
        <w:t xml:space="preserve"> 50 MW battery selected pursuant the 2017 All-Source RFP; and </w:t>
      </w:r>
      <w:r w:rsidR="008868AA" w:rsidRPr="00CB2CB5">
        <w:rPr>
          <w:rFonts w:eastAsia="Times New Roman"/>
        </w:rPr>
        <w:t>EPE</w:t>
      </w:r>
      <w:r w:rsidR="00B81EE4" w:rsidRPr="00CB2CB5">
        <w:rPr>
          <w:rFonts w:eastAsia="Times New Roman"/>
        </w:rPr>
        <w:t>'</w:t>
      </w:r>
      <w:r w:rsidR="008868AA" w:rsidRPr="00CB2CB5">
        <w:rPr>
          <w:rFonts w:eastAsia="Times New Roman"/>
        </w:rPr>
        <w:t xml:space="preserve">s resource portfolio does not contain any </w:t>
      </w:r>
      <w:r w:rsidR="0044713B">
        <w:rPr>
          <w:rFonts w:eastAsia="Times New Roman"/>
        </w:rPr>
        <w:t xml:space="preserve">existing </w:t>
      </w:r>
      <w:r w:rsidR="00765103">
        <w:rPr>
          <w:rFonts w:eastAsia="Times New Roman"/>
        </w:rPr>
        <w:t xml:space="preserve">utility scale </w:t>
      </w:r>
      <w:r w:rsidR="004B709A">
        <w:rPr>
          <w:rFonts w:eastAsia="Times New Roman"/>
        </w:rPr>
        <w:t xml:space="preserve">energy </w:t>
      </w:r>
      <w:r w:rsidR="008868AA" w:rsidRPr="00CB2CB5">
        <w:rPr>
          <w:rFonts w:eastAsia="Times New Roman"/>
        </w:rPr>
        <w:t>storage resources</w:t>
      </w:r>
      <w:r w:rsidR="007017CA">
        <w:rPr>
          <w:rStyle w:val="FootnoteReference"/>
          <w:rFonts w:eastAsia="Times New Roman"/>
        </w:rPr>
        <w:footnoteReference w:id="4"/>
      </w:r>
      <w:r w:rsidR="008868AA" w:rsidRPr="00CB2CB5">
        <w:rPr>
          <w:rFonts w:eastAsia="Times New Roman"/>
        </w:rPr>
        <w:t>.</w:t>
      </w:r>
      <w:r w:rsidR="00FC71C2">
        <w:rPr>
          <w:rFonts w:eastAsia="Times New Roman"/>
        </w:rPr>
        <w:t xml:space="preserve">  </w:t>
      </w:r>
      <w:r w:rsidR="00E737EF">
        <w:rPr>
          <w:rFonts w:eastAsia="Times New Roman"/>
        </w:rPr>
        <w:t>However, i</w:t>
      </w:r>
      <w:r w:rsidR="00FC71C2">
        <w:rPr>
          <w:rFonts w:eastAsia="Times New Roman"/>
        </w:rPr>
        <w:t xml:space="preserve">n 2022, EPE </w:t>
      </w:r>
      <w:r>
        <w:rPr>
          <w:rFonts w:eastAsia="Times New Roman"/>
        </w:rPr>
        <w:t>plans to</w:t>
      </w:r>
      <w:r w:rsidR="00FC71C2">
        <w:rPr>
          <w:rFonts w:eastAsia="Times New Roman"/>
        </w:rPr>
        <w:t xml:space="preserve"> install</w:t>
      </w:r>
      <w:r w:rsidR="00E737EF">
        <w:rPr>
          <w:rFonts w:eastAsia="Times New Roman"/>
        </w:rPr>
        <w:t xml:space="preserve"> </w:t>
      </w:r>
      <w:r w:rsidR="00FC71C2">
        <w:rPr>
          <w:rFonts w:eastAsia="Times New Roman"/>
        </w:rPr>
        <w:t xml:space="preserve">a 100MW Solar facility coupled with 50 MW </w:t>
      </w:r>
      <w:r w:rsidR="003866B0">
        <w:rPr>
          <w:rFonts w:eastAsia="Times New Roman"/>
        </w:rPr>
        <w:t>b</w:t>
      </w:r>
      <w:r w:rsidR="00FC71C2" w:rsidRPr="00CB2CB5">
        <w:rPr>
          <w:rFonts w:eastAsia="Times New Roman"/>
        </w:rPr>
        <w:t>attery storage</w:t>
      </w:r>
      <w:r>
        <w:rPr>
          <w:rFonts w:eastAsia="Times New Roman"/>
        </w:rPr>
        <w:t xml:space="preserve"> </w:t>
      </w:r>
      <w:r w:rsidR="00E737EF">
        <w:rPr>
          <w:rFonts w:eastAsia="Times New Roman"/>
        </w:rPr>
        <w:t xml:space="preserve">which was </w:t>
      </w:r>
      <w:r>
        <w:rPr>
          <w:rFonts w:eastAsia="Times New Roman"/>
        </w:rPr>
        <w:t>approved in that docket</w:t>
      </w:r>
      <w:r w:rsidR="00FC71C2">
        <w:rPr>
          <w:rFonts w:eastAsia="Times New Roman"/>
        </w:rPr>
        <w:t xml:space="preserve">.  The integrated solar/storage system </w:t>
      </w:r>
      <w:r>
        <w:rPr>
          <w:rFonts w:eastAsia="Times New Roman"/>
        </w:rPr>
        <w:t xml:space="preserve">will </w:t>
      </w:r>
      <w:r w:rsidR="00D0022A">
        <w:rPr>
          <w:rFonts w:eastAsia="Times New Roman"/>
        </w:rPr>
        <w:t>firm</w:t>
      </w:r>
      <w:r w:rsidR="00FC71C2">
        <w:rPr>
          <w:rFonts w:eastAsia="Times New Roman"/>
        </w:rPr>
        <w:t xml:space="preserve"> </w:t>
      </w:r>
      <w:r w:rsidR="0044713B">
        <w:rPr>
          <w:rFonts w:eastAsia="Times New Roman"/>
        </w:rPr>
        <w:t xml:space="preserve">solar </w:t>
      </w:r>
      <w:r w:rsidR="00FC71C2">
        <w:rPr>
          <w:rFonts w:eastAsia="Times New Roman"/>
        </w:rPr>
        <w:t xml:space="preserve">output during specified peak hours of operation.  The </w:t>
      </w:r>
      <w:r w:rsidR="00E737EF">
        <w:rPr>
          <w:rFonts w:eastAsia="Times New Roman"/>
        </w:rPr>
        <w:t xml:space="preserve">planned </w:t>
      </w:r>
      <w:r w:rsidR="00FC71C2">
        <w:rPr>
          <w:rFonts w:eastAsia="Times New Roman"/>
        </w:rPr>
        <w:t xml:space="preserve">battery storage system </w:t>
      </w:r>
      <w:r w:rsidR="00E737EF">
        <w:rPr>
          <w:rFonts w:eastAsia="Times New Roman"/>
        </w:rPr>
        <w:t xml:space="preserve">will </w:t>
      </w:r>
      <w:r w:rsidR="00FC71C2">
        <w:rPr>
          <w:rFonts w:eastAsia="Times New Roman"/>
        </w:rPr>
        <w:lastRenderedPageBreak/>
        <w:t xml:space="preserve">charge during </w:t>
      </w:r>
      <w:r w:rsidR="0044713B">
        <w:rPr>
          <w:rFonts w:eastAsia="Times New Roman"/>
        </w:rPr>
        <w:t>low load hours</w:t>
      </w:r>
      <w:r w:rsidR="00FC71C2">
        <w:rPr>
          <w:rFonts w:eastAsia="Times New Roman"/>
        </w:rPr>
        <w:t xml:space="preserve"> and discharges the stored energy during peak hours to provide firm energy</w:t>
      </w:r>
      <w:r w:rsidR="00BC0371">
        <w:rPr>
          <w:rFonts w:eastAsia="Times New Roman"/>
        </w:rPr>
        <w:t xml:space="preserve"> during peak hours</w:t>
      </w:r>
      <w:r w:rsidR="00FC71C2">
        <w:rPr>
          <w:rFonts w:eastAsia="Times New Roman"/>
        </w:rPr>
        <w:t xml:space="preserve">.  Battery storage </w:t>
      </w:r>
      <w:r w:rsidR="00FC71C2" w:rsidRPr="00CB2CB5">
        <w:rPr>
          <w:rFonts w:eastAsia="Times New Roman"/>
        </w:rPr>
        <w:t xml:space="preserve">is a </w:t>
      </w:r>
      <w:r w:rsidR="00BD6198">
        <w:rPr>
          <w:rFonts w:eastAsia="Times New Roman"/>
        </w:rPr>
        <w:t xml:space="preserve">relatively </w:t>
      </w:r>
      <w:r w:rsidR="00FC71C2" w:rsidRPr="00CB2CB5">
        <w:rPr>
          <w:rFonts w:eastAsia="Times New Roman"/>
        </w:rPr>
        <w:t>new and emerging technology that is</w:t>
      </w:r>
      <w:r w:rsidR="00FC71C2">
        <w:rPr>
          <w:rFonts w:eastAsia="Times New Roman"/>
        </w:rPr>
        <w:t xml:space="preserve"> continually being integrated</w:t>
      </w:r>
      <w:r w:rsidR="00FC71C2" w:rsidRPr="00CB2CB5">
        <w:rPr>
          <w:rFonts w:eastAsia="Times New Roman"/>
        </w:rPr>
        <w:t xml:space="preserve"> into utility scale applications</w:t>
      </w:r>
      <w:r w:rsidR="00BD6198">
        <w:rPr>
          <w:rFonts w:eastAsia="Times New Roman"/>
        </w:rPr>
        <w:t xml:space="preserve"> to provide greater flexibility to the electrical system allowing for greater integration of solar and/or wind resources.  </w:t>
      </w:r>
      <w:r w:rsidR="008C6E87">
        <w:rPr>
          <w:rFonts w:eastAsia="Times New Roman"/>
        </w:rPr>
        <w:t xml:space="preserve">Besides “firming” solar generation, battery storage can also help to balance electricity loads to avoid energy “curtailment” by shifting excess energy from low load hours to peak hours.  Further, </w:t>
      </w:r>
      <w:r w:rsidR="00CA19F2">
        <w:rPr>
          <w:rFonts w:eastAsia="Times New Roman"/>
        </w:rPr>
        <w:t>b</w:t>
      </w:r>
      <w:r w:rsidR="00BD6198">
        <w:rPr>
          <w:rFonts w:eastAsia="Times New Roman"/>
        </w:rPr>
        <w:t>attery storage</w:t>
      </w:r>
      <w:r w:rsidR="008C6E87">
        <w:rPr>
          <w:rFonts w:eastAsia="Times New Roman"/>
        </w:rPr>
        <w:t xml:space="preserve"> provides greater resilience to the system by providing backup power during an electrical disruption due to a generation resource contingency or</w:t>
      </w:r>
      <w:r w:rsidR="00CA19F2">
        <w:rPr>
          <w:rFonts w:eastAsia="Times New Roman"/>
        </w:rPr>
        <w:t xml:space="preserve"> in the case of a solar PV facility, a brief generation disruption from an intermittent weather condition such as passing clouds.  </w:t>
      </w:r>
      <w:r w:rsidR="00BD6198">
        <w:rPr>
          <w:rFonts w:eastAsia="Times New Roman"/>
        </w:rPr>
        <w:t xml:space="preserve"> </w:t>
      </w:r>
      <w:r w:rsidR="00CA19F2">
        <w:rPr>
          <w:rFonts w:eastAsia="Times New Roman"/>
        </w:rPr>
        <w:t xml:space="preserve">Battery storage </w:t>
      </w:r>
      <w:r w:rsidR="00FC71C2" w:rsidRPr="00CB2CB5">
        <w:rPr>
          <w:rFonts w:eastAsia="Times New Roman"/>
        </w:rPr>
        <w:t xml:space="preserve">is a resource that EPE </w:t>
      </w:r>
      <w:r w:rsidR="00BC0371">
        <w:rPr>
          <w:rFonts w:eastAsia="Times New Roman"/>
        </w:rPr>
        <w:t>modeled in this 2021 IRP</w:t>
      </w:r>
      <w:r w:rsidR="00FC71C2" w:rsidRPr="00CB2CB5">
        <w:rPr>
          <w:rFonts w:eastAsia="Times New Roman"/>
        </w:rPr>
        <w:t xml:space="preserve"> and will continue to </w:t>
      </w:r>
      <w:r w:rsidR="00BC0371">
        <w:rPr>
          <w:rFonts w:eastAsia="Times New Roman"/>
        </w:rPr>
        <w:t>model</w:t>
      </w:r>
      <w:r w:rsidR="00FC71C2" w:rsidRPr="00CB2CB5">
        <w:rPr>
          <w:rFonts w:eastAsia="Times New Roman"/>
        </w:rPr>
        <w:t xml:space="preserve"> for future </w:t>
      </w:r>
      <w:r w:rsidR="003866B0">
        <w:rPr>
          <w:rFonts w:eastAsia="Times New Roman"/>
        </w:rPr>
        <w:t>resource</w:t>
      </w:r>
      <w:r w:rsidR="00BC0371">
        <w:rPr>
          <w:rFonts w:eastAsia="Times New Roman"/>
        </w:rPr>
        <w:t xml:space="preserve"> needs</w:t>
      </w:r>
      <w:r w:rsidR="00CA19F2">
        <w:rPr>
          <w:rFonts w:eastAsia="Times New Roman"/>
        </w:rPr>
        <w:t xml:space="preserve">.  Other types of energy storage </w:t>
      </w:r>
      <w:r w:rsidR="00D06F49">
        <w:rPr>
          <w:rFonts w:eastAsia="Times New Roman"/>
        </w:rPr>
        <w:t>includ</w:t>
      </w:r>
      <w:r>
        <w:rPr>
          <w:rFonts w:eastAsia="Times New Roman"/>
        </w:rPr>
        <w:t>e</w:t>
      </w:r>
      <w:r w:rsidR="00CA19F2">
        <w:rPr>
          <w:rFonts w:eastAsia="Times New Roman"/>
        </w:rPr>
        <w:t xml:space="preserve"> pumped-storage</w:t>
      </w:r>
      <w:r w:rsidR="00D06F49">
        <w:rPr>
          <w:rFonts w:eastAsia="Times New Roman"/>
        </w:rPr>
        <w:t>,</w:t>
      </w:r>
      <w:r w:rsidR="00CA19F2">
        <w:rPr>
          <w:rFonts w:eastAsia="Times New Roman"/>
        </w:rPr>
        <w:t xml:space="preserve"> hydropower, electromechanical storage, thermal energy storage, </w:t>
      </w:r>
      <w:r w:rsidR="00D06F49">
        <w:rPr>
          <w:rFonts w:eastAsia="Times New Roman"/>
        </w:rPr>
        <w:t xml:space="preserve">flywheel storage, and compressed air storage. These other types of technologies were not modeled in EPE’s 2021 IRP </w:t>
      </w:r>
      <w:r>
        <w:rPr>
          <w:rFonts w:eastAsia="Times New Roman"/>
        </w:rPr>
        <w:t xml:space="preserve">because </w:t>
      </w:r>
      <w:r w:rsidR="00D06F49">
        <w:rPr>
          <w:rFonts w:eastAsia="Times New Roman"/>
        </w:rPr>
        <w:t>the</w:t>
      </w:r>
      <w:r>
        <w:rPr>
          <w:rFonts w:eastAsia="Times New Roman"/>
        </w:rPr>
        <w:t>se</w:t>
      </w:r>
      <w:r w:rsidR="00D06F49">
        <w:rPr>
          <w:rFonts w:eastAsia="Times New Roman"/>
        </w:rPr>
        <w:t xml:space="preserve"> storage technologies</w:t>
      </w:r>
      <w:r w:rsidR="008E1460">
        <w:rPr>
          <w:rFonts w:eastAsia="Times New Roman"/>
        </w:rPr>
        <w:t xml:space="preserve">, as compared to battery storage, </w:t>
      </w:r>
      <w:r w:rsidR="00D06F49">
        <w:rPr>
          <w:rFonts w:eastAsia="Times New Roman"/>
        </w:rPr>
        <w:t>are not yet cost effective</w:t>
      </w:r>
      <w:r w:rsidR="008E1460">
        <w:rPr>
          <w:rFonts w:eastAsia="Times New Roman"/>
        </w:rPr>
        <w:t xml:space="preserve"> </w:t>
      </w:r>
      <w:r w:rsidR="00D06F49">
        <w:rPr>
          <w:rFonts w:eastAsia="Times New Roman"/>
        </w:rPr>
        <w:t>and/or may not be suitable for</w:t>
      </w:r>
      <w:r w:rsidR="008E1460">
        <w:rPr>
          <w:rFonts w:eastAsia="Times New Roman"/>
        </w:rPr>
        <w:t xml:space="preserve"> the desert southwest </w:t>
      </w:r>
      <w:r w:rsidR="00BE632B">
        <w:rPr>
          <w:rFonts w:eastAsia="Times New Roman"/>
        </w:rPr>
        <w:t>conditions.</w:t>
      </w:r>
      <w:r w:rsidR="008E1460">
        <w:rPr>
          <w:rFonts w:eastAsia="Times New Roman"/>
        </w:rPr>
        <w:t xml:space="preserve">   </w:t>
      </w:r>
      <w:r w:rsidR="00D06F49">
        <w:rPr>
          <w:rFonts w:eastAsia="Times New Roman"/>
        </w:rPr>
        <w:t xml:space="preserve">     </w:t>
      </w:r>
    </w:p>
    <w:p w14:paraId="705A6A26" w14:textId="77777777" w:rsidR="00993FD0" w:rsidRPr="00CB2CB5" w:rsidRDefault="00993FD0" w:rsidP="00AF4CC2">
      <w:pPr>
        <w:spacing w:line="276" w:lineRule="auto"/>
        <w:rPr>
          <w:rFonts w:eastAsia="Times New Roman"/>
        </w:rPr>
      </w:pPr>
    </w:p>
    <w:p w14:paraId="57A7294B" w14:textId="688C1D23" w:rsidR="00E70CF6" w:rsidRPr="00CB2CB5" w:rsidRDefault="00462AAE" w:rsidP="00940DC7">
      <w:pPr>
        <w:pStyle w:val="Heading2"/>
        <w:numPr>
          <w:ilvl w:val="0"/>
          <w:numId w:val="26"/>
        </w:numPr>
        <w:spacing w:line="276" w:lineRule="auto"/>
        <w:ind w:left="1080" w:hanging="540"/>
        <w:rPr>
          <w:rFonts w:eastAsia="Times New Roman"/>
        </w:rPr>
      </w:pPr>
      <w:bookmarkStart w:id="29" w:name="_Toc534190304"/>
      <w:r w:rsidRPr="00CB2CB5">
        <w:rPr>
          <w:rFonts w:eastAsia="Times New Roman"/>
        </w:rPr>
        <w:t xml:space="preserve">Reserve Margin and </w:t>
      </w:r>
      <w:r w:rsidR="00925B19" w:rsidRPr="00CB2CB5">
        <w:rPr>
          <w:rFonts w:eastAsia="Times New Roman"/>
        </w:rPr>
        <w:t>Reliability Requirements</w:t>
      </w:r>
      <w:bookmarkEnd w:id="29"/>
      <w:r w:rsidR="001E42BD" w:rsidRPr="00CB2CB5">
        <w:rPr>
          <w:rFonts w:eastAsia="Times New Roman"/>
        </w:rPr>
        <w:t xml:space="preserve"> </w:t>
      </w:r>
    </w:p>
    <w:p w14:paraId="42E7F4E4" w14:textId="77777777" w:rsidR="001E42BD" w:rsidRPr="00CB2CB5" w:rsidRDefault="001E42BD" w:rsidP="00940DC7">
      <w:pPr>
        <w:keepNext/>
        <w:keepLines/>
        <w:spacing w:line="276" w:lineRule="auto"/>
        <w:ind w:left="540"/>
        <w:rPr>
          <w:rFonts w:eastAsia="Times New Roman"/>
        </w:rPr>
      </w:pPr>
    </w:p>
    <w:p w14:paraId="5232A621" w14:textId="745DA1DF" w:rsidR="00462AAE" w:rsidRPr="00CB2CB5" w:rsidRDefault="00462AAE" w:rsidP="00780D21">
      <w:pPr>
        <w:pStyle w:val="Heading3"/>
        <w:numPr>
          <w:ilvl w:val="0"/>
          <w:numId w:val="133"/>
        </w:numPr>
        <w:ind w:left="1440"/>
        <w:rPr>
          <w:rFonts w:eastAsia="Times New Roman"/>
        </w:rPr>
      </w:pPr>
      <w:bookmarkStart w:id="30" w:name="_Toc534190305"/>
      <w:r w:rsidRPr="00CB2CB5">
        <w:rPr>
          <w:rFonts w:eastAsia="Times New Roman"/>
        </w:rPr>
        <w:t>Reliability Requirements</w:t>
      </w:r>
      <w:bookmarkEnd w:id="30"/>
    </w:p>
    <w:p w14:paraId="10E2CFDE" w14:textId="16BE1306" w:rsidR="009D1BB0" w:rsidRPr="00CB2CB5" w:rsidRDefault="009D1BB0" w:rsidP="00462AAE">
      <w:pPr>
        <w:pStyle w:val="ListParagraph"/>
        <w:spacing w:after="0"/>
      </w:pPr>
    </w:p>
    <w:p w14:paraId="57AAB614" w14:textId="2278D36C" w:rsidR="00E70CF6" w:rsidRPr="00CB2CB5" w:rsidRDefault="003C2B5A" w:rsidP="00307D79">
      <w:pPr>
        <w:spacing w:line="276" w:lineRule="auto"/>
        <w:ind w:left="1080"/>
        <w:rPr>
          <w:rFonts w:eastAsia="Times New Roman"/>
        </w:rPr>
      </w:pPr>
      <w:r w:rsidRPr="00CB2CB5">
        <w:rPr>
          <w:rFonts w:eastAsia="Times New Roman"/>
        </w:rPr>
        <w:t>EPE</w:t>
      </w:r>
      <w:r w:rsidR="00B81EE4" w:rsidRPr="00CB2CB5">
        <w:rPr>
          <w:rFonts w:eastAsia="Times New Roman"/>
        </w:rPr>
        <w:t>'</w:t>
      </w:r>
      <w:r w:rsidRPr="00CB2CB5">
        <w:rPr>
          <w:rFonts w:eastAsia="Times New Roman"/>
        </w:rPr>
        <w:t xml:space="preserve">s resource planning efforts </w:t>
      </w:r>
      <w:r w:rsidR="00E737EF">
        <w:rPr>
          <w:rFonts w:eastAsia="Times New Roman"/>
        </w:rPr>
        <w:t xml:space="preserve">consider </w:t>
      </w:r>
      <w:r w:rsidR="00CF30C3" w:rsidRPr="00CB2CB5">
        <w:rPr>
          <w:rFonts w:eastAsia="Times New Roman"/>
        </w:rPr>
        <w:t>the</w:t>
      </w:r>
      <w:r w:rsidRPr="00CB2CB5">
        <w:rPr>
          <w:rFonts w:eastAsia="Times New Roman"/>
        </w:rPr>
        <w:t xml:space="preserve"> reliability requirements </w:t>
      </w:r>
      <w:r w:rsidR="00E737EF">
        <w:rPr>
          <w:rFonts w:eastAsia="Times New Roman"/>
        </w:rPr>
        <w:t>of</w:t>
      </w:r>
      <w:r w:rsidRPr="00CB2CB5">
        <w:rPr>
          <w:rFonts w:eastAsia="Times New Roman"/>
        </w:rPr>
        <w:t xml:space="preserve"> the North American Electric Reliability Corporation (</w:t>
      </w:r>
      <w:r w:rsidR="00EB31CB" w:rsidRPr="00CB2CB5">
        <w:rPr>
          <w:rFonts w:eastAsia="Times New Roman"/>
        </w:rPr>
        <w:t>"</w:t>
      </w:r>
      <w:r w:rsidRPr="00CB2CB5">
        <w:rPr>
          <w:rFonts w:eastAsia="Times New Roman"/>
        </w:rPr>
        <w:t>NERC</w:t>
      </w:r>
      <w:r w:rsidR="00EB31CB" w:rsidRPr="00CB2CB5">
        <w:rPr>
          <w:rFonts w:eastAsia="Times New Roman"/>
        </w:rPr>
        <w:t>"</w:t>
      </w:r>
      <w:r w:rsidRPr="00CB2CB5">
        <w:rPr>
          <w:rFonts w:eastAsia="Times New Roman"/>
        </w:rPr>
        <w:t>)</w:t>
      </w:r>
      <w:r w:rsidR="00444AB9" w:rsidRPr="00CB2CB5">
        <w:rPr>
          <w:rFonts w:eastAsia="Times New Roman"/>
        </w:rPr>
        <w:t>,</w:t>
      </w:r>
      <w:r w:rsidRPr="00CB2CB5">
        <w:rPr>
          <w:rFonts w:eastAsia="Times New Roman"/>
        </w:rPr>
        <w:t xml:space="preserve"> which is granted authority by the Federal </w:t>
      </w:r>
      <w:r w:rsidR="005E170D" w:rsidRPr="00CB2CB5">
        <w:rPr>
          <w:rFonts w:eastAsia="Times New Roman"/>
        </w:rPr>
        <w:t>Energy Regulation Commission (</w:t>
      </w:r>
      <w:r w:rsidR="00EB31CB" w:rsidRPr="00CB2CB5">
        <w:rPr>
          <w:rFonts w:eastAsia="Times New Roman"/>
        </w:rPr>
        <w:t>"</w:t>
      </w:r>
      <w:r w:rsidR="005E170D" w:rsidRPr="00CB2CB5">
        <w:rPr>
          <w:rFonts w:eastAsia="Times New Roman"/>
        </w:rPr>
        <w:t>FERC</w:t>
      </w:r>
      <w:r w:rsidR="00EB31CB" w:rsidRPr="00CB2CB5">
        <w:rPr>
          <w:rFonts w:eastAsia="Times New Roman"/>
        </w:rPr>
        <w:t>"</w:t>
      </w:r>
      <w:r w:rsidR="005E170D" w:rsidRPr="00CB2CB5">
        <w:rPr>
          <w:rFonts w:eastAsia="Times New Roman"/>
        </w:rPr>
        <w:t>) to define reliability standards.  The reliability standards are developed to reduce risks to the reliability and security of the grid.</w:t>
      </w:r>
      <w:r w:rsidR="005E170D" w:rsidRPr="00CB2CB5">
        <w:rPr>
          <w:rStyle w:val="FootnoteReference"/>
          <w:rFonts w:eastAsia="Times New Roman"/>
        </w:rPr>
        <w:footnoteReference w:id="5"/>
      </w:r>
      <w:r w:rsidR="005E170D" w:rsidRPr="00CB2CB5">
        <w:rPr>
          <w:rFonts w:eastAsia="Times New Roman"/>
        </w:rPr>
        <w:t xml:space="preserve"> </w:t>
      </w:r>
      <w:r w:rsidR="00DD37BA" w:rsidRPr="00CB2CB5">
        <w:rPr>
          <w:rFonts w:eastAsia="Times New Roman"/>
        </w:rPr>
        <w:t xml:space="preserve"> </w:t>
      </w:r>
      <w:r w:rsidR="005E170D" w:rsidRPr="00CB2CB5">
        <w:rPr>
          <w:rFonts w:eastAsia="Times New Roman"/>
        </w:rPr>
        <w:t xml:space="preserve">There </w:t>
      </w:r>
      <w:r w:rsidR="00CF30C3" w:rsidRPr="00CB2CB5">
        <w:rPr>
          <w:rFonts w:eastAsia="Times New Roman"/>
        </w:rPr>
        <w:t xml:space="preserve">are </w:t>
      </w:r>
      <w:r w:rsidR="005E170D" w:rsidRPr="00CB2CB5">
        <w:rPr>
          <w:rFonts w:eastAsia="Times New Roman"/>
        </w:rPr>
        <w:t xml:space="preserve">six reliability standards that are most relevant to the </w:t>
      </w:r>
      <w:r w:rsidR="00A504B2" w:rsidRPr="00CB2CB5">
        <w:rPr>
          <w:rFonts w:eastAsia="Times New Roman"/>
        </w:rPr>
        <w:t>Planning P</w:t>
      </w:r>
      <w:r w:rsidR="005E170D" w:rsidRPr="00CB2CB5">
        <w:rPr>
          <w:rFonts w:eastAsia="Times New Roman"/>
        </w:rPr>
        <w:t>rocess.</w:t>
      </w:r>
    </w:p>
    <w:p w14:paraId="4B1802A5" w14:textId="77777777" w:rsidR="005E170D" w:rsidRPr="00CB2CB5" w:rsidRDefault="005E170D" w:rsidP="00307D79">
      <w:pPr>
        <w:spacing w:line="276" w:lineRule="auto"/>
        <w:ind w:left="1080"/>
        <w:rPr>
          <w:rFonts w:eastAsia="Times New Roman"/>
        </w:rPr>
      </w:pPr>
    </w:p>
    <w:p w14:paraId="732A4490" w14:textId="77777777" w:rsidR="005E170D" w:rsidRPr="00CB2CB5" w:rsidRDefault="005E170D" w:rsidP="00307D79">
      <w:pPr>
        <w:spacing w:line="276" w:lineRule="auto"/>
        <w:ind w:left="1080"/>
        <w:rPr>
          <w:rFonts w:eastAsia="Times New Roman"/>
        </w:rPr>
      </w:pPr>
      <w:r w:rsidRPr="00CB2CB5">
        <w:rPr>
          <w:rFonts w:eastAsia="Times New Roman"/>
        </w:rPr>
        <w:t xml:space="preserve">BAL-001 – </w:t>
      </w:r>
      <w:r w:rsidR="00EB31CB" w:rsidRPr="00CB2CB5">
        <w:rPr>
          <w:rFonts w:eastAsia="Times New Roman"/>
        </w:rPr>
        <w:t>"</w:t>
      </w:r>
      <w:r w:rsidRPr="00CB2CB5">
        <w:rPr>
          <w:rFonts w:eastAsia="Times New Roman"/>
        </w:rPr>
        <w:t>To control Interconnection frequency within defined limits.</w:t>
      </w:r>
      <w:r w:rsidR="00EB31CB" w:rsidRPr="00CB2CB5">
        <w:rPr>
          <w:rFonts w:eastAsia="Times New Roman"/>
        </w:rPr>
        <w:t>"</w:t>
      </w:r>
    </w:p>
    <w:p w14:paraId="3795333C" w14:textId="77777777" w:rsidR="000B0BDC" w:rsidRPr="00CB2CB5" w:rsidRDefault="000B0BDC" w:rsidP="00307D79">
      <w:pPr>
        <w:spacing w:line="276" w:lineRule="auto"/>
        <w:ind w:left="1080"/>
        <w:rPr>
          <w:rFonts w:eastAsia="Times New Roman"/>
        </w:rPr>
      </w:pPr>
    </w:p>
    <w:p w14:paraId="71DB666D" w14:textId="77777777" w:rsidR="005E170D" w:rsidRPr="00CB2CB5" w:rsidRDefault="005E170D" w:rsidP="00307D79">
      <w:pPr>
        <w:spacing w:line="276" w:lineRule="auto"/>
        <w:ind w:left="1080"/>
        <w:rPr>
          <w:rFonts w:eastAsia="Times New Roman"/>
        </w:rPr>
      </w:pPr>
      <w:r w:rsidRPr="00CB2CB5">
        <w:rPr>
          <w:rFonts w:eastAsia="Times New Roman"/>
        </w:rPr>
        <w:t xml:space="preserve">BAL-005-0.2b – </w:t>
      </w:r>
      <w:r w:rsidR="00EB31CB" w:rsidRPr="00CB2CB5">
        <w:rPr>
          <w:rFonts w:eastAsia="Times New Roman"/>
        </w:rPr>
        <w:t>"</w:t>
      </w:r>
      <w:r w:rsidR="00C57F64" w:rsidRPr="00CB2CB5">
        <w:rPr>
          <w:rFonts w:eastAsia="Times New Roman"/>
        </w:rPr>
        <w:t>…e</w:t>
      </w:r>
      <w:r w:rsidRPr="00CB2CB5">
        <w:rPr>
          <w:rFonts w:eastAsia="Times New Roman"/>
        </w:rPr>
        <w:t>nsures that all facilities and load electrically synchronized to the Interconnection are included within the metered boundary of a Balancing Area so that balancing of resources and demand can be achieved.</w:t>
      </w:r>
      <w:r w:rsidR="00EB31CB" w:rsidRPr="00CB2CB5">
        <w:rPr>
          <w:rFonts w:eastAsia="Times New Roman"/>
        </w:rPr>
        <w:t>"</w:t>
      </w:r>
    </w:p>
    <w:p w14:paraId="08F55771" w14:textId="77777777" w:rsidR="000B0BDC" w:rsidRPr="00CB2CB5" w:rsidRDefault="000B0BDC" w:rsidP="00307D79">
      <w:pPr>
        <w:spacing w:line="276" w:lineRule="auto"/>
        <w:ind w:left="1080"/>
        <w:rPr>
          <w:rFonts w:eastAsia="Times New Roman"/>
        </w:rPr>
      </w:pPr>
    </w:p>
    <w:p w14:paraId="472836A2" w14:textId="77777777" w:rsidR="00C57F64" w:rsidRPr="00CB2CB5" w:rsidRDefault="00C57F64" w:rsidP="00307D79">
      <w:pPr>
        <w:spacing w:line="276" w:lineRule="auto"/>
        <w:ind w:left="1080"/>
        <w:rPr>
          <w:rFonts w:eastAsia="Times New Roman"/>
        </w:rPr>
      </w:pPr>
      <w:r w:rsidRPr="00CB2CB5">
        <w:rPr>
          <w:rFonts w:eastAsia="Times New Roman"/>
        </w:rPr>
        <w:t xml:space="preserve">BAL-006-2 – </w:t>
      </w:r>
      <w:r w:rsidR="00EB31CB" w:rsidRPr="00CB2CB5">
        <w:rPr>
          <w:rFonts w:eastAsia="Times New Roman"/>
        </w:rPr>
        <w:t>"</w:t>
      </w:r>
      <w:r w:rsidRPr="00CB2CB5">
        <w:rPr>
          <w:rFonts w:eastAsia="Times New Roman"/>
        </w:rPr>
        <w:t>…process for monitoring Balancing Authorities to ensure that, over the long term, Balancing Authority Areas do not excessively depend on other Balancing Authority Areas in the Interconnection for meeting their demand or Interchange obligations.</w:t>
      </w:r>
      <w:r w:rsidR="00EB31CB" w:rsidRPr="00CB2CB5">
        <w:rPr>
          <w:rFonts w:eastAsia="Times New Roman"/>
        </w:rPr>
        <w:t>"</w:t>
      </w:r>
    </w:p>
    <w:p w14:paraId="6CC4C19C" w14:textId="77777777" w:rsidR="000B0BDC" w:rsidRPr="00CB2CB5" w:rsidRDefault="000B0BDC" w:rsidP="00307D79">
      <w:pPr>
        <w:spacing w:line="276" w:lineRule="auto"/>
        <w:ind w:left="1080"/>
        <w:rPr>
          <w:rFonts w:eastAsia="Times New Roman"/>
        </w:rPr>
      </w:pPr>
    </w:p>
    <w:p w14:paraId="534478EE" w14:textId="77777777" w:rsidR="00C57F64" w:rsidRPr="00CB2CB5" w:rsidRDefault="00C57F64" w:rsidP="00307D79">
      <w:pPr>
        <w:spacing w:line="276" w:lineRule="auto"/>
        <w:ind w:left="1080"/>
        <w:rPr>
          <w:rFonts w:eastAsia="Times New Roman"/>
        </w:rPr>
      </w:pPr>
      <w:r w:rsidRPr="00CB2CB5">
        <w:rPr>
          <w:rFonts w:eastAsia="Times New Roman"/>
        </w:rPr>
        <w:lastRenderedPageBreak/>
        <w:t xml:space="preserve">BAL-002 - </w:t>
      </w:r>
      <w:r w:rsidR="00EB31CB" w:rsidRPr="00CB2CB5">
        <w:rPr>
          <w:rFonts w:eastAsia="Times New Roman"/>
        </w:rPr>
        <w:t>"</w:t>
      </w:r>
      <w:r w:rsidRPr="00CB2CB5">
        <w:rPr>
          <w:rFonts w:eastAsia="Times New Roman"/>
        </w:rPr>
        <w:t>…to ensure the Balancing Authority is able to utilize its Contingency Reserve to balance resources and demand and return Interconnection frequency within the defined limits following a Reportable Disturbance.</w:t>
      </w:r>
      <w:r w:rsidR="00EB31CB" w:rsidRPr="00CB2CB5">
        <w:rPr>
          <w:rFonts w:eastAsia="Times New Roman"/>
        </w:rPr>
        <w:t>"</w:t>
      </w:r>
    </w:p>
    <w:p w14:paraId="04E014A9" w14:textId="77777777" w:rsidR="000B0BDC" w:rsidRPr="00CB2CB5" w:rsidRDefault="000B0BDC" w:rsidP="00307D79">
      <w:pPr>
        <w:spacing w:line="276" w:lineRule="auto"/>
        <w:ind w:left="1080"/>
        <w:rPr>
          <w:rFonts w:eastAsia="Times New Roman"/>
        </w:rPr>
      </w:pPr>
    </w:p>
    <w:p w14:paraId="238554D6" w14:textId="77777777" w:rsidR="00C57F64" w:rsidRPr="00CB2CB5" w:rsidRDefault="00C57F64" w:rsidP="00307D79">
      <w:pPr>
        <w:spacing w:line="276" w:lineRule="auto"/>
        <w:ind w:left="1080"/>
        <w:rPr>
          <w:rFonts w:eastAsia="Times New Roman"/>
        </w:rPr>
      </w:pPr>
      <w:r w:rsidRPr="00CB2CB5">
        <w:rPr>
          <w:rFonts w:eastAsia="Times New Roman"/>
        </w:rPr>
        <w:t xml:space="preserve">BAL-002-WECC - </w:t>
      </w:r>
      <w:r w:rsidR="00EB31CB" w:rsidRPr="00CB2CB5">
        <w:rPr>
          <w:rFonts w:eastAsia="Times New Roman"/>
        </w:rPr>
        <w:t>"</w:t>
      </w:r>
      <w:r w:rsidRPr="00CB2CB5">
        <w:rPr>
          <w:rFonts w:eastAsia="Times New Roman"/>
        </w:rPr>
        <w:t>To specify the quantity and types of Contingency Reserve required to ensure reliability under normal and abnormal conditions.</w:t>
      </w:r>
      <w:r w:rsidR="00EB31CB" w:rsidRPr="00CB2CB5">
        <w:rPr>
          <w:rFonts w:eastAsia="Times New Roman"/>
        </w:rPr>
        <w:t>"</w:t>
      </w:r>
    </w:p>
    <w:p w14:paraId="4D146D7C" w14:textId="77777777" w:rsidR="000B0BDC" w:rsidRPr="00CB2CB5" w:rsidRDefault="000B0BDC" w:rsidP="00307D79">
      <w:pPr>
        <w:spacing w:line="276" w:lineRule="auto"/>
        <w:ind w:left="1080"/>
        <w:rPr>
          <w:rFonts w:eastAsia="Times New Roman"/>
        </w:rPr>
      </w:pPr>
    </w:p>
    <w:p w14:paraId="23B8FC6D" w14:textId="77777777" w:rsidR="00C57F64" w:rsidRPr="00CB2CB5" w:rsidRDefault="00C57F64" w:rsidP="00307D79">
      <w:pPr>
        <w:spacing w:line="276" w:lineRule="auto"/>
        <w:ind w:left="1080"/>
        <w:rPr>
          <w:rFonts w:eastAsia="Times New Roman"/>
        </w:rPr>
      </w:pPr>
      <w:r w:rsidRPr="00CB2CB5">
        <w:rPr>
          <w:rFonts w:eastAsia="Times New Roman"/>
        </w:rPr>
        <w:t xml:space="preserve">BAL-003 - </w:t>
      </w:r>
      <w:r w:rsidR="00EB31CB" w:rsidRPr="00CB2CB5">
        <w:rPr>
          <w:rFonts w:eastAsia="Times New Roman"/>
        </w:rPr>
        <w:t>"</w:t>
      </w:r>
      <w:r w:rsidRPr="00CB2CB5">
        <w:rPr>
          <w:rFonts w:eastAsia="Times New Roman"/>
        </w:rPr>
        <w:t>To require sufficient Frequency Response from the Balancing Authority to maintain Interconnection Frequency within predefined bounds by arresting frequency deviations and supporting frequency until the frequency is restored…</w:t>
      </w:r>
      <w:r w:rsidR="00EB31CB" w:rsidRPr="00CB2CB5">
        <w:rPr>
          <w:rFonts w:eastAsia="Times New Roman"/>
        </w:rPr>
        <w:t>"</w:t>
      </w:r>
    </w:p>
    <w:p w14:paraId="0AB894ED" w14:textId="77777777" w:rsidR="000B0BDC" w:rsidRPr="00CB2CB5" w:rsidRDefault="000B0BDC" w:rsidP="00307D79">
      <w:pPr>
        <w:spacing w:line="276" w:lineRule="auto"/>
        <w:ind w:left="1080"/>
        <w:rPr>
          <w:rFonts w:eastAsia="Times New Roman"/>
        </w:rPr>
      </w:pPr>
    </w:p>
    <w:p w14:paraId="66360BD5" w14:textId="77777777" w:rsidR="00C57F64" w:rsidRPr="00CB2CB5" w:rsidRDefault="00C57F64" w:rsidP="00307D79">
      <w:pPr>
        <w:spacing w:line="276" w:lineRule="auto"/>
        <w:ind w:left="1080"/>
        <w:rPr>
          <w:rFonts w:eastAsia="Times New Roman"/>
        </w:rPr>
      </w:pPr>
      <w:r w:rsidRPr="00CB2CB5">
        <w:rPr>
          <w:rFonts w:eastAsia="Times New Roman"/>
        </w:rPr>
        <w:t xml:space="preserve">TOP-001-3 - </w:t>
      </w:r>
      <w:r w:rsidR="00EB31CB" w:rsidRPr="00CB2CB5">
        <w:rPr>
          <w:rFonts w:eastAsia="Times New Roman"/>
        </w:rPr>
        <w:t>"</w:t>
      </w:r>
      <w:r w:rsidRPr="00CB2CB5">
        <w:rPr>
          <w:rFonts w:eastAsia="Times New Roman"/>
        </w:rPr>
        <w:t>To prevent instability, uncontrolled separation, or Cascading outages that adversely impact the reliability of the Interconnection by ensuring prompt action to prevent or mitigate such occurrences.</w:t>
      </w:r>
      <w:r w:rsidR="00EB31CB" w:rsidRPr="00CB2CB5">
        <w:rPr>
          <w:rFonts w:eastAsia="Times New Roman"/>
        </w:rPr>
        <w:t>"</w:t>
      </w:r>
    </w:p>
    <w:p w14:paraId="4270CC03" w14:textId="77777777" w:rsidR="000B0BDC" w:rsidRPr="00CB2CB5" w:rsidRDefault="000B0BDC" w:rsidP="00307D79">
      <w:pPr>
        <w:spacing w:line="276" w:lineRule="auto"/>
        <w:ind w:left="1080"/>
        <w:rPr>
          <w:rFonts w:eastAsia="Times New Roman"/>
        </w:rPr>
      </w:pPr>
    </w:p>
    <w:p w14:paraId="7C4F5C90" w14:textId="3DA42F8F" w:rsidR="00C57F64" w:rsidRPr="00CB2CB5" w:rsidRDefault="0037281B" w:rsidP="00307D79">
      <w:pPr>
        <w:spacing w:line="276" w:lineRule="auto"/>
        <w:ind w:left="1080"/>
        <w:rPr>
          <w:rFonts w:eastAsia="Times New Roman"/>
          <w:spacing w:val="-2"/>
        </w:rPr>
      </w:pPr>
      <w:r w:rsidRPr="00CB2CB5">
        <w:rPr>
          <w:rFonts w:eastAsia="Times New Roman"/>
          <w:spacing w:val="-2"/>
        </w:rPr>
        <w:t xml:space="preserve">EPE efforts to ensure resource adequacy to serve peak load in a safe and reliable manner are founded, in part, with the </w:t>
      </w:r>
      <w:r w:rsidR="00C66A37" w:rsidRPr="00CB2CB5">
        <w:rPr>
          <w:rFonts w:eastAsia="Times New Roman"/>
          <w:spacing w:val="-2"/>
        </w:rPr>
        <w:t>above-mentioned</w:t>
      </w:r>
      <w:r w:rsidRPr="00CB2CB5">
        <w:rPr>
          <w:rFonts w:eastAsia="Times New Roman"/>
          <w:spacing w:val="-2"/>
        </w:rPr>
        <w:t xml:space="preserve"> reliability standards. </w:t>
      </w:r>
      <w:r w:rsidR="00444AB9" w:rsidRPr="00CB2CB5">
        <w:rPr>
          <w:rFonts w:eastAsia="Times New Roman"/>
          <w:spacing w:val="-2"/>
        </w:rPr>
        <w:t xml:space="preserve"> </w:t>
      </w:r>
      <w:r w:rsidRPr="00CB2CB5">
        <w:rPr>
          <w:rFonts w:eastAsia="Times New Roman"/>
          <w:spacing w:val="-2"/>
        </w:rPr>
        <w:t xml:space="preserve">Furthermore, 17.9.560.13 </w:t>
      </w:r>
      <w:r w:rsidR="00CF30C3" w:rsidRPr="00CB2CB5">
        <w:rPr>
          <w:rFonts w:eastAsia="Times New Roman"/>
          <w:spacing w:val="-2"/>
        </w:rPr>
        <w:t xml:space="preserve">NMAC </w:t>
      </w:r>
      <w:r w:rsidRPr="00CB2CB5">
        <w:rPr>
          <w:rFonts w:eastAsia="Times New Roman"/>
          <w:spacing w:val="-2"/>
        </w:rPr>
        <w:t>also addresses an electric utilit</w:t>
      </w:r>
      <w:r w:rsidR="00C16337" w:rsidRPr="00CB2CB5">
        <w:rPr>
          <w:rFonts w:eastAsia="Times New Roman"/>
          <w:spacing w:val="-2"/>
        </w:rPr>
        <w:t>y</w:t>
      </w:r>
      <w:r w:rsidR="00B81EE4" w:rsidRPr="00CB2CB5">
        <w:rPr>
          <w:rFonts w:eastAsia="Times New Roman"/>
          <w:spacing w:val="-2"/>
        </w:rPr>
        <w:t>'</w:t>
      </w:r>
      <w:r w:rsidR="00C16337" w:rsidRPr="00CB2CB5">
        <w:rPr>
          <w:rFonts w:eastAsia="Times New Roman"/>
          <w:spacing w:val="-2"/>
        </w:rPr>
        <w:t>s</w:t>
      </w:r>
      <w:r w:rsidRPr="00CB2CB5">
        <w:rPr>
          <w:rFonts w:eastAsia="Times New Roman"/>
          <w:spacing w:val="-2"/>
        </w:rPr>
        <w:t xml:space="preserve"> </w:t>
      </w:r>
      <w:r w:rsidR="00400210" w:rsidRPr="00CB2CB5">
        <w:rPr>
          <w:rFonts w:eastAsia="Times New Roman"/>
          <w:spacing w:val="-2"/>
        </w:rPr>
        <w:t xml:space="preserve">requirement to </w:t>
      </w:r>
      <w:r w:rsidR="00C16337" w:rsidRPr="00CB2CB5">
        <w:rPr>
          <w:rFonts w:eastAsia="Times New Roman"/>
          <w:spacing w:val="-2"/>
        </w:rPr>
        <w:t xml:space="preserve">provide </w:t>
      </w:r>
      <w:r w:rsidR="00400210" w:rsidRPr="00CB2CB5">
        <w:rPr>
          <w:rFonts w:eastAsia="Times New Roman"/>
          <w:spacing w:val="-2"/>
        </w:rPr>
        <w:t>reliable service.</w:t>
      </w:r>
    </w:p>
    <w:p w14:paraId="0B9EF97A" w14:textId="77777777" w:rsidR="00EC06D8" w:rsidRPr="00CB2CB5" w:rsidRDefault="00EC06D8" w:rsidP="00307D79">
      <w:pPr>
        <w:spacing w:line="276" w:lineRule="auto"/>
        <w:ind w:left="1080"/>
        <w:rPr>
          <w:rFonts w:eastAsia="Times New Roman"/>
          <w:spacing w:val="-2"/>
        </w:rPr>
      </w:pPr>
    </w:p>
    <w:p w14:paraId="6CD565DB" w14:textId="77777777" w:rsidR="00C57F64" w:rsidRPr="00CB2CB5" w:rsidRDefault="00EB31CB" w:rsidP="00462AAE">
      <w:pPr>
        <w:spacing w:line="276" w:lineRule="auto"/>
        <w:ind w:left="1440" w:right="1080"/>
        <w:rPr>
          <w:rFonts w:eastAsia="Times New Roman"/>
          <w:i/>
        </w:rPr>
      </w:pPr>
      <w:r w:rsidRPr="00CB2CB5">
        <w:rPr>
          <w:rFonts w:eastAsia="Times New Roman"/>
          <w:i/>
        </w:rPr>
        <w:t>"</w:t>
      </w:r>
      <w:r w:rsidR="00400210" w:rsidRPr="00CB2CB5">
        <w:rPr>
          <w:rFonts w:eastAsia="Times New Roman"/>
          <w:i/>
        </w:rPr>
        <w:t>The electric plant of the utility shall be constructed, installed, maintained, and operated in accordance with accepted good engineering practice in the electric industry to assure, as far as reasonably possible, continuity of service, uniformity in the quality of service furnished, and the safety of persons and property.</w:t>
      </w:r>
      <w:r w:rsidRPr="00CB2CB5">
        <w:rPr>
          <w:rFonts w:eastAsia="Times New Roman"/>
          <w:i/>
        </w:rPr>
        <w:t>"</w:t>
      </w:r>
    </w:p>
    <w:p w14:paraId="51B166A9" w14:textId="77777777" w:rsidR="00400210" w:rsidRPr="00CB2CB5" w:rsidRDefault="00400210" w:rsidP="00307D79">
      <w:pPr>
        <w:spacing w:line="276" w:lineRule="auto"/>
        <w:ind w:left="1080"/>
        <w:rPr>
          <w:rFonts w:eastAsia="Times New Roman"/>
        </w:rPr>
      </w:pPr>
    </w:p>
    <w:p w14:paraId="1DBC5503" w14:textId="1053A13E" w:rsidR="00400210" w:rsidRPr="00CB2CB5" w:rsidRDefault="00400210" w:rsidP="00307D79">
      <w:pPr>
        <w:keepNext/>
        <w:keepLines/>
        <w:spacing w:line="276" w:lineRule="auto"/>
        <w:ind w:left="1080"/>
        <w:rPr>
          <w:rFonts w:eastAsia="Times New Roman"/>
        </w:rPr>
      </w:pPr>
      <w:r w:rsidRPr="00CB2CB5">
        <w:rPr>
          <w:rFonts w:eastAsia="Times New Roman"/>
        </w:rPr>
        <w:t xml:space="preserve">Additionally, </w:t>
      </w:r>
      <w:r w:rsidR="00E737EF">
        <w:rPr>
          <w:rFonts w:eastAsia="Times New Roman"/>
        </w:rPr>
        <w:t>17.9.560.</w:t>
      </w:r>
      <w:r w:rsidR="00D959B8">
        <w:rPr>
          <w:rFonts w:eastAsia="Times New Roman"/>
        </w:rPr>
        <w:t>13 (C) NMAC</w:t>
      </w:r>
      <w:r w:rsidRPr="00CB2CB5">
        <w:rPr>
          <w:rFonts w:eastAsia="Times New Roman"/>
        </w:rPr>
        <w:t xml:space="preserve"> stresses the importance of resource adequacy to include a reserve margin.</w:t>
      </w:r>
    </w:p>
    <w:p w14:paraId="5D1611FB" w14:textId="77777777" w:rsidR="00EC06D8" w:rsidRPr="00CB2CB5" w:rsidRDefault="00EC06D8" w:rsidP="00307D79">
      <w:pPr>
        <w:keepNext/>
        <w:keepLines/>
        <w:spacing w:line="276" w:lineRule="auto"/>
        <w:ind w:left="1080"/>
        <w:rPr>
          <w:rFonts w:eastAsia="Times New Roman"/>
        </w:rPr>
      </w:pPr>
    </w:p>
    <w:p w14:paraId="32BCA55F" w14:textId="3CF17E01" w:rsidR="00400210" w:rsidRPr="00CB2CB5" w:rsidRDefault="00EB31CB" w:rsidP="00462AAE">
      <w:pPr>
        <w:spacing w:line="276" w:lineRule="auto"/>
        <w:ind w:left="1440" w:right="1080"/>
        <w:rPr>
          <w:rFonts w:eastAsia="Times New Roman"/>
          <w:i/>
        </w:rPr>
      </w:pPr>
      <w:r w:rsidRPr="00CB2CB5">
        <w:rPr>
          <w:rFonts w:eastAsia="Times New Roman"/>
          <w:i/>
        </w:rPr>
        <w:t>"</w:t>
      </w:r>
      <w:r w:rsidR="00400210" w:rsidRPr="00CB2CB5">
        <w:rPr>
          <w:rFonts w:eastAsia="Times New Roman"/>
          <w:i/>
        </w:rPr>
        <w:t xml:space="preserve">Adequacy of supply.  The generating capacity of the utility's plant supplemented by the electric power regularly available from other sources must be sufficiently large </w:t>
      </w:r>
      <w:proofErr w:type="gramStart"/>
      <w:r w:rsidR="00400210" w:rsidRPr="00CB2CB5">
        <w:rPr>
          <w:rFonts w:eastAsia="Times New Roman"/>
          <w:i/>
        </w:rPr>
        <w:t>so as to</w:t>
      </w:r>
      <w:proofErr w:type="gramEnd"/>
      <w:r w:rsidR="00400210" w:rsidRPr="00CB2CB5">
        <w:rPr>
          <w:rFonts w:eastAsia="Times New Roman"/>
          <w:i/>
        </w:rPr>
        <w:t xml:space="preserve"> meet all normal demands for service and provide a reasonable reserve for emergencies.</w:t>
      </w:r>
      <w:r w:rsidRPr="00CB2CB5">
        <w:rPr>
          <w:rFonts w:eastAsia="Times New Roman"/>
          <w:i/>
        </w:rPr>
        <w:t>"</w:t>
      </w:r>
    </w:p>
    <w:p w14:paraId="177BAF0D" w14:textId="77777777" w:rsidR="008C54BA" w:rsidRPr="00CB2CB5" w:rsidRDefault="008C54BA" w:rsidP="00462AAE">
      <w:pPr>
        <w:spacing w:line="276" w:lineRule="auto"/>
        <w:ind w:left="1440" w:right="1080"/>
        <w:rPr>
          <w:rFonts w:eastAsia="Times New Roman"/>
          <w:i/>
        </w:rPr>
      </w:pPr>
    </w:p>
    <w:p w14:paraId="0A210987" w14:textId="47CFDA78" w:rsidR="00EC06D8" w:rsidRPr="00CB2CB5" w:rsidRDefault="00EC06D8" w:rsidP="008759DE">
      <w:pPr>
        <w:spacing w:line="276" w:lineRule="auto"/>
        <w:ind w:left="1440" w:right="1080"/>
        <w:rPr>
          <w:rFonts w:eastAsia="Times New Roman"/>
          <w:i/>
        </w:rPr>
      </w:pPr>
    </w:p>
    <w:p w14:paraId="16924F5B" w14:textId="275878D2" w:rsidR="00462AAE" w:rsidRPr="00CB2CB5" w:rsidRDefault="00462AAE" w:rsidP="00E45D57">
      <w:pPr>
        <w:pStyle w:val="Heading3"/>
        <w:ind w:left="1440"/>
        <w:rPr>
          <w:rFonts w:eastAsia="Times New Roman"/>
        </w:rPr>
      </w:pPr>
      <w:bookmarkStart w:id="31" w:name="_Toc534190306"/>
      <w:r w:rsidRPr="00CB2CB5">
        <w:rPr>
          <w:rFonts w:eastAsia="Times New Roman"/>
        </w:rPr>
        <w:t>Reserve Margin Requirements</w:t>
      </w:r>
      <w:bookmarkEnd w:id="31"/>
    </w:p>
    <w:p w14:paraId="0BFD19B8" w14:textId="07D05F72" w:rsidR="00462AAE" w:rsidRPr="00CB2CB5" w:rsidRDefault="00462AAE" w:rsidP="008759DE">
      <w:pPr>
        <w:spacing w:line="276" w:lineRule="auto"/>
        <w:ind w:left="1440" w:right="1080"/>
        <w:rPr>
          <w:rFonts w:eastAsia="Times New Roman"/>
        </w:rPr>
      </w:pPr>
    </w:p>
    <w:p w14:paraId="4FB8E314" w14:textId="1FC4F50E" w:rsidR="00196A84" w:rsidRPr="00CB2CB5" w:rsidRDefault="00196A84" w:rsidP="00196A84">
      <w:pPr>
        <w:tabs>
          <w:tab w:val="left" w:pos="8010"/>
          <w:tab w:val="left" w:pos="8100"/>
        </w:tabs>
        <w:spacing w:line="276" w:lineRule="auto"/>
        <w:ind w:left="1080"/>
        <w:rPr>
          <w:rFonts w:eastAsia="Times New Roman"/>
        </w:rPr>
      </w:pPr>
      <w:r w:rsidRPr="00CB2CB5">
        <w:rPr>
          <w:rFonts w:eastAsia="Times New Roman"/>
        </w:rPr>
        <w:t xml:space="preserve">Electric utilities work to maintain </w:t>
      </w:r>
      <w:r w:rsidR="006927CA">
        <w:rPr>
          <w:rFonts w:eastAsia="Times New Roman"/>
        </w:rPr>
        <w:t>year-round resource adequacy</w:t>
      </w:r>
      <w:r w:rsidRPr="00CB2CB5">
        <w:rPr>
          <w:rFonts w:eastAsia="Times New Roman"/>
        </w:rPr>
        <w:t xml:space="preserve"> to their firm customers</w:t>
      </w:r>
      <w:r w:rsidR="006927CA">
        <w:rPr>
          <w:rFonts w:eastAsia="Times New Roman"/>
        </w:rPr>
        <w:t xml:space="preserve"> with reasonable reliability</w:t>
      </w:r>
      <w:r w:rsidRPr="00CB2CB5">
        <w:rPr>
          <w:rFonts w:eastAsia="Times New Roman"/>
        </w:rPr>
        <w:t xml:space="preserve">. As a result, each system must maintain an adequate supply of generation that not only will meet the maximum </w:t>
      </w:r>
      <w:r w:rsidR="00E45D57" w:rsidRPr="00CB2CB5">
        <w:rPr>
          <w:rFonts w:eastAsia="Times New Roman"/>
        </w:rPr>
        <w:t xml:space="preserve">forecasted </w:t>
      </w:r>
      <w:r w:rsidRPr="00CB2CB5">
        <w:rPr>
          <w:rFonts w:eastAsia="Times New Roman"/>
        </w:rPr>
        <w:t xml:space="preserve">demand of its customers (i.e., the "peak" demand) but also provide for unforeseen events (e.g., transmission line </w:t>
      </w:r>
      <w:r w:rsidRPr="00CB2CB5">
        <w:rPr>
          <w:rFonts w:eastAsia="Times New Roman"/>
        </w:rPr>
        <w:lastRenderedPageBreak/>
        <w:t xml:space="preserve">outages, power plant outages, </w:t>
      </w:r>
      <w:r w:rsidR="00E45D57" w:rsidRPr="00CB2CB5">
        <w:rPr>
          <w:rFonts w:eastAsia="Times New Roman"/>
        </w:rPr>
        <w:t xml:space="preserve">exceedance of peak load forecast, </w:t>
      </w:r>
      <w:r w:rsidRPr="00CB2CB5">
        <w:rPr>
          <w:rFonts w:eastAsia="Times New Roman"/>
        </w:rPr>
        <w:t xml:space="preserve">etc.). To accomplish these objectives, utilities acquire and operate more generation capacity than is needed to meet peak demand.  The additional generation, above what is needed to meet peak customer demand, is called the </w:t>
      </w:r>
      <w:r w:rsidR="006927CA">
        <w:rPr>
          <w:rFonts w:eastAsia="Times New Roman"/>
        </w:rPr>
        <w:t xml:space="preserve">planning </w:t>
      </w:r>
      <w:r w:rsidRPr="00CB2CB5">
        <w:rPr>
          <w:rFonts w:eastAsia="Times New Roman"/>
        </w:rPr>
        <w:t>reserve margin</w:t>
      </w:r>
      <w:r w:rsidR="006927CA">
        <w:rPr>
          <w:rFonts w:eastAsia="Times New Roman"/>
        </w:rPr>
        <w:t xml:space="preserve"> (“</w:t>
      </w:r>
      <w:proofErr w:type="spellStart"/>
      <w:r w:rsidR="006927CA">
        <w:rPr>
          <w:rFonts w:eastAsia="Times New Roman"/>
        </w:rPr>
        <w:t>PRM</w:t>
      </w:r>
      <w:proofErr w:type="spellEnd"/>
      <w:r w:rsidR="006927CA">
        <w:rPr>
          <w:rFonts w:eastAsia="Times New Roman"/>
        </w:rPr>
        <w:t>”)</w:t>
      </w:r>
      <w:r w:rsidRPr="00CB2CB5">
        <w:rPr>
          <w:rFonts w:eastAsia="Times New Roman"/>
        </w:rPr>
        <w:t xml:space="preserve">. Generally, there are two basic types of reserve margins: (i) </w:t>
      </w:r>
      <w:r w:rsidR="002B3B24" w:rsidRPr="00CB2CB5">
        <w:rPr>
          <w:rFonts w:eastAsia="Times New Roman"/>
        </w:rPr>
        <w:t>p</w:t>
      </w:r>
      <w:r w:rsidRPr="00CB2CB5">
        <w:rPr>
          <w:rFonts w:eastAsia="Times New Roman"/>
        </w:rPr>
        <w:t xml:space="preserve">lanning </w:t>
      </w:r>
      <w:r w:rsidR="002B3B24" w:rsidRPr="00CB2CB5">
        <w:rPr>
          <w:rFonts w:eastAsia="Times New Roman"/>
        </w:rPr>
        <w:t>r</w:t>
      </w:r>
      <w:r w:rsidRPr="00CB2CB5">
        <w:rPr>
          <w:rFonts w:eastAsia="Times New Roman"/>
        </w:rPr>
        <w:t xml:space="preserve">eserve </w:t>
      </w:r>
      <w:r w:rsidR="002B3B24" w:rsidRPr="00CB2CB5">
        <w:rPr>
          <w:rFonts w:eastAsia="Times New Roman"/>
        </w:rPr>
        <w:t>m</w:t>
      </w:r>
      <w:r w:rsidRPr="00CB2CB5">
        <w:rPr>
          <w:rFonts w:eastAsia="Times New Roman"/>
        </w:rPr>
        <w:t xml:space="preserve">argins, which are the amount of installed capacity required in excess of forecasted annual peak firm demand, and (ii) </w:t>
      </w:r>
      <w:r w:rsidR="002B3B24" w:rsidRPr="00CB2CB5">
        <w:rPr>
          <w:rFonts w:eastAsia="Times New Roman"/>
        </w:rPr>
        <w:t>operating r</w:t>
      </w:r>
      <w:r w:rsidRPr="00CB2CB5">
        <w:rPr>
          <w:rFonts w:eastAsia="Times New Roman"/>
        </w:rPr>
        <w:t xml:space="preserve">eserve </w:t>
      </w:r>
      <w:r w:rsidR="002B3B24" w:rsidRPr="00CB2CB5">
        <w:rPr>
          <w:rFonts w:eastAsia="Times New Roman"/>
        </w:rPr>
        <w:t>m</w:t>
      </w:r>
      <w:r w:rsidRPr="00CB2CB5">
        <w:rPr>
          <w:rFonts w:eastAsia="Times New Roman"/>
        </w:rPr>
        <w:t xml:space="preserve">argins, which are the amount of actual generation capacity required in real-time, either with units carrying regulation and/or spinning reserves; or units offline but in reserve and capable of providing additional generation in order to meet real-time changes in load/demand and any unforeseen contingencies (e.g., transmission outage, generator forced outage, gas supply disruptions, etc.). </w:t>
      </w:r>
    </w:p>
    <w:p w14:paraId="594505A9" w14:textId="77777777" w:rsidR="00E33416" w:rsidRDefault="00E33416" w:rsidP="00196A84">
      <w:pPr>
        <w:tabs>
          <w:tab w:val="left" w:pos="8010"/>
          <w:tab w:val="left" w:pos="8100"/>
        </w:tabs>
        <w:spacing w:line="276" w:lineRule="auto"/>
        <w:ind w:left="1080"/>
        <w:rPr>
          <w:rFonts w:eastAsia="Times New Roman"/>
        </w:rPr>
      </w:pPr>
    </w:p>
    <w:p w14:paraId="5FEA4359" w14:textId="735D742E" w:rsidR="00462AAE" w:rsidRPr="00CB2CB5" w:rsidRDefault="00196A84" w:rsidP="00196A84">
      <w:pPr>
        <w:tabs>
          <w:tab w:val="left" w:pos="8010"/>
          <w:tab w:val="left" w:pos="8100"/>
        </w:tabs>
        <w:spacing w:line="276" w:lineRule="auto"/>
        <w:ind w:left="1080"/>
        <w:rPr>
          <w:rFonts w:eastAsia="Times New Roman"/>
        </w:rPr>
      </w:pPr>
      <w:r w:rsidRPr="00CB2CB5">
        <w:rPr>
          <w:rFonts w:eastAsia="Times New Roman"/>
        </w:rPr>
        <w:t xml:space="preserve">From a long-term planning standpoint, </w:t>
      </w:r>
      <w:r w:rsidR="002B3B24" w:rsidRPr="00CB2CB5">
        <w:t>EPE previously established a reserve margin of 15% which was re-affirmed in 2015 by a third-party firm, E3</w:t>
      </w:r>
      <w:r w:rsidR="00D959B8">
        <w:t>,</w:t>
      </w:r>
      <w:r w:rsidR="002B3B24" w:rsidRPr="00CB2CB5">
        <w:t xml:space="preserve"> </w:t>
      </w:r>
      <w:r w:rsidR="00B93F20">
        <w:t xml:space="preserve">and </w:t>
      </w:r>
      <w:r w:rsidR="001D065E">
        <w:t xml:space="preserve">EPE </w:t>
      </w:r>
      <w:r w:rsidR="00B93F20">
        <w:t>has been utilizing that reserve margin since then</w:t>
      </w:r>
      <w:r w:rsidR="002B3B24" w:rsidRPr="00CB2CB5">
        <w:t>.</w:t>
      </w:r>
      <w:r w:rsidR="00B93F20">
        <w:t xml:space="preserve">  As part of this IRP, EPE requested that E3 reassess its </w:t>
      </w:r>
      <w:proofErr w:type="spellStart"/>
      <w:r w:rsidR="00B93F20">
        <w:t>PRM</w:t>
      </w:r>
      <w:proofErr w:type="spellEnd"/>
      <w:r w:rsidR="00B93F20">
        <w:t xml:space="preserve"> requirements</w:t>
      </w:r>
      <w:r w:rsidR="00D959B8">
        <w:t>,</w:t>
      </w:r>
      <w:r w:rsidR="00B93F20">
        <w:t xml:space="preserve"> and </w:t>
      </w:r>
      <w:r w:rsidR="001D065E">
        <w:t>th</w:t>
      </w:r>
      <w:r w:rsidR="00D959B8">
        <w:t>at</w:t>
      </w:r>
      <w:r w:rsidR="00B93F20">
        <w:t xml:space="preserve"> analysis </w:t>
      </w:r>
      <w:r w:rsidR="001D065E">
        <w:t xml:space="preserve">is </w:t>
      </w:r>
      <w:r w:rsidR="00B93F20">
        <w:t>described later in this report.</w:t>
      </w:r>
    </w:p>
    <w:p w14:paraId="26FDC773" w14:textId="77777777" w:rsidR="00462AAE" w:rsidRPr="00CB2CB5" w:rsidRDefault="00462AAE" w:rsidP="00462AAE">
      <w:pPr>
        <w:tabs>
          <w:tab w:val="left" w:pos="8010"/>
          <w:tab w:val="left" w:pos="8100"/>
        </w:tabs>
        <w:spacing w:line="276" w:lineRule="auto"/>
        <w:ind w:left="1080"/>
        <w:rPr>
          <w:rFonts w:eastAsia="Times New Roman"/>
        </w:rPr>
      </w:pPr>
    </w:p>
    <w:p w14:paraId="3077359E" w14:textId="77777777" w:rsidR="00013EC1" w:rsidRPr="00CB2CB5" w:rsidRDefault="00925B19" w:rsidP="00BE0899">
      <w:pPr>
        <w:pStyle w:val="Heading2"/>
        <w:numPr>
          <w:ilvl w:val="0"/>
          <w:numId w:val="26"/>
        </w:numPr>
        <w:spacing w:line="276" w:lineRule="auto"/>
        <w:ind w:left="1080" w:hanging="540"/>
      </w:pPr>
      <w:bookmarkStart w:id="32" w:name="_Toc534190307"/>
      <w:r w:rsidRPr="00CB2CB5">
        <w:t>Existing Transmission Capabilities</w:t>
      </w:r>
      <w:bookmarkEnd w:id="32"/>
    </w:p>
    <w:p w14:paraId="6850C35D" w14:textId="77777777" w:rsidR="001E42BD" w:rsidRPr="00CB2CB5" w:rsidRDefault="001E42BD" w:rsidP="00BE0899">
      <w:pPr>
        <w:pStyle w:val="BodyText"/>
        <w:keepNext/>
        <w:keepLines/>
        <w:widowControl/>
        <w:spacing w:line="276" w:lineRule="auto"/>
        <w:ind w:left="540" w:right="14"/>
        <w:jc w:val="both"/>
        <w:rPr>
          <w:b/>
        </w:rPr>
      </w:pPr>
    </w:p>
    <w:p w14:paraId="7AC85D5B" w14:textId="254AA213" w:rsidR="00D778B6" w:rsidRPr="00CB2CB5" w:rsidRDefault="00D778B6" w:rsidP="00D778B6">
      <w:pPr>
        <w:pStyle w:val="BodyText"/>
        <w:spacing w:line="276" w:lineRule="auto"/>
        <w:ind w:left="540" w:right="10"/>
        <w:jc w:val="both"/>
      </w:pPr>
      <w:r w:rsidRPr="00CB2CB5">
        <w:t xml:space="preserve">EPE owns and operates extensive transmission resources to serve customer load from its local and remote generation, and from other interconnected resources throughout the </w:t>
      </w:r>
      <w:proofErr w:type="spellStart"/>
      <w:r w:rsidRPr="00CB2CB5">
        <w:t>WECC</w:t>
      </w:r>
      <w:proofErr w:type="spellEnd"/>
      <w:r w:rsidRPr="00CB2CB5">
        <w:t>. EPE's high voltage ("</w:t>
      </w:r>
      <w:proofErr w:type="spellStart"/>
      <w:r w:rsidRPr="00CB2CB5">
        <w:t>HV</w:t>
      </w:r>
      <w:proofErr w:type="spellEnd"/>
      <w:r w:rsidRPr="00CB2CB5">
        <w:t xml:space="preserve">") transmission system consists of 69 </w:t>
      </w:r>
      <w:r w:rsidR="00254C84" w:rsidRPr="00CB2CB5">
        <w:t>kilovolt</w:t>
      </w:r>
      <w:r w:rsidRPr="00CB2CB5">
        <w:t xml:space="preserve"> ("kV") and 115 kV lines, and its extra high voltage ("EHV") transmission system consists of 345 kV, and 500 kV lines.  These facilities </w:t>
      </w:r>
      <w:proofErr w:type="gramStart"/>
      <w:r w:rsidRPr="00CB2CB5">
        <w:t>are located in</w:t>
      </w:r>
      <w:proofErr w:type="gramEnd"/>
      <w:r w:rsidRPr="00CB2CB5">
        <w:t xml:space="preserve"> the following locations: within the EPE service territory, interconnected from its service territory to the western grid, or located near EPE's remote </w:t>
      </w:r>
      <w:proofErr w:type="spellStart"/>
      <w:r w:rsidRPr="00CB2CB5">
        <w:t>PVNGS</w:t>
      </w:r>
      <w:proofErr w:type="spellEnd"/>
      <w:r w:rsidRPr="00CB2CB5">
        <w:t xml:space="preserve"> generation. EPE's 345 kV system is the integral part of the transmission system used to import and export power to and from EPE's service area.  EPE's transmission system is comprised of three key components:</w:t>
      </w:r>
    </w:p>
    <w:p w14:paraId="73B27746" w14:textId="77777777" w:rsidR="00D778B6" w:rsidRPr="00CB2CB5" w:rsidRDefault="00D778B6" w:rsidP="00D778B6">
      <w:pPr>
        <w:pStyle w:val="BodyText"/>
        <w:spacing w:line="276" w:lineRule="auto"/>
        <w:ind w:left="540" w:right="10"/>
        <w:jc w:val="both"/>
      </w:pPr>
    </w:p>
    <w:p w14:paraId="2096A527" w14:textId="77777777" w:rsidR="00D778B6" w:rsidRPr="00CB2CB5" w:rsidRDefault="00D778B6" w:rsidP="00D778B6">
      <w:pPr>
        <w:pStyle w:val="BodyText"/>
        <w:numPr>
          <w:ilvl w:val="0"/>
          <w:numId w:val="2"/>
        </w:numPr>
        <w:autoSpaceDE/>
        <w:autoSpaceDN/>
        <w:spacing w:line="276" w:lineRule="auto"/>
        <w:jc w:val="both"/>
      </w:pPr>
      <w:r w:rsidRPr="00CB2CB5">
        <w:t>Local transmission - Several 345 kV, 115 kV, and 69 kV transmission lines that are interconnected within EPE's local electrical grid.</w:t>
      </w:r>
    </w:p>
    <w:p w14:paraId="4E4A9239" w14:textId="77777777" w:rsidR="00D778B6" w:rsidRPr="00CB2CB5" w:rsidRDefault="00D778B6" w:rsidP="00D778B6">
      <w:pPr>
        <w:pStyle w:val="BodyText"/>
        <w:numPr>
          <w:ilvl w:val="0"/>
          <w:numId w:val="2"/>
        </w:numPr>
        <w:autoSpaceDE/>
        <w:autoSpaceDN/>
        <w:spacing w:line="276" w:lineRule="auto"/>
        <w:jc w:val="both"/>
      </w:pPr>
      <w:r w:rsidRPr="00CB2CB5">
        <w:t xml:space="preserve">Path 47 - Three major 345 kV transmission lines known as Path 47 used to import/export power between </w:t>
      </w:r>
      <w:proofErr w:type="spellStart"/>
      <w:r w:rsidRPr="00CB2CB5">
        <w:t>WECC</w:t>
      </w:r>
      <w:proofErr w:type="spellEnd"/>
      <w:r w:rsidRPr="00CB2CB5">
        <w:t xml:space="preserve"> and EPE (plus one 115 kV line wholly owned and utilized by Tri-State); and,</w:t>
      </w:r>
    </w:p>
    <w:p w14:paraId="1DD8725F" w14:textId="77777777" w:rsidR="00D778B6" w:rsidRPr="00CB2CB5" w:rsidRDefault="00D778B6" w:rsidP="00D778B6">
      <w:pPr>
        <w:pStyle w:val="BodyText"/>
        <w:numPr>
          <w:ilvl w:val="0"/>
          <w:numId w:val="2"/>
        </w:numPr>
        <w:autoSpaceDE/>
        <w:autoSpaceDN/>
        <w:spacing w:line="276" w:lineRule="auto"/>
        <w:jc w:val="both"/>
      </w:pPr>
      <w:r w:rsidRPr="00CB2CB5">
        <w:t>Eddy County DC Tie - A single 345 kV transmission line that interconnects EPE's local transmission system to SPS, an Xcel Energy Company, system through a 200 MW High Voltage Direct Current ("HVDC") terminal.</w:t>
      </w:r>
    </w:p>
    <w:p w14:paraId="13A85BF0" w14:textId="77777777" w:rsidR="00D778B6" w:rsidRPr="00CB2CB5" w:rsidRDefault="00D778B6" w:rsidP="00D778B6">
      <w:pPr>
        <w:pStyle w:val="BodyText"/>
        <w:spacing w:line="276" w:lineRule="auto"/>
        <w:ind w:left="540"/>
        <w:jc w:val="both"/>
      </w:pPr>
    </w:p>
    <w:p w14:paraId="3CDBCD38" w14:textId="77777777" w:rsidR="00D778B6" w:rsidRPr="00CB2CB5" w:rsidRDefault="00D778B6" w:rsidP="00D778B6">
      <w:pPr>
        <w:pStyle w:val="BodyText"/>
        <w:spacing w:line="276" w:lineRule="auto"/>
        <w:ind w:left="540"/>
        <w:jc w:val="both"/>
      </w:pPr>
      <w:r w:rsidRPr="00CB2CB5">
        <w:t xml:space="preserve">More details on EPE's transmission system are explained in the following sections. </w:t>
      </w:r>
    </w:p>
    <w:p w14:paraId="575CBEAD" w14:textId="77777777" w:rsidR="00D778B6" w:rsidRPr="00CB2CB5" w:rsidRDefault="00D778B6" w:rsidP="00D778B6">
      <w:pPr>
        <w:pStyle w:val="BodyText"/>
        <w:spacing w:line="276" w:lineRule="auto"/>
        <w:ind w:left="540"/>
        <w:jc w:val="both"/>
      </w:pPr>
    </w:p>
    <w:p w14:paraId="1C0BCAD1" w14:textId="77777777" w:rsidR="00D778B6" w:rsidRPr="00CB2CB5" w:rsidRDefault="00D778B6" w:rsidP="00D778B6">
      <w:pPr>
        <w:spacing w:line="276" w:lineRule="auto"/>
        <w:ind w:left="540"/>
        <w:rPr>
          <w:rFonts w:eastAsia="Times New Roman"/>
          <w:u w:val="single"/>
        </w:rPr>
      </w:pPr>
      <w:r w:rsidRPr="00CB2CB5">
        <w:rPr>
          <w:rFonts w:eastAsia="Times New Roman"/>
          <w:u w:val="single"/>
        </w:rPr>
        <w:lastRenderedPageBreak/>
        <w:t>Local Transmission</w:t>
      </w:r>
    </w:p>
    <w:p w14:paraId="0B7070D9" w14:textId="77777777" w:rsidR="00D778B6" w:rsidRPr="00CB2CB5" w:rsidRDefault="00D778B6" w:rsidP="00D778B6">
      <w:pPr>
        <w:pStyle w:val="BodyText"/>
        <w:spacing w:line="276" w:lineRule="auto"/>
        <w:ind w:left="540"/>
        <w:jc w:val="both"/>
      </w:pPr>
    </w:p>
    <w:p w14:paraId="73A5DBCB" w14:textId="77777777" w:rsidR="00D778B6" w:rsidRPr="00CB2CB5" w:rsidRDefault="00D778B6" w:rsidP="00D778B6">
      <w:pPr>
        <w:pStyle w:val="BodyText"/>
        <w:spacing w:line="276" w:lineRule="auto"/>
        <w:ind w:left="540"/>
        <w:jc w:val="both"/>
      </w:pPr>
      <w:r w:rsidRPr="00CB2CB5">
        <w:t xml:space="preserve">EPE's local EHV and </w:t>
      </w:r>
      <w:proofErr w:type="spellStart"/>
      <w:r w:rsidRPr="00CB2CB5">
        <w:t>HV</w:t>
      </w:r>
      <w:proofErr w:type="spellEnd"/>
      <w:r w:rsidRPr="00CB2CB5">
        <w:t xml:space="preserve"> transmission system consists of 345 kV, 115 kV and 69 kV lines in and around El Paso, Texas, and Las Cruces, New Mexico.  EPE's local EHV transmission system consists of several 345 kV transmission lines that move the power from EPE's Path 47 import path and the Eddy County HVDC Terminal (see below) and distributes that power for delivery to various points on EPE's local </w:t>
      </w:r>
      <w:proofErr w:type="spellStart"/>
      <w:r w:rsidRPr="00CB2CB5">
        <w:t>HV</w:t>
      </w:r>
      <w:proofErr w:type="spellEnd"/>
      <w:r w:rsidRPr="00CB2CB5">
        <w:t xml:space="preserve"> system.  Most of EPE's major distribution substations are connected to at least two 115 kV and/or 69 kV transmission lines.  This high level of networking increases the reliability of the system by allowing the power to re-route to other transmission lines during outages.</w:t>
      </w:r>
    </w:p>
    <w:p w14:paraId="3CEDE5F8" w14:textId="77777777" w:rsidR="00D778B6" w:rsidRPr="00CB2CB5" w:rsidRDefault="00D778B6" w:rsidP="00D778B6">
      <w:pPr>
        <w:pStyle w:val="BodyText"/>
        <w:spacing w:line="276" w:lineRule="auto"/>
        <w:ind w:left="540"/>
        <w:jc w:val="both"/>
      </w:pPr>
    </w:p>
    <w:p w14:paraId="0D9C323D" w14:textId="77777777" w:rsidR="00D778B6" w:rsidRPr="00CB2CB5" w:rsidRDefault="00D778B6" w:rsidP="00D778B6">
      <w:pPr>
        <w:pStyle w:val="BodyText"/>
        <w:widowControl/>
        <w:spacing w:line="276" w:lineRule="auto"/>
        <w:ind w:left="547"/>
        <w:jc w:val="both"/>
      </w:pPr>
      <w:r w:rsidRPr="00CB2CB5">
        <w:t xml:space="preserve">EPE's local generation is directly connected to the local </w:t>
      </w:r>
      <w:proofErr w:type="spellStart"/>
      <w:r w:rsidRPr="00CB2CB5">
        <w:t>HV</w:t>
      </w:r>
      <w:proofErr w:type="spellEnd"/>
      <w:r w:rsidRPr="00CB2CB5">
        <w:t xml:space="preserve"> transmission system at Newman in northeast El Paso; Rio Grande in Sunland Park, New Mexico; MPS in far east El Paso; and Copper in central El Paso.  The power generated at these plants flows directly into the EPE </w:t>
      </w:r>
      <w:proofErr w:type="spellStart"/>
      <w:r w:rsidRPr="00CB2CB5">
        <w:t>HV</w:t>
      </w:r>
      <w:proofErr w:type="spellEnd"/>
      <w:r w:rsidRPr="00CB2CB5">
        <w:t xml:space="preserve"> transmission system and then flows to the customer loads through the distribution system. </w:t>
      </w:r>
    </w:p>
    <w:p w14:paraId="3C400B27" w14:textId="77777777" w:rsidR="00D778B6" w:rsidRPr="00CB2CB5" w:rsidRDefault="00D778B6" w:rsidP="00D778B6">
      <w:pPr>
        <w:pStyle w:val="BodyText"/>
        <w:widowControl/>
        <w:spacing w:line="276" w:lineRule="auto"/>
        <w:ind w:left="547"/>
        <w:jc w:val="both"/>
      </w:pPr>
    </w:p>
    <w:p w14:paraId="7FF8AB75" w14:textId="77777777" w:rsidR="00D778B6" w:rsidRPr="00CB2CB5" w:rsidRDefault="00D778B6" w:rsidP="00D778B6">
      <w:pPr>
        <w:pStyle w:val="BodyText"/>
        <w:keepNext/>
        <w:keepLines/>
        <w:widowControl/>
        <w:tabs>
          <w:tab w:val="left" w:pos="520"/>
        </w:tabs>
        <w:spacing w:line="276" w:lineRule="auto"/>
        <w:ind w:left="547"/>
        <w:jc w:val="both"/>
        <w:rPr>
          <w:u w:val="single"/>
        </w:rPr>
      </w:pPr>
      <w:r w:rsidRPr="00CB2CB5">
        <w:rPr>
          <w:u w:val="single"/>
        </w:rPr>
        <w:t>Path 47</w:t>
      </w:r>
    </w:p>
    <w:p w14:paraId="01D6B4F9" w14:textId="77777777" w:rsidR="00D778B6" w:rsidRPr="00CB2CB5" w:rsidRDefault="00D778B6" w:rsidP="00D778B6">
      <w:pPr>
        <w:pStyle w:val="BodyText"/>
        <w:keepNext/>
        <w:keepLines/>
        <w:widowControl/>
        <w:tabs>
          <w:tab w:val="left" w:pos="520"/>
        </w:tabs>
        <w:spacing w:line="276" w:lineRule="auto"/>
        <w:ind w:left="540"/>
        <w:jc w:val="both"/>
      </w:pPr>
    </w:p>
    <w:p w14:paraId="24E96589" w14:textId="77777777" w:rsidR="00D778B6" w:rsidRPr="00CB2CB5" w:rsidRDefault="00D778B6" w:rsidP="00D778B6">
      <w:pPr>
        <w:pStyle w:val="BodyText"/>
        <w:tabs>
          <w:tab w:val="left" w:pos="520"/>
        </w:tabs>
        <w:spacing w:line="276" w:lineRule="auto"/>
        <w:ind w:left="540"/>
        <w:jc w:val="both"/>
      </w:pPr>
      <w:r w:rsidRPr="00CB2CB5">
        <w:t xml:space="preserve">Path 47 consists of EPE's three major 345 kV transmission interconnections with other utilities that are located at: (1) West Mesa Switching Station near Albuquerque, New Mexico with Public Service Company of New Mexico ("PNM"); (2) </w:t>
      </w:r>
      <w:proofErr w:type="spellStart"/>
      <w:r w:rsidRPr="00CB2CB5">
        <w:t>Springerville</w:t>
      </w:r>
      <w:proofErr w:type="spellEnd"/>
      <w:r w:rsidRPr="00CB2CB5">
        <w:t xml:space="preserve"> Generating Station ("</w:t>
      </w:r>
      <w:proofErr w:type="spellStart"/>
      <w:r w:rsidRPr="00CB2CB5">
        <w:t>Springerville</w:t>
      </w:r>
      <w:proofErr w:type="spellEnd"/>
      <w:r w:rsidRPr="00CB2CB5">
        <w:t>"); and, (3) Greenlee Substation ("Greenlee"), (both in Arizona) with Tucson Electric Power Company ("TEP"). Path 47 also includes the Belen to Bernardo 115 kV line owned and wholly used by Tri-State Generation and Transmission Association, Inc. ("Tri-State").</w:t>
      </w:r>
    </w:p>
    <w:p w14:paraId="28E911A3" w14:textId="77777777" w:rsidR="00D778B6" w:rsidRPr="00CB2CB5" w:rsidRDefault="00D778B6" w:rsidP="00D778B6">
      <w:pPr>
        <w:pStyle w:val="BodyText"/>
        <w:tabs>
          <w:tab w:val="left" w:pos="520"/>
        </w:tabs>
        <w:spacing w:line="276" w:lineRule="auto"/>
        <w:ind w:left="540"/>
        <w:jc w:val="both"/>
      </w:pPr>
    </w:p>
    <w:p w14:paraId="10567508" w14:textId="77777777" w:rsidR="00D778B6" w:rsidRPr="00CB2CB5" w:rsidRDefault="00D778B6" w:rsidP="00D778B6">
      <w:pPr>
        <w:pStyle w:val="BodyText"/>
        <w:tabs>
          <w:tab w:val="left" w:pos="520"/>
        </w:tabs>
        <w:spacing w:line="276" w:lineRule="auto"/>
        <w:ind w:left="540"/>
        <w:jc w:val="both"/>
        <w:rPr>
          <w:u w:val="single"/>
        </w:rPr>
      </w:pPr>
      <w:r w:rsidRPr="00CB2CB5">
        <w:rPr>
          <w:u w:val="single"/>
        </w:rPr>
        <w:t>Eddy County DC Tie</w:t>
      </w:r>
    </w:p>
    <w:p w14:paraId="5FD46D13" w14:textId="77777777" w:rsidR="00D778B6" w:rsidRPr="00CB2CB5" w:rsidRDefault="00D778B6" w:rsidP="00D778B6">
      <w:pPr>
        <w:pStyle w:val="BodyText"/>
        <w:spacing w:line="276" w:lineRule="auto"/>
        <w:ind w:left="540" w:right="173"/>
        <w:jc w:val="both"/>
      </w:pPr>
    </w:p>
    <w:p w14:paraId="73696271" w14:textId="77777777" w:rsidR="00D778B6" w:rsidRPr="00CB2CB5" w:rsidRDefault="00D778B6" w:rsidP="00D778B6">
      <w:pPr>
        <w:pStyle w:val="BodyText"/>
        <w:tabs>
          <w:tab w:val="left" w:pos="520"/>
        </w:tabs>
        <w:spacing w:line="276" w:lineRule="auto"/>
        <w:ind w:left="540"/>
        <w:jc w:val="both"/>
      </w:pPr>
      <w:r w:rsidRPr="00272B85">
        <w:t xml:space="preserve">EPE connects with SPS at the Eddy County HVDC Terminal near Artesia, New Mexico and has a 67% ownership in the Terminal and accompanying 345 kV transmission line connecting to the EPE system along with the joint owner, PNM.  Through this HVDC Terminal, EPE can access resources, when available, in the </w:t>
      </w:r>
      <w:proofErr w:type="spellStart"/>
      <w:r w:rsidRPr="00272B85">
        <w:t>SPP</w:t>
      </w:r>
      <w:proofErr w:type="spellEnd"/>
      <w:r w:rsidRPr="00272B85">
        <w:t xml:space="preserve"> for delivery to EPE loads.</w:t>
      </w:r>
      <w:r w:rsidRPr="004A3395">
        <w:t xml:space="preserve"> </w:t>
      </w:r>
      <w:r>
        <w:t xml:space="preserve">Additionally, </w:t>
      </w:r>
      <w:r w:rsidRPr="004A3395">
        <w:t xml:space="preserve">Empire substation is a new 345kV substation was built along the </w:t>
      </w:r>
      <w:proofErr w:type="spellStart"/>
      <w:r w:rsidRPr="004A3395">
        <w:t>Amrad</w:t>
      </w:r>
      <w:proofErr w:type="spellEnd"/>
      <w:r w:rsidRPr="004A3395">
        <w:t>—Eddy line</w:t>
      </w:r>
      <w:r>
        <w:t>,</w:t>
      </w:r>
      <w:r w:rsidRPr="004A3395">
        <w:t xml:space="preserve"> approximately 1 mile west of the HVDC Eddy substation.   The Empire substation was built to allow for the interconnection of the Oso Grande Wind Farm. </w:t>
      </w:r>
      <w:r>
        <w:t>I</w:t>
      </w:r>
      <w:r w:rsidRPr="004A3395">
        <w:t xml:space="preserve">mprovements on the </w:t>
      </w:r>
      <w:proofErr w:type="spellStart"/>
      <w:r w:rsidRPr="004A3395">
        <w:t>Amrad</w:t>
      </w:r>
      <w:proofErr w:type="spellEnd"/>
      <w:r w:rsidRPr="004A3395">
        <w:t xml:space="preserve">-Empire 345kV and the Empire-Eddy 345 kV lines allowed for an increase in its transmission capacity rating.  The new line ratings are 400 MVA.  </w:t>
      </w:r>
    </w:p>
    <w:p w14:paraId="2CF28283" w14:textId="77777777" w:rsidR="00D778B6" w:rsidRPr="004A3395" w:rsidRDefault="00D778B6" w:rsidP="00D778B6">
      <w:pPr>
        <w:spacing w:line="276" w:lineRule="auto"/>
        <w:ind w:left="540"/>
        <w:rPr>
          <w:rFonts w:eastAsia="Times New Roman"/>
          <w:iCs/>
        </w:rPr>
      </w:pPr>
    </w:p>
    <w:p w14:paraId="6E859FFF" w14:textId="77777777" w:rsidR="00D778B6" w:rsidRPr="00CB2CB5" w:rsidRDefault="00D778B6" w:rsidP="00D778B6">
      <w:pPr>
        <w:spacing w:line="276" w:lineRule="auto"/>
        <w:ind w:left="540"/>
        <w:rPr>
          <w:rFonts w:eastAsia="Times New Roman"/>
        </w:rPr>
      </w:pPr>
      <w:r w:rsidRPr="00CB2CB5">
        <w:rPr>
          <w:rFonts w:eastAsia="Times New Roman"/>
        </w:rPr>
        <w:lastRenderedPageBreak/>
        <w:t xml:space="preserve">Along with the three components listed above, EPE has ownership of external EHV transmission, as described below. </w:t>
      </w:r>
    </w:p>
    <w:p w14:paraId="1757F39F" w14:textId="77777777" w:rsidR="00D778B6" w:rsidRPr="00CB2CB5" w:rsidRDefault="00D778B6" w:rsidP="00D778B6">
      <w:pPr>
        <w:spacing w:line="276" w:lineRule="auto"/>
        <w:ind w:left="540"/>
        <w:rPr>
          <w:rFonts w:eastAsia="Times New Roman"/>
        </w:rPr>
      </w:pPr>
    </w:p>
    <w:p w14:paraId="2429E983" w14:textId="77777777" w:rsidR="00D778B6" w:rsidRPr="00CB2CB5" w:rsidRDefault="00D778B6" w:rsidP="00D778B6">
      <w:pPr>
        <w:pStyle w:val="BodyText"/>
        <w:tabs>
          <w:tab w:val="left" w:pos="520"/>
        </w:tabs>
        <w:spacing w:line="276" w:lineRule="auto"/>
        <w:ind w:left="540"/>
        <w:jc w:val="both"/>
      </w:pPr>
      <w:r w:rsidRPr="00CB2CB5">
        <w:t xml:space="preserve">EPE partially owns 500 kV transmission lines in the Arizona transmission system in connection with its </w:t>
      </w:r>
      <w:proofErr w:type="spellStart"/>
      <w:r w:rsidRPr="00CB2CB5">
        <w:t>PVNGS</w:t>
      </w:r>
      <w:proofErr w:type="spellEnd"/>
      <w:r w:rsidRPr="00CB2CB5">
        <w:t xml:space="preserve"> ownership and uses these lines for the delivery of its owned Palo Verde generation entitlement.  These transmission lines are designated as the Palo Verde East Path (composed of three lines, two (2) Palo Verde to </w:t>
      </w:r>
      <w:proofErr w:type="spellStart"/>
      <w:r w:rsidRPr="00CB2CB5">
        <w:t>Westwing</w:t>
      </w:r>
      <w:proofErr w:type="spellEnd"/>
      <w:r w:rsidRPr="00CB2CB5">
        <w:t xml:space="preserve"> lines and the Palo Verde to Jojoba to Kyrene line) and are operated by Salt River Project ("</w:t>
      </w:r>
      <w:proofErr w:type="spellStart"/>
      <w:r w:rsidRPr="00CB2CB5">
        <w:t>SRP</w:t>
      </w:r>
      <w:proofErr w:type="spellEnd"/>
      <w:r w:rsidRPr="00CB2CB5">
        <w:t xml:space="preserve">"). EPE utilizes a combination of an exchange and transmission agreement with TEP, transmission wheeling purchased from </w:t>
      </w:r>
      <w:proofErr w:type="spellStart"/>
      <w:r w:rsidRPr="00CB2CB5">
        <w:t>SRP</w:t>
      </w:r>
      <w:proofErr w:type="spellEnd"/>
      <w:r w:rsidRPr="00CB2CB5">
        <w:t xml:space="preserve"> and PNM. In addition, EPE has a </w:t>
      </w:r>
      <w:proofErr w:type="spellStart"/>
      <w:r w:rsidRPr="00CB2CB5">
        <w:t>PPA</w:t>
      </w:r>
      <w:proofErr w:type="spellEnd"/>
      <w:r w:rsidRPr="00CB2CB5">
        <w:t xml:space="preserve"> with Phelps Dodge Energy Services, LLP, to import additional resources that are purchased on the market and to allow EPE to import additional Palo Verde power during times Path 47 is curtailed. Once the power is delivered to EPE's Balancing Area, it is delivered to EPE's load area through use of jointly (EPE and PNM) and wholly-owned 345 kV lines in southern New Mexico and locally in the El Paso/Las Cruces area and then to EPE's local </w:t>
      </w:r>
      <w:proofErr w:type="spellStart"/>
      <w:r w:rsidRPr="00CB2CB5">
        <w:t>HV</w:t>
      </w:r>
      <w:proofErr w:type="spellEnd"/>
      <w:r w:rsidRPr="00CB2CB5">
        <w:t xml:space="preserve"> transmission system through EPE's existing 345/115 kV auto-transformers.</w:t>
      </w:r>
    </w:p>
    <w:p w14:paraId="76F01CC1" w14:textId="77777777" w:rsidR="00D778B6" w:rsidRPr="00CB2CB5" w:rsidRDefault="00D778B6" w:rsidP="00D778B6">
      <w:pPr>
        <w:pStyle w:val="BodyText"/>
        <w:tabs>
          <w:tab w:val="left" w:pos="520"/>
        </w:tabs>
        <w:spacing w:line="276" w:lineRule="auto"/>
        <w:ind w:left="540" w:right="10"/>
        <w:jc w:val="both"/>
      </w:pPr>
    </w:p>
    <w:p w14:paraId="748C13F8" w14:textId="77777777" w:rsidR="00D778B6" w:rsidRPr="00CB2CB5" w:rsidRDefault="00D778B6" w:rsidP="00D778B6">
      <w:pPr>
        <w:pStyle w:val="BodyText"/>
        <w:spacing w:line="276" w:lineRule="auto"/>
        <w:ind w:left="540" w:right="10"/>
        <w:jc w:val="both"/>
      </w:pPr>
      <w:r w:rsidRPr="00CB2CB5">
        <w:t>A map of EPE's EHV Transmission system is shown in Figure 2 below.</w:t>
      </w:r>
    </w:p>
    <w:p w14:paraId="3CE6F4AD" w14:textId="0F46AB69" w:rsidR="00D778B6" w:rsidRPr="00CB2CB5" w:rsidRDefault="00D778B6" w:rsidP="00D778B6">
      <w:pPr>
        <w:spacing w:line="276" w:lineRule="auto"/>
      </w:pPr>
    </w:p>
    <w:p w14:paraId="034553C3" w14:textId="62451515" w:rsidR="00D778B6" w:rsidRPr="00CB2CB5" w:rsidRDefault="00D778B6" w:rsidP="00D778B6">
      <w:pPr>
        <w:keepNext/>
        <w:spacing w:line="276" w:lineRule="auto"/>
      </w:pPr>
      <w:r w:rsidRPr="00CB2CB5">
        <w:rPr>
          <w:noProof/>
        </w:rPr>
        <w:lastRenderedPageBreak/>
        <w:drawing>
          <wp:inline distT="0" distB="0" distL="0" distR="0" wp14:anchorId="17C1B73A" wp14:editId="7D9EEB3B">
            <wp:extent cx="5961888" cy="458024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8015" cy="4592634"/>
                    </a:xfrm>
                    <a:prstGeom prst="rect">
                      <a:avLst/>
                    </a:prstGeom>
                  </pic:spPr>
                </pic:pic>
              </a:graphicData>
            </a:graphic>
          </wp:inline>
        </w:drawing>
      </w:r>
    </w:p>
    <w:p w14:paraId="15AB1B30" w14:textId="77777777" w:rsidR="00D778B6" w:rsidRPr="00CB2CB5" w:rsidRDefault="00D778B6" w:rsidP="00D778B6">
      <w:pPr>
        <w:pStyle w:val="Caption"/>
        <w:spacing w:line="276" w:lineRule="auto"/>
        <w:jc w:val="center"/>
      </w:pPr>
      <w:r w:rsidRPr="00CB2CB5">
        <w:t xml:space="preserve">Figure </w:t>
      </w:r>
      <w:r w:rsidRPr="00CB2CB5">
        <w:rPr>
          <w:noProof/>
        </w:rPr>
        <w:fldChar w:fldCharType="begin"/>
      </w:r>
      <w:r w:rsidRPr="00CB2CB5">
        <w:rPr>
          <w:noProof/>
        </w:rPr>
        <w:instrText xml:space="preserve"> SEQ Figure \* ARABIC </w:instrText>
      </w:r>
      <w:r w:rsidRPr="00CB2CB5">
        <w:rPr>
          <w:noProof/>
        </w:rPr>
        <w:fldChar w:fldCharType="separate"/>
      </w:r>
      <w:r w:rsidRPr="00CB2CB5">
        <w:rPr>
          <w:noProof/>
        </w:rPr>
        <w:t>2</w:t>
      </w:r>
      <w:r w:rsidRPr="00CB2CB5">
        <w:rPr>
          <w:noProof/>
        </w:rPr>
        <w:fldChar w:fldCharType="end"/>
      </w:r>
      <w:r w:rsidRPr="00CB2CB5">
        <w:t xml:space="preserve"> – EPE Transmission Rights and Ownership</w:t>
      </w:r>
    </w:p>
    <w:p w14:paraId="603EAE85" w14:textId="77777777" w:rsidR="00D778B6" w:rsidRPr="00CB2CB5" w:rsidRDefault="00D778B6" w:rsidP="00D778B6">
      <w:pPr>
        <w:pStyle w:val="BodyText"/>
        <w:spacing w:line="276" w:lineRule="auto"/>
        <w:ind w:right="173"/>
        <w:jc w:val="both"/>
        <w:rPr>
          <w:b/>
        </w:rPr>
      </w:pPr>
    </w:p>
    <w:p w14:paraId="5FBA09FE" w14:textId="77777777" w:rsidR="00D778B6" w:rsidRPr="00CB2CB5" w:rsidRDefault="00D778B6" w:rsidP="00D778B6">
      <w:pPr>
        <w:pStyle w:val="BodyText"/>
        <w:spacing w:line="276" w:lineRule="auto"/>
        <w:ind w:left="540" w:right="173"/>
        <w:jc w:val="both"/>
        <w:rPr>
          <w:b/>
        </w:rPr>
      </w:pPr>
      <w:r w:rsidRPr="00CB2CB5">
        <w:rPr>
          <w:b/>
        </w:rPr>
        <w:t>Segments Which Comprise the EPE Extra High Voltage Transmission System</w:t>
      </w:r>
    </w:p>
    <w:p w14:paraId="7F1E41C4" w14:textId="77777777" w:rsidR="00D778B6" w:rsidRPr="00CB2CB5" w:rsidRDefault="00D778B6" w:rsidP="00D778B6">
      <w:pPr>
        <w:pStyle w:val="BodyText"/>
        <w:spacing w:line="276" w:lineRule="auto"/>
        <w:ind w:right="173"/>
        <w:jc w:val="both"/>
      </w:pPr>
    </w:p>
    <w:p w14:paraId="46CDFD01" w14:textId="77777777" w:rsidR="00D778B6" w:rsidRPr="00CB2CB5" w:rsidRDefault="00D778B6" w:rsidP="00D778B6">
      <w:pPr>
        <w:pStyle w:val="BodyText"/>
        <w:numPr>
          <w:ilvl w:val="0"/>
          <w:numId w:val="33"/>
        </w:numPr>
        <w:spacing w:line="276" w:lineRule="auto"/>
        <w:ind w:right="167"/>
        <w:jc w:val="both"/>
        <w:rPr>
          <w:b/>
        </w:rPr>
      </w:pPr>
      <w:r w:rsidRPr="00CB2CB5">
        <w:rPr>
          <w:b/>
        </w:rPr>
        <w:t xml:space="preserve">Energy Imbalance Market </w:t>
      </w:r>
    </w:p>
    <w:p w14:paraId="676FF27E" w14:textId="77777777" w:rsidR="00D778B6" w:rsidRPr="00CB2CB5" w:rsidRDefault="00D778B6" w:rsidP="00D778B6">
      <w:pPr>
        <w:pStyle w:val="BodyText"/>
        <w:spacing w:line="276" w:lineRule="auto"/>
        <w:ind w:left="1080" w:right="167"/>
        <w:jc w:val="both"/>
      </w:pPr>
    </w:p>
    <w:p w14:paraId="4CB6B187" w14:textId="633EEC70" w:rsidR="00D778B6" w:rsidRPr="00CB2CB5" w:rsidRDefault="00D778B6" w:rsidP="00D778B6">
      <w:pPr>
        <w:pStyle w:val="BodyText"/>
        <w:spacing w:line="276" w:lineRule="auto"/>
        <w:ind w:left="1080"/>
        <w:jc w:val="both"/>
      </w:pPr>
      <w:r>
        <w:t xml:space="preserve">EPE has elected to join the Western EIM </w:t>
      </w:r>
      <w:r w:rsidR="00D959B8">
        <w:t>with an implementation date of</w:t>
      </w:r>
      <w:r>
        <w:t xml:space="preserve"> April 01, 2023.  </w:t>
      </w:r>
      <w:r w:rsidRPr="00CB2CB5">
        <w:t xml:space="preserve">The CAISO EIM is a real-time market allowing participating entities the ability to leverage each other's online and available resources to regulate and address energy imbalances.  The energy imbalances are primarily a result of the increasing variable generation (e.g. solar and wind) which has been added to the system.  It is important to clarify that participation in the EIM does not provide additional resources for the purpose of meeting peak load.  Each participant is required to have adequate resources to meet its peak load and regulating requirements.  The EIM allows for co-utilization of each entities regulating reserves and potentially optimize dispatch/operating costs.  It is not permitted for an entity to enter the EIM without adequate resource supply, as it may result in a burden to the EIM.  As such, utilities are required to identify and </w:t>
      </w:r>
      <w:r w:rsidRPr="00CB2CB5">
        <w:lastRenderedPageBreak/>
        <w:t xml:space="preserve">secure adequate firm resources to meet peak load and reserve requirements before entry.  </w:t>
      </w:r>
    </w:p>
    <w:p w14:paraId="17C55526" w14:textId="77777777" w:rsidR="00D778B6" w:rsidRPr="00CB2CB5" w:rsidRDefault="00D778B6" w:rsidP="00D778B6">
      <w:pPr>
        <w:pStyle w:val="BodyText"/>
        <w:spacing w:line="276" w:lineRule="auto"/>
        <w:ind w:left="1080" w:right="10"/>
        <w:jc w:val="both"/>
      </w:pPr>
    </w:p>
    <w:p w14:paraId="086042C3" w14:textId="02261617" w:rsidR="00D778B6" w:rsidRDefault="00D778B6" w:rsidP="00D778B6">
      <w:pPr>
        <w:pStyle w:val="BodyText"/>
        <w:spacing w:line="276" w:lineRule="auto"/>
        <w:ind w:left="1080" w:right="14"/>
        <w:jc w:val="both"/>
      </w:pPr>
      <w:r>
        <w:t xml:space="preserve">Therefore, EPE’s decision to join the EIM still necessitates </w:t>
      </w:r>
      <w:r w:rsidR="00254C84">
        <w:t>EPE,</w:t>
      </w:r>
      <w:r w:rsidRPr="00CB2CB5">
        <w:t xml:space="preserve"> </w:t>
      </w:r>
      <w:r>
        <w:t>to continue</w:t>
      </w:r>
      <w:r w:rsidRPr="00CB2CB5">
        <w:t xml:space="preserve"> with its Planning Process to plan for adequate resources to meet EPE's load requirements.  </w:t>
      </w:r>
    </w:p>
    <w:p w14:paraId="6FEDEFE7" w14:textId="77777777" w:rsidR="00D778B6" w:rsidRPr="00CB2CB5" w:rsidRDefault="00D778B6" w:rsidP="00D778B6">
      <w:pPr>
        <w:pStyle w:val="BodyText"/>
        <w:spacing w:line="276" w:lineRule="auto"/>
        <w:ind w:left="1080" w:right="14"/>
        <w:jc w:val="both"/>
        <w:rPr>
          <w:color w:val="FF0000"/>
        </w:rPr>
      </w:pPr>
    </w:p>
    <w:p w14:paraId="1619728C" w14:textId="77777777" w:rsidR="00D778B6" w:rsidRPr="00CB2CB5" w:rsidRDefault="00D778B6" w:rsidP="00D778B6">
      <w:pPr>
        <w:pStyle w:val="ListParagraph"/>
        <w:widowControl w:val="0"/>
        <w:numPr>
          <w:ilvl w:val="0"/>
          <w:numId w:val="33"/>
        </w:numPr>
        <w:spacing w:after="0" w:line="276" w:lineRule="auto"/>
        <w:ind w:left="1440" w:hanging="360"/>
        <w:contextualSpacing w:val="0"/>
        <w:rPr>
          <w:rFonts w:ascii="Times New Roman" w:hAnsi="Times New Roman"/>
          <w:b/>
          <w:sz w:val="24"/>
        </w:rPr>
      </w:pPr>
      <w:r w:rsidRPr="00CB2CB5">
        <w:rPr>
          <w:rFonts w:ascii="Times New Roman" w:hAnsi="Times New Roman"/>
          <w:b/>
          <w:sz w:val="24"/>
        </w:rPr>
        <w:t>Wheeling Agreements</w:t>
      </w:r>
    </w:p>
    <w:p w14:paraId="694C21A0" w14:textId="77777777" w:rsidR="00D778B6" w:rsidRPr="00CB2CB5" w:rsidRDefault="00D778B6" w:rsidP="00D778B6">
      <w:pPr>
        <w:spacing w:line="276" w:lineRule="auto"/>
        <w:ind w:left="1080"/>
      </w:pPr>
    </w:p>
    <w:p w14:paraId="28B2DCE1" w14:textId="77777777" w:rsidR="00D778B6" w:rsidRPr="00CB2CB5" w:rsidRDefault="00D778B6" w:rsidP="00D778B6">
      <w:pPr>
        <w:spacing w:line="276" w:lineRule="auto"/>
        <w:ind w:left="1080"/>
      </w:pPr>
      <w:r w:rsidRPr="00CB2CB5">
        <w:t xml:space="preserve">EPE purchases transmission to serve its native load from PNM and </w:t>
      </w:r>
      <w:proofErr w:type="spellStart"/>
      <w:r w:rsidRPr="00CB2CB5">
        <w:t>SRP</w:t>
      </w:r>
      <w:proofErr w:type="spellEnd"/>
      <w:r w:rsidRPr="00CB2CB5">
        <w:t xml:space="preserve">.  EPE has executed long-term, firm point-to-point transmission service agreements with PNM and </w:t>
      </w:r>
      <w:proofErr w:type="spellStart"/>
      <w:r w:rsidRPr="00CB2CB5">
        <w:t>SRP</w:t>
      </w:r>
      <w:proofErr w:type="spellEnd"/>
      <w:r w:rsidRPr="00CB2CB5">
        <w:t>.  EPE has also executed a Power Exchange and Transmission Agreement with TEP.  These services are described below:</w:t>
      </w:r>
    </w:p>
    <w:p w14:paraId="70D070D6" w14:textId="77777777" w:rsidR="00D778B6" w:rsidRPr="00CB2CB5" w:rsidRDefault="00D778B6" w:rsidP="00D778B6">
      <w:pPr>
        <w:spacing w:line="276" w:lineRule="auto"/>
        <w:ind w:left="1080"/>
        <w:rPr>
          <w:i/>
          <w:iCs/>
        </w:rPr>
      </w:pPr>
    </w:p>
    <w:p w14:paraId="0785BE6D" w14:textId="77777777" w:rsidR="00D778B6" w:rsidRPr="00CB2CB5" w:rsidRDefault="00D778B6" w:rsidP="00D778B6">
      <w:pPr>
        <w:keepNext/>
        <w:keepLines/>
        <w:spacing w:line="276" w:lineRule="auto"/>
        <w:ind w:left="1080"/>
        <w:rPr>
          <w:iCs/>
          <w:u w:val="single"/>
        </w:rPr>
      </w:pPr>
      <w:r w:rsidRPr="00CB2CB5">
        <w:rPr>
          <w:iCs/>
          <w:u w:val="single"/>
        </w:rPr>
        <w:t xml:space="preserve">Transmission Services Purchased by EPE from PNM </w:t>
      </w:r>
    </w:p>
    <w:p w14:paraId="30E718AA" w14:textId="77777777" w:rsidR="00D778B6" w:rsidRPr="00CB2CB5" w:rsidRDefault="00D778B6" w:rsidP="00D778B6">
      <w:pPr>
        <w:keepNext/>
        <w:keepLines/>
        <w:autoSpaceDE w:val="0"/>
        <w:autoSpaceDN w:val="0"/>
        <w:adjustRightInd w:val="0"/>
        <w:spacing w:line="276" w:lineRule="auto"/>
        <w:ind w:left="1080"/>
        <w:rPr>
          <w:iCs/>
        </w:rPr>
      </w:pPr>
    </w:p>
    <w:p w14:paraId="2CAA0D06" w14:textId="26550E8C" w:rsidR="00D778B6" w:rsidRPr="00CB2CB5" w:rsidRDefault="00D778B6" w:rsidP="00D778B6">
      <w:pPr>
        <w:autoSpaceDE w:val="0"/>
        <w:autoSpaceDN w:val="0"/>
        <w:adjustRightInd w:val="0"/>
        <w:spacing w:line="276" w:lineRule="auto"/>
        <w:ind w:left="1080"/>
        <w:rPr>
          <w:iCs/>
        </w:rPr>
      </w:pPr>
      <w:r w:rsidRPr="00CB2CB5">
        <w:rPr>
          <w:iCs/>
        </w:rPr>
        <w:t xml:space="preserve">EPE has a transmission service agreement under </w:t>
      </w:r>
      <w:proofErr w:type="spellStart"/>
      <w:r w:rsidRPr="00CB2CB5">
        <w:rPr>
          <w:iCs/>
        </w:rPr>
        <w:t>PNM's</w:t>
      </w:r>
      <w:proofErr w:type="spellEnd"/>
      <w:r w:rsidRPr="00CB2CB5">
        <w:rPr>
          <w:iCs/>
        </w:rPr>
        <w:t xml:space="preserve"> Open Access Transmission Tariff ("PNM </w:t>
      </w:r>
      <w:proofErr w:type="spellStart"/>
      <w:r w:rsidRPr="00CB2CB5">
        <w:rPr>
          <w:iCs/>
        </w:rPr>
        <w:t>OATT</w:t>
      </w:r>
      <w:proofErr w:type="spellEnd"/>
      <w:r w:rsidRPr="00CB2CB5">
        <w:rPr>
          <w:iCs/>
        </w:rPr>
        <w:t xml:space="preserve">") for 104 MW firm, point-to-point transmission from </w:t>
      </w:r>
      <w:r w:rsidR="00D959B8">
        <w:rPr>
          <w:iCs/>
        </w:rPr>
        <w:t>Four Corners Power Plant (“</w:t>
      </w:r>
      <w:proofErr w:type="spellStart"/>
      <w:r w:rsidRPr="00CB2CB5">
        <w:rPr>
          <w:iCs/>
        </w:rPr>
        <w:t>FCPP</w:t>
      </w:r>
      <w:proofErr w:type="spellEnd"/>
      <w:r w:rsidR="00D959B8">
        <w:rPr>
          <w:iCs/>
        </w:rPr>
        <w:t>”)</w:t>
      </w:r>
      <w:r w:rsidRPr="00CB2CB5">
        <w:rPr>
          <w:iCs/>
        </w:rPr>
        <w:t xml:space="preserve"> 345 kV Switchyard </w:t>
      </w:r>
      <w:r w:rsidRPr="00CB2CB5">
        <w:t>to West Mesa 345 </w:t>
      </w:r>
      <w:r w:rsidRPr="00CB2CB5">
        <w:rPr>
          <w:iCs/>
        </w:rPr>
        <w:t xml:space="preserve">kV Switching Station from </w:t>
      </w:r>
      <w:r>
        <w:rPr>
          <w:iCs/>
        </w:rPr>
        <w:t xml:space="preserve">July 1, </w:t>
      </w:r>
      <w:r w:rsidRPr="00CB2CB5">
        <w:rPr>
          <w:iCs/>
        </w:rPr>
        <w:t xml:space="preserve">2017 to </w:t>
      </w:r>
      <w:r>
        <w:rPr>
          <w:iCs/>
        </w:rPr>
        <w:t xml:space="preserve">July 1, </w:t>
      </w:r>
      <w:r w:rsidRPr="00CB2CB5">
        <w:rPr>
          <w:iCs/>
        </w:rPr>
        <w:t>2022</w:t>
      </w:r>
      <w:r>
        <w:rPr>
          <w:iCs/>
        </w:rPr>
        <w:t xml:space="preserve"> and is currently working on </w:t>
      </w:r>
      <w:r w:rsidR="00254C84">
        <w:rPr>
          <w:iCs/>
        </w:rPr>
        <w:t>an</w:t>
      </w:r>
      <w:r>
        <w:rPr>
          <w:iCs/>
        </w:rPr>
        <w:t xml:space="preserve"> extension agreement to roll over through July 1, 2027</w:t>
      </w:r>
      <w:r w:rsidRPr="00CB2CB5">
        <w:rPr>
          <w:iCs/>
        </w:rPr>
        <w:t>.  In addition, EPE has rolled over its grandfathered, firm 20 MW long</w:t>
      </w:r>
      <w:r w:rsidRPr="00CB2CB5">
        <w:rPr>
          <w:iCs/>
        </w:rPr>
        <w:noBreakHyphen/>
        <w:t>term rights under Service Schedule I of the 1966 Interconnection Agreement between EPE and PNM into Firm, Point-to</w:t>
      </w:r>
      <w:r w:rsidRPr="00CB2CB5">
        <w:rPr>
          <w:iCs/>
        </w:rPr>
        <w:noBreakHyphen/>
        <w:t xml:space="preserve">Point Transmission Service under PNM </w:t>
      </w:r>
      <w:proofErr w:type="spellStart"/>
      <w:r w:rsidRPr="00CB2CB5">
        <w:rPr>
          <w:iCs/>
        </w:rPr>
        <w:t>OATT</w:t>
      </w:r>
      <w:proofErr w:type="spellEnd"/>
      <w:r w:rsidRPr="00CB2CB5">
        <w:rPr>
          <w:iCs/>
        </w:rPr>
        <w:t xml:space="preserve"> with a term of June 1, 201</w:t>
      </w:r>
      <w:r>
        <w:rPr>
          <w:iCs/>
        </w:rPr>
        <w:t>9</w:t>
      </w:r>
      <w:r w:rsidRPr="00CB2CB5">
        <w:rPr>
          <w:iCs/>
        </w:rPr>
        <w:t xml:space="preserve"> to </w:t>
      </w:r>
      <w:r>
        <w:rPr>
          <w:iCs/>
        </w:rPr>
        <w:t>May</w:t>
      </w:r>
      <w:r w:rsidRPr="00CB2CB5">
        <w:rPr>
          <w:iCs/>
        </w:rPr>
        <w:t> </w:t>
      </w:r>
      <w:r>
        <w:rPr>
          <w:iCs/>
        </w:rPr>
        <w:t>3</w:t>
      </w:r>
      <w:r w:rsidRPr="00CB2CB5">
        <w:rPr>
          <w:iCs/>
        </w:rPr>
        <w:t>1, 20</w:t>
      </w:r>
      <w:r>
        <w:rPr>
          <w:iCs/>
        </w:rPr>
        <w:t>24</w:t>
      </w:r>
      <w:r w:rsidRPr="00CB2CB5">
        <w:rPr>
          <w:iCs/>
        </w:rPr>
        <w:t>.  Both transmission purchases have an option to rollover.  The Transmission Service described above is utilized by EPE to serve its native load.</w:t>
      </w:r>
    </w:p>
    <w:p w14:paraId="12C25BCD" w14:textId="77777777" w:rsidR="00D778B6" w:rsidRPr="00CB2CB5" w:rsidRDefault="00D778B6" w:rsidP="00D778B6">
      <w:pPr>
        <w:autoSpaceDE w:val="0"/>
        <w:autoSpaceDN w:val="0"/>
        <w:adjustRightInd w:val="0"/>
        <w:spacing w:line="276" w:lineRule="auto"/>
        <w:ind w:left="1080"/>
        <w:rPr>
          <w:i/>
          <w:iCs/>
        </w:rPr>
      </w:pPr>
    </w:p>
    <w:p w14:paraId="454878ED" w14:textId="77777777" w:rsidR="00D778B6" w:rsidRPr="00CB2CB5" w:rsidRDefault="00D778B6" w:rsidP="00D778B6">
      <w:pPr>
        <w:keepNext/>
        <w:keepLines/>
        <w:spacing w:line="276" w:lineRule="auto"/>
        <w:ind w:left="1080"/>
        <w:rPr>
          <w:u w:val="single"/>
        </w:rPr>
      </w:pPr>
      <w:r w:rsidRPr="00CB2CB5">
        <w:rPr>
          <w:iCs/>
          <w:u w:val="single"/>
        </w:rPr>
        <w:t xml:space="preserve">Transmission Services Purchased by EPE from </w:t>
      </w:r>
      <w:proofErr w:type="spellStart"/>
      <w:r w:rsidRPr="00CB2CB5">
        <w:rPr>
          <w:iCs/>
          <w:u w:val="single"/>
        </w:rPr>
        <w:t>SRP</w:t>
      </w:r>
      <w:proofErr w:type="spellEnd"/>
    </w:p>
    <w:p w14:paraId="0853F172" w14:textId="77777777" w:rsidR="00D778B6" w:rsidRPr="00CB2CB5" w:rsidRDefault="00D778B6" w:rsidP="00D778B6">
      <w:pPr>
        <w:keepNext/>
        <w:keepLines/>
        <w:spacing w:line="276" w:lineRule="auto"/>
        <w:ind w:left="1080"/>
      </w:pPr>
    </w:p>
    <w:p w14:paraId="1762519F" w14:textId="77777777" w:rsidR="00D778B6" w:rsidRPr="00CB2CB5" w:rsidRDefault="00D778B6" w:rsidP="00D778B6">
      <w:pPr>
        <w:spacing w:line="276" w:lineRule="auto"/>
        <w:ind w:left="1080"/>
      </w:pPr>
      <w:r w:rsidRPr="00CB2CB5">
        <w:t>EPE has a non-</w:t>
      </w:r>
      <w:proofErr w:type="spellStart"/>
      <w:r w:rsidRPr="00CB2CB5">
        <w:t>OATT</w:t>
      </w:r>
      <w:proofErr w:type="spellEnd"/>
      <w:r w:rsidRPr="00CB2CB5">
        <w:t xml:space="preserve">, firm transmission service agreement for 150 MW from Kyrene 230 kV Switchyard to Coronado 500 kV Switchyard with </w:t>
      </w:r>
      <w:proofErr w:type="spellStart"/>
      <w:r w:rsidRPr="00CB2CB5">
        <w:t>SRP</w:t>
      </w:r>
      <w:proofErr w:type="spellEnd"/>
      <w:r w:rsidRPr="00CB2CB5">
        <w:t xml:space="preserve"> for the delivery of a portion of EPE's </w:t>
      </w:r>
      <w:proofErr w:type="spellStart"/>
      <w:r w:rsidRPr="00CB2CB5">
        <w:t>PVNGS</w:t>
      </w:r>
      <w:proofErr w:type="spellEnd"/>
      <w:r w:rsidRPr="00CB2CB5">
        <w:t xml:space="preserve"> entitlement or for the direct substitution of power and energy from any other source to serve EPE's native load.  This Agreement remains in effect concurrent with the Arizona Nuclear Power Project Participation Agreement, unless earlier terminated by the parties. </w:t>
      </w:r>
    </w:p>
    <w:p w14:paraId="31E204DF" w14:textId="77777777" w:rsidR="00D778B6" w:rsidRPr="00CB2CB5" w:rsidRDefault="00D778B6" w:rsidP="00D778B6">
      <w:pPr>
        <w:spacing w:line="276" w:lineRule="auto"/>
        <w:ind w:left="1080"/>
        <w:rPr>
          <w:iCs/>
        </w:rPr>
      </w:pPr>
    </w:p>
    <w:p w14:paraId="46E1BD1F" w14:textId="77777777" w:rsidR="00D778B6" w:rsidRPr="00CB2CB5" w:rsidRDefault="00D778B6" w:rsidP="00D778B6">
      <w:pPr>
        <w:spacing w:line="276" w:lineRule="auto"/>
        <w:ind w:left="1080"/>
        <w:rPr>
          <w:u w:val="single"/>
        </w:rPr>
      </w:pPr>
      <w:r w:rsidRPr="00CB2CB5">
        <w:rPr>
          <w:iCs/>
          <w:u w:val="single"/>
        </w:rPr>
        <w:t>Transmission Service Exchange Agreements between EPE and TEP</w:t>
      </w:r>
    </w:p>
    <w:p w14:paraId="5D212D7E" w14:textId="77777777" w:rsidR="00D778B6" w:rsidRPr="00CB2CB5" w:rsidRDefault="00D778B6" w:rsidP="00D778B6">
      <w:pPr>
        <w:spacing w:line="276" w:lineRule="auto"/>
        <w:ind w:left="1080"/>
      </w:pPr>
    </w:p>
    <w:p w14:paraId="5CDB35CE" w14:textId="77777777" w:rsidR="00D778B6" w:rsidRPr="00CB2CB5" w:rsidRDefault="00D778B6" w:rsidP="00D778B6">
      <w:pPr>
        <w:spacing w:line="276" w:lineRule="auto"/>
        <w:ind w:left="1080"/>
      </w:pPr>
      <w:r w:rsidRPr="00CB2CB5">
        <w:t>Under the Tucson-El Paso Power Exchange and Transmission Agreement, EPE has a non</w:t>
      </w:r>
      <w:r w:rsidRPr="00CB2CB5">
        <w:noBreakHyphen/>
      </w:r>
      <w:proofErr w:type="spellStart"/>
      <w:r w:rsidRPr="00CB2CB5">
        <w:t>OATT</w:t>
      </w:r>
      <w:proofErr w:type="spellEnd"/>
      <w:r w:rsidRPr="00CB2CB5">
        <w:t xml:space="preserve">, executed power exchange and transmission agreement with TEP in which EPE delivers from its share of </w:t>
      </w:r>
      <w:proofErr w:type="spellStart"/>
      <w:r w:rsidRPr="00CB2CB5">
        <w:t>PVNGS</w:t>
      </w:r>
      <w:proofErr w:type="spellEnd"/>
      <w:r w:rsidRPr="00CB2CB5">
        <w:t xml:space="preserve"> generating units, and TEP receives, amounts of </w:t>
      </w:r>
      <w:r w:rsidRPr="00CB2CB5">
        <w:lastRenderedPageBreak/>
        <w:t xml:space="preserve">capacity with corresponding energy at the Palo Verde Switchyard or the </w:t>
      </w:r>
      <w:proofErr w:type="spellStart"/>
      <w:r w:rsidRPr="00CB2CB5">
        <w:t>Westwing</w:t>
      </w:r>
      <w:proofErr w:type="spellEnd"/>
      <w:r w:rsidRPr="00CB2CB5">
        <w:t xml:space="preserve"> Substation of 300 MW.  EPE has an additional Exchange for up to 150 MW pursuant to a non-</w:t>
      </w:r>
      <w:proofErr w:type="spellStart"/>
      <w:r w:rsidRPr="00CB2CB5">
        <w:t>OATT</w:t>
      </w:r>
      <w:proofErr w:type="spellEnd"/>
      <w:r w:rsidRPr="00CB2CB5">
        <w:t xml:space="preserve"> agreement under the EPE-TEP Interconnection Agreement.  EPE receives such capacity and energy at Greenlee, </w:t>
      </w:r>
      <w:proofErr w:type="spellStart"/>
      <w:r w:rsidRPr="00CB2CB5">
        <w:t>Springerville</w:t>
      </w:r>
      <w:proofErr w:type="spellEnd"/>
      <w:r w:rsidRPr="00CB2CB5">
        <w:t xml:space="preserve">, Coronado, San Juan, or </w:t>
      </w:r>
      <w:proofErr w:type="spellStart"/>
      <w:r w:rsidRPr="00CB2CB5">
        <w:t>FCPP</w:t>
      </w:r>
      <w:proofErr w:type="spellEnd"/>
      <w:r w:rsidRPr="00CB2CB5">
        <w:t xml:space="preserve"> in total amounts equal to that scheduled to TEP at the Palo Verde Switchyard or </w:t>
      </w:r>
      <w:proofErr w:type="spellStart"/>
      <w:r w:rsidRPr="00CB2CB5">
        <w:t>Westwing</w:t>
      </w:r>
      <w:proofErr w:type="spellEnd"/>
      <w:r w:rsidRPr="00CB2CB5">
        <w:t xml:space="preserve"> Substation.  </w:t>
      </w:r>
    </w:p>
    <w:p w14:paraId="60AC036A" w14:textId="77777777" w:rsidR="00D778B6" w:rsidRPr="00CB2CB5" w:rsidRDefault="00D778B6" w:rsidP="00D778B6">
      <w:pPr>
        <w:spacing w:line="276" w:lineRule="auto"/>
        <w:ind w:left="1080"/>
      </w:pPr>
    </w:p>
    <w:p w14:paraId="420BE2B5" w14:textId="77777777" w:rsidR="00D778B6" w:rsidRPr="00CB2CB5" w:rsidRDefault="00D778B6" w:rsidP="00D778B6">
      <w:pPr>
        <w:spacing w:line="276" w:lineRule="auto"/>
        <w:ind w:left="1080"/>
      </w:pPr>
      <w:r w:rsidRPr="00CB2CB5">
        <w:t xml:space="preserve">Under the Tucson- El Paso Power Exchange and Transmission Agreement, TEP assigned to EPE 150 MW of transmission rights in </w:t>
      </w:r>
      <w:proofErr w:type="spellStart"/>
      <w:r w:rsidRPr="00CB2CB5">
        <w:t>TEP's</w:t>
      </w:r>
      <w:proofErr w:type="spellEnd"/>
      <w:r w:rsidRPr="00CB2CB5">
        <w:t xml:space="preserve"> 345 kV system between </w:t>
      </w:r>
      <w:proofErr w:type="spellStart"/>
      <w:r w:rsidRPr="00CB2CB5">
        <w:t>Springerville</w:t>
      </w:r>
      <w:proofErr w:type="spellEnd"/>
      <w:r w:rsidRPr="00CB2CB5">
        <w:t xml:space="preserve"> and either of </w:t>
      </w:r>
      <w:proofErr w:type="spellStart"/>
      <w:r w:rsidRPr="00CB2CB5">
        <w:t>FCPP</w:t>
      </w:r>
      <w:proofErr w:type="spellEnd"/>
      <w:r w:rsidRPr="00CB2CB5">
        <w:t xml:space="preserve">, San Juan, or Coronado; this assignment of rights is bi-directional.  The term of this Agreement is consistent with the life of </w:t>
      </w:r>
      <w:proofErr w:type="spellStart"/>
      <w:r w:rsidRPr="00CB2CB5">
        <w:t>PVNGS</w:t>
      </w:r>
      <w:proofErr w:type="spellEnd"/>
      <w:r w:rsidRPr="00CB2CB5">
        <w:t xml:space="preserve"> Units 1, 2, and 3.</w:t>
      </w:r>
    </w:p>
    <w:p w14:paraId="5D05147E" w14:textId="77777777" w:rsidR="00D778B6" w:rsidRPr="00CB2CB5" w:rsidRDefault="00D778B6" w:rsidP="00D778B6">
      <w:pPr>
        <w:spacing w:line="276" w:lineRule="auto"/>
        <w:ind w:left="1080"/>
        <w:rPr>
          <w:rFonts w:eastAsia="Times New Roman"/>
          <w:b/>
          <w:bCs/>
        </w:rPr>
      </w:pPr>
    </w:p>
    <w:p w14:paraId="26EFFE57" w14:textId="77777777" w:rsidR="00D778B6" w:rsidRPr="00CB2CB5" w:rsidRDefault="00D778B6" w:rsidP="00D778B6">
      <w:pPr>
        <w:pStyle w:val="ListParagraph"/>
        <w:widowControl w:val="0"/>
        <w:numPr>
          <w:ilvl w:val="0"/>
          <w:numId w:val="33"/>
        </w:numPr>
        <w:spacing w:after="0" w:line="276" w:lineRule="auto"/>
        <w:ind w:left="1440" w:hanging="360"/>
        <w:contextualSpacing w:val="0"/>
        <w:rPr>
          <w:rFonts w:ascii="Times New Roman" w:eastAsia="Times New Roman" w:hAnsi="Times New Roman"/>
          <w:b/>
          <w:bCs/>
          <w:sz w:val="24"/>
        </w:rPr>
      </w:pPr>
      <w:r w:rsidRPr="00CB2CB5">
        <w:rPr>
          <w:rFonts w:ascii="Times New Roman" w:eastAsia="Times New Roman" w:hAnsi="Times New Roman"/>
          <w:b/>
          <w:bCs/>
          <w:sz w:val="24"/>
        </w:rPr>
        <w:t>Existing and Under Construction Transmission Facilities</w:t>
      </w:r>
    </w:p>
    <w:p w14:paraId="5FFD1DE7" w14:textId="77777777" w:rsidR="00D778B6" w:rsidRPr="00CB2CB5" w:rsidRDefault="00D778B6" w:rsidP="00D778B6">
      <w:pPr>
        <w:pStyle w:val="BodyText"/>
        <w:spacing w:line="276" w:lineRule="auto"/>
        <w:ind w:left="1080"/>
        <w:jc w:val="both"/>
      </w:pPr>
    </w:p>
    <w:p w14:paraId="0C712001" w14:textId="77777777" w:rsidR="00D778B6" w:rsidRPr="00CB2CB5" w:rsidRDefault="00D778B6" w:rsidP="00D778B6">
      <w:pPr>
        <w:pStyle w:val="BodyText"/>
        <w:widowControl/>
        <w:spacing w:line="276" w:lineRule="auto"/>
        <w:ind w:left="1080"/>
        <w:jc w:val="both"/>
      </w:pPr>
      <w:r w:rsidRPr="00CB2CB5">
        <w:t xml:space="preserve">EPE's transmission facilities include transmission lines (internal and external to EPE), substation transformers, </w:t>
      </w:r>
      <w:proofErr w:type="gramStart"/>
      <w:r w:rsidRPr="00CB2CB5">
        <w:t>autotransformers</w:t>
      </w:r>
      <w:proofErr w:type="gramEnd"/>
      <w:r w:rsidRPr="00CB2CB5">
        <w:t xml:space="preserve"> and a Phase Shifting Transformer at Arroyo Substation. EPE owns and </w:t>
      </w:r>
      <w:r w:rsidRPr="00272B85">
        <w:t>operates 216 miles of 69 kV transmission lines, 522 miles of existing 115 kV transmission lines, and 946 miles</w:t>
      </w:r>
      <w:r w:rsidRPr="00CB2CB5">
        <w:t xml:space="preserve"> of 345 kV transmission lines. In addition, EPE jointly owns </w:t>
      </w:r>
      <w:r w:rsidRPr="00272B85">
        <w:t>165 mile</w:t>
      </w:r>
      <w:r w:rsidRPr="00CB2CB5">
        <w:t>s of 500 kV transmission lines in Arizona.</w:t>
      </w:r>
    </w:p>
    <w:p w14:paraId="6AE58E38" w14:textId="77777777" w:rsidR="00D778B6" w:rsidRPr="00CB2CB5" w:rsidRDefault="00D778B6" w:rsidP="00D778B6">
      <w:pPr>
        <w:spacing w:line="276" w:lineRule="auto"/>
        <w:ind w:left="1080"/>
        <w:rPr>
          <w:rFonts w:eastAsia="Times New Roman"/>
        </w:rPr>
      </w:pPr>
    </w:p>
    <w:p w14:paraId="038DDB9B" w14:textId="77777777" w:rsidR="00D778B6" w:rsidRPr="00CB2CB5" w:rsidRDefault="00D778B6" w:rsidP="00D778B6">
      <w:pPr>
        <w:pStyle w:val="BodyText"/>
        <w:widowControl/>
        <w:spacing w:line="276" w:lineRule="auto"/>
        <w:ind w:left="1080"/>
        <w:jc w:val="both"/>
      </w:pPr>
      <w:r w:rsidRPr="005B682C">
        <w:t>Attachment C-1 provides information on EPE's transmission facilities.</w:t>
      </w:r>
      <w:r w:rsidRPr="00CB2CB5">
        <w:t xml:space="preserve">  This includes a list of EPE's existing and under construction transmission facilities, including associated switching stations and terminal facilities, and transfer capability limitations.  Individual line limitations (ratings) on EPE's transmission network may affect future siting of supply-side resources. </w:t>
      </w:r>
    </w:p>
    <w:p w14:paraId="742E7417" w14:textId="77777777" w:rsidR="00D778B6" w:rsidRPr="00CB2CB5" w:rsidRDefault="00D778B6" w:rsidP="00D778B6">
      <w:pPr>
        <w:pStyle w:val="BodyText"/>
        <w:widowControl/>
        <w:spacing w:line="276" w:lineRule="auto"/>
        <w:ind w:left="1080"/>
        <w:jc w:val="both"/>
      </w:pPr>
    </w:p>
    <w:p w14:paraId="35288BB2" w14:textId="53FB0005" w:rsidR="00D778B6" w:rsidRPr="00CB2CB5" w:rsidRDefault="00D778B6" w:rsidP="00D778B6">
      <w:pPr>
        <w:pStyle w:val="BodyText"/>
        <w:widowControl/>
        <w:spacing w:line="276" w:lineRule="auto"/>
        <w:ind w:left="1080"/>
        <w:jc w:val="both"/>
      </w:pPr>
      <w:r w:rsidRPr="00CB2CB5">
        <w:t xml:space="preserve">EPE engages in various transmission projects in its local area to maintain, upgrade, and expand EPE's transmission system </w:t>
      </w:r>
      <w:r w:rsidR="00254C84" w:rsidRPr="00CB2CB5">
        <w:t>to</w:t>
      </w:r>
      <w:r w:rsidRPr="00CB2CB5">
        <w:t xml:space="preserve"> ensure the reliability of the system and to provide for future load growth.  EPE produces a 10</w:t>
      </w:r>
      <w:r w:rsidRPr="00CB2CB5">
        <w:noBreakHyphen/>
        <w:t xml:space="preserve">year Transmission Expansion Plan every year in accordance with Attachment K of EPE's </w:t>
      </w:r>
      <w:proofErr w:type="spellStart"/>
      <w:r w:rsidRPr="00CB2CB5">
        <w:t>OATT</w:t>
      </w:r>
      <w:proofErr w:type="spellEnd"/>
      <w:r w:rsidRPr="00CB2CB5">
        <w:t>.  A summary of this plan is posted on EPE's web site.</w:t>
      </w:r>
    </w:p>
    <w:p w14:paraId="6F83F085" w14:textId="77777777" w:rsidR="00D778B6" w:rsidRPr="00CB2CB5" w:rsidRDefault="00D778B6" w:rsidP="00D778B6">
      <w:pPr>
        <w:pStyle w:val="CommentText"/>
        <w:spacing w:line="276" w:lineRule="auto"/>
        <w:ind w:left="1080"/>
        <w:rPr>
          <w:rFonts w:eastAsia="Times New Roman"/>
          <w:bCs/>
          <w:sz w:val="24"/>
          <w:szCs w:val="24"/>
        </w:rPr>
      </w:pPr>
    </w:p>
    <w:p w14:paraId="33AF1BBF" w14:textId="77777777" w:rsidR="00D778B6" w:rsidRPr="00CB2CB5" w:rsidRDefault="00D778B6" w:rsidP="00D778B6">
      <w:pPr>
        <w:pStyle w:val="ListParagraph"/>
        <w:widowControl w:val="0"/>
        <w:numPr>
          <w:ilvl w:val="0"/>
          <w:numId w:val="33"/>
        </w:numPr>
        <w:spacing w:after="0" w:line="276" w:lineRule="auto"/>
        <w:ind w:left="1440" w:hanging="360"/>
        <w:contextualSpacing w:val="0"/>
        <w:rPr>
          <w:rFonts w:ascii="Times New Roman" w:hAnsi="Times New Roman"/>
          <w:b/>
          <w:sz w:val="24"/>
        </w:rPr>
      </w:pPr>
      <w:r w:rsidRPr="00CB2CB5">
        <w:rPr>
          <w:rFonts w:ascii="Times New Roman" w:hAnsi="Times New Roman"/>
          <w:b/>
          <w:sz w:val="24"/>
        </w:rPr>
        <w:t xml:space="preserve">Location and Extent of Transfer Capability Limitations </w:t>
      </w:r>
    </w:p>
    <w:p w14:paraId="5FC84AEC" w14:textId="77777777" w:rsidR="00D778B6" w:rsidRPr="00CB2CB5" w:rsidRDefault="00D778B6" w:rsidP="00D778B6">
      <w:pPr>
        <w:pStyle w:val="CommentText"/>
        <w:spacing w:line="276" w:lineRule="auto"/>
        <w:ind w:left="1080"/>
        <w:rPr>
          <w:sz w:val="24"/>
          <w:szCs w:val="24"/>
        </w:rPr>
      </w:pPr>
    </w:p>
    <w:p w14:paraId="21EF2617" w14:textId="77777777" w:rsidR="00D778B6" w:rsidRPr="00CB2CB5" w:rsidRDefault="00D778B6" w:rsidP="00D778B6">
      <w:pPr>
        <w:pStyle w:val="CommentText"/>
        <w:spacing w:line="276" w:lineRule="auto"/>
        <w:ind w:left="1080"/>
        <w:rPr>
          <w:sz w:val="24"/>
          <w:szCs w:val="24"/>
        </w:rPr>
      </w:pPr>
      <w:r w:rsidRPr="00CB2CB5">
        <w:rPr>
          <w:sz w:val="24"/>
          <w:szCs w:val="24"/>
        </w:rPr>
        <w:t xml:space="preserve">EPE's primary interconnection is to the </w:t>
      </w:r>
      <w:proofErr w:type="spellStart"/>
      <w:r w:rsidRPr="00CB2CB5">
        <w:rPr>
          <w:sz w:val="24"/>
          <w:szCs w:val="24"/>
        </w:rPr>
        <w:t>WECC</w:t>
      </w:r>
      <w:proofErr w:type="spellEnd"/>
      <w:r w:rsidRPr="00CB2CB5">
        <w:rPr>
          <w:sz w:val="24"/>
          <w:szCs w:val="24"/>
        </w:rPr>
        <w:t xml:space="preserve">. EPE's ability to import its remote generation resources is governed by the transmission capacity of its </w:t>
      </w:r>
      <w:proofErr w:type="spellStart"/>
      <w:r w:rsidRPr="00CB2CB5">
        <w:rPr>
          <w:sz w:val="24"/>
          <w:szCs w:val="24"/>
        </w:rPr>
        <w:t>WECC</w:t>
      </w:r>
      <w:proofErr w:type="spellEnd"/>
      <w:r w:rsidRPr="00CB2CB5">
        <w:rPr>
          <w:sz w:val="24"/>
          <w:szCs w:val="24"/>
        </w:rPr>
        <w:t xml:space="preserve"> interconnection, termed </w:t>
      </w:r>
      <w:proofErr w:type="spellStart"/>
      <w:r w:rsidRPr="00CB2CB5">
        <w:rPr>
          <w:sz w:val="24"/>
          <w:szCs w:val="24"/>
        </w:rPr>
        <w:t>WECC</w:t>
      </w:r>
      <w:proofErr w:type="spellEnd"/>
      <w:r w:rsidRPr="00CB2CB5">
        <w:rPr>
          <w:sz w:val="24"/>
          <w:szCs w:val="24"/>
        </w:rPr>
        <w:t xml:space="preserve"> Path 47 or the Southern New Mexico Transmission System ("</w:t>
      </w:r>
      <w:proofErr w:type="spellStart"/>
      <w:r w:rsidRPr="00CB2CB5">
        <w:rPr>
          <w:sz w:val="24"/>
          <w:szCs w:val="24"/>
        </w:rPr>
        <w:t>SNMTS</w:t>
      </w:r>
      <w:proofErr w:type="spellEnd"/>
      <w:r w:rsidRPr="00CB2CB5">
        <w:rPr>
          <w:sz w:val="24"/>
          <w:szCs w:val="24"/>
        </w:rPr>
        <w:t xml:space="preserve">").  EPE is physically interconnected to the Southwest Power Pool </w:t>
      </w:r>
      <w:r w:rsidRPr="00CB2CB5">
        <w:rPr>
          <w:sz w:val="24"/>
          <w:szCs w:val="24"/>
        </w:rPr>
        <w:lastRenderedPageBreak/>
        <w:t>("</w:t>
      </w:r>
      <w:proofErr w:type="spellStart"/>
      <w:r w:rsidRPr="00CB2CB5">
        <w:rPr>
          <w:sz w:val="24"/>
          <w:szCs w:val="24"/>
        </w:rPr>
        <w:t>SPP</w:t>
      </w:r>
      <w:proofErr w:type="spellEnd"/>
      <w:r w:rsidRPr="00CB2CB5">
        <w:rPr>
          <w:sz w:val="24"/>
          <w:szCs w:val="24"/>
        </w:rPr>
        <w:t>") through its HVDC tie.  EPE has transmission ownership of 133 MW over the HVDC tie and ownership of 645 MW of firm capacity over Path 47.</w:t>
      </w:r>
    </w:p>
    <w:p w14:paraId="6E94F879" w14:textId="77777777" w:rsidR="00D778B6" w:rsidRPr="00CB2CB5" w:rsidRDefault="00D778B6" w:rsidP="00D778B6">
      <w:pPr>
        <w:pStyle w:val="CommentText"/>
        <w:spacing w:line="276" w:lineRule="auto"/>
        <w:ind w:left="1080"/>
        <w:rPr>
          <w:sz w:val="24"/>
          <w:szCs w:val="24"/>
        </w:rPr>
      </w:pPr>
    </w:p>
    <w:p w14:paraId="640D3C08" w14:textId="77777777" w:rsidR="00D778B6" w:rsidRPr="00CB2CB5" w:rsidRDefault="00D778B6" w:rsidP="00D778B6">
      <w:pPr>
        <w:pStyle w:val="BodyText"/>
        <w:spacing w:line="276" w:lineRule="auto"/>
        <w:ind w:left="1080"/>
        <w:jc w:val="both"/>
      </w:pPr>
      <w:r w:rsidRPr="00CB2CB5">
        <w:t>The Total Transfer Capability ("</w:t>
      </w:r>
      <w:proofErr w:type="spellStart"/>
      <w:r w:rsidRPr="00CB2CB5">
        <w:t>TTC</w:t>
      </w:r>
      <w:proofErr w:type="spellEnd"/>
      <w:r w:rsidRPr="00CB2CB5">
        <w:t xml:space="preserve">") of a transmission path is the maximum amount of power that can be transferred on that path, i.e., from one point on the system to another point on the system in a reliable manner while meeting all of a specific set of defined pre-and post-contingency system conditions.  This capability is defined by the worst contingency for the defined point-to-point path and the thermal, voltage, and/or stability limits of that path.  The Available Transfer Capacity ("ATC") is a measure of the transfer capability available on a transmission path for commercial activity over and above already committed uses and established capacity and reliability margins. </w:t>
      </w:r>
    </w:p>
    <w:p w14:paraId="6AC4E555" w14:textId="77777777" w:rsidR="00D778B6" w:rsidRPr="00CB2CB5" w:rsidRDefault="00D778B6" w:rsidP="00D778B6">
      <w:pPr>
        <w:pStyle w:val="BodyText"/>
        <w:spacing w:line="276" w:lineRule="auto"/>
        <w:ind w:left="1080"/>
        <w:jc w:val="both"/>
      </w:pPr>
    </w:p>
    <w:p w14:paraId="1E9ED356" w14:textId="77777777" w:rsidR="00D778B6" w:rsidRPr="00CB2CB5" w:rsidRDefault="00D778B6" w:rsidP="00D778B6">
      <w:pPr>
        <w:pStyle w:val="BodyText"/>
        <w:tabs>
          <w:tab w:val="left" w:pos="180"/>
        </w:tabs>
        <w:spacing w:line="276" w:lineRule="auto"/>
        <w:ind w:left="1080"/>
        <w:jc w:val="both"/>
      </w:pPr>
      <w:r w:rsidRPr="00CB2CB5">
        <w:t xml:space="preserve">EPE makes ATC determinations on a real-time basis.  ATC values are posted on the </w:t>
      </w:r>
      <w:proofErr w:type="spellStart"/>
      <w:r w:rsidRPr="00CB2CB5">
        <w:t>OATI</w:t>
      </w:r>
      <w:proofErr w:type="spellEnd"/>
      <w:r w:rsidRPr="00CB2CB5">
        <w:t xml:space="preserve"> OASIS website for the EPE transmission system with all transmission lines in-service. </w:t>
      </w:r>
      <w:proofErr w:type="spellStart"/>
      <w:r w:rsidRPr="00CB2CB5">
        <w:t>TTC</w:t>
      </w:r>
      <w:proofErr w:type="spellEnd"/>
      <w:r w:rsidRPr="00CB2CB5">
        <w:t>, however, will change from time to time to reflect both scheduled and unscheduled, or forced, outages.  The amount of curtailments for EPE's major transmission system outages are given on EPE's OASIS.</w:t>
      </w:r>
    </w:p>
    <w:p w14:paraId="4E1E3B9F" w14:textId="77777777" w:rsidR="00D778B6" w:rsidRPr="00CB2CB5" w:rsidRDefault="00D778B6" w:rsidP="00D778B6">
      <w:pPr>
        <w:spacing w:line="276" w:lineRule="auto"/>
        <w:ind w:left="1080"/>
        <w:rPr>
          <w:rFonts w:eastAsia="Times New Roman"/>
        </w:rPr>
      </w:pPr>
    </w:p>
    <w:p w14:paraId="78E21122" w14:textId="77777777" w:rsidR="00D778B6" w:rsidRPr="00CB2CB5" w:rsidRDefault="00D778B6" w:rsidP="00D778B6">
      <w:pPr>
        <w:pStyle w:val="BodyText"/>
        <w:widowControl/>
        <w:spacing w:line="276" w:lineRule="auto"/>
        <w:ind w:left="1080"/>
        <w:jc w:val="both"/>
      </w:pPr>
      <w:r w:rsidRPr="00CB2CB5">
        <w:t>Brief descriptions of the Southern New Mexico Import Capability ("</w:t>
      </w:r>
      <w:proofErr w:type="spellStart"/>
      <w:r w:rsidRPr="00CB2CB5">
        <w:t>SNMIC</w:t>
      </w:r>
      <w:proofErr w:type="spellEnd"/>
      <w:r w:rsidRPr="00CB2CB5">
        <w:t>") and the capacity of EPE's external line segments are provided below.</w:t>
      </w:r>
    </w:p>
    <w:p w14:paraId="13B84568" w14:textId="77777777" w:rsidR="00D778B6" w:rsidRPr="00CB2CB5" w:rsidRDefault="00D778B6" w:rsidP="00D778B6">
      <w:pPr>
        <w:spacing w:line="276" w:lineRule="auto"/>
        <w:ind w:left="1080"/>
        <w:rPr>
          <w:rFonts w:eastAsia="Times New Roman"/>
        </w:rPr>
      </w:pPr>
    </w:p>
    <w:p w14:paraId="1F4B6A98" w14:textId="77777777" w:rsidR="00D778B6" w:rsidRPr="00CB2CB5" w:rsidRDefault="00D778B6" w:rsidP="00D778B6">
      <w:pPr>
        <w:pStyle w:val="BodyText"/>
        <w:spacing w:line="276" w:lineRule="auto"/>
        <w:ind w:left="1080"/>
        <w:jc w:val="both"/>
        <w:rPr>
          <w:color w:val="auto"/>
          <w:spacing w:val="-2"/>
        </w:rPr>
      </w:pPr>
      <w:r w:rsidRPr="00CB2CB5">
        <w:rPr>
          <w:spacing w:val="-2"/>
        </w:rPr>
        <w:t xml:space="preserve">Additional transmission data pertaining to EPE's transmission facility capability and planning standards are posted on EPE's website at </w:t>
      </w:r>
      <w:hyperlink r:id="rId24">
        <w:r w:rsidRPr="00CB2CB5">
          <w:rPr>
            <w:spacing w:val="-2"/>
          </w:rPr>
          <w:t>www.epelectric.com.</w:t>
        </w:r>
      </w:hyperlink>
      <w:r w:rsidRPr="00CB2CB5">
        <w:rPr>
          <w:spacing w:val="-2"/>
        </w:rPr>
        <w:t xml:space="preserve">  These include "</w:t>
      </w:r>
      <w:r w:rsidRPr="00CB2CB5">
        <w:rPr>
          <w:i/>
          <w:spacing w:val="-2"/>
        </w:rPr>
        <w:t>Principles, Practices and Methods for the Determination of Available Transmission Capacity for El Paso Electric Company</w:t>
      </w:r>
      <w:r w:rsidRPr="00CB2CB5">
        <w:rPr>
          <w:spacing w:val="-2"/>
        </w:rPr>
        <w:t xml:space="preserve">" ("ATC Document") is found on EPE's website.  The ATC </w:t>
      </w:r>
      <w:r w:rsidRPr="00CB2CB5">
        <w:rPr>
          <w:color w:val="auto"/>
          <w:spacing w:val="-2"/>
        </w:rPr>
        <w:t xml:space="preserve">Document explains EPE transmission facility capabilities and how EPE operates its New Mexico and Texas transmission </w:t>
      </w:r>
      <w:proofErr w:type="gramStart"/>
      <w:r w:rsidRPr="00CB2CB5">
        <w:rPr>
          <w:color w:val="auto"/>
          <w:spacing w:val="-2"/>
        </w:rPr>
        <w:t>system as a whole</w:t>
      </w:r>
      <w:proofErr w:type="gramEnd"/>
      <w:r w:rsidRPr="00CB2CB5">
        <w:rPr>
          <w:color w:val="auto"/>
          <w:spacing w:val="-2"/>
        </w:rPr>
        <w:t>.</w:t>
      </w:r>
    </w:p>
    <w:p w14:paraId="2B450B75" w14:textId="77777777" w:rsidR="00D778B6" w:rsidRPr="00CB2CB5" w:rsidRDefault="00D778B6" w:rsidP="00D778B6">
      <w:pPr>
        <w:spacing w:line="276" w:lineRule="auto"/>
        <w:rPr>
          <w:rFonts w:eastAsia="Times New Roman"/>
          <w:color w:val="auto"/>
        </w:rPr>
      </w:pPr>
    </w:p>
    <w:p w14:paraId="12D550DD" w14:textId="77777777" w:rsidR="00D778B6" w:rsidRPr="00CB2CB5" w:rsidRDefault="00D778B6" w:rsidP="00D778B6">
      <w:pPr>
        <w:pStyle w:val="ListParagraph"/>
        <w:keepNext/>
        <w:keepLines/>
        <w:numPr>
          <w:ilvl w:val="0"/>
          <w:numId w:val="33"/>
        </w:numPr>
        <w:spacing w:after="0" w:line="276" w:lineRule="auto"/>
        <w:ind w:left="1440" w:hanging="360"/>
        <w:contextualSpacing w:val="0"/>
        <w:rPr>
          <w:rFonts w:ascii="Times New Roman" w:hAnsi="Times New Roman"/>
          <w:b/>
          <w:sz w:val="24"/>
        </w:rPr>
      </w:pPr>
      <w:proofErr w:type="spellStart"/>
      <w:r w:rsidRPr="00CB2CB5">
        <w:rPr>
          <w:rFonts w:ascii="Times New Roman" w:hAnsi="Times New Roman"/>
          <w:b/>
          <w:sz w:val="24"/>
        </w:rPr>
        <w:t>SNMIC</w:t>
      </w:r>
      <w:proofErr w:type="spellEnd"/>
      <w:r w:rsidRPr="00CB2CB5">
        <w:rPr>
          <w:rFonts w:ascii="Times New Roman" w:hAnsi="Times New Roman"/>
          <w:b/>
          <w:sz w:val="24"/>
        </w:rPr>
        <w:t xml:space="preserve"> Limitation Determination</w:t>
      </w:r>
    </w:p>
    <w:p w14:paraId="1C8BDB18" w14:textId="77777777" w:rsidR="00D778B6" w:rsidRPr="00CB2CB5" w:rsidRDefault="00D778B6" w:rsidP="00D778B6">
      <w:pPr>
        <w:keepNext/>
        <w:keepLines/>
        <w:spacing w:line="276" w:lineRule="auto"/>
        <w:ind w:left="1080"/>
        <w:rPr>
          <w:color w:val="auto"/>
        </w:rPr>
      </w:pPr>
    </w:p>
    <w:p w14:paraId="3C60F306" w14:textId="77777777" w:rsidR="00D778B6" w:rsidRPr="00CB2CB5" w:rsidRDefault="00D778B6" w:rsidP="00D778B6">
      <w:pPr>
        <w:spacing w:line="276" w:lineRule="auto"/>
        <w:ind w:left="1080"/>
      </w:pPr>
      <w:r w:rsidRPr="00CB2CB5">
        <w:rPr>
          <w:color w:val="auto"/>
        </w:rPr>
        <w:t>Total and available transmission c</w:t>
      </w:r>
      <w:r w:rsidRPr="00CB2CB5">
        <w:t xml:space="preserve">apabilities for the primary 345 kV path which connects the EPE Balancing Area ("BA") to neighboring BAs operated by PNM and TEP are based on the </w:t>
      </w:r>
      <w:proofErr w:type="spellStart"/>
      <w:r w:rsidRPr="00CB2CB5">
        <w:t>SNMIC</w:t>
      </w:r>
      <w:proofErr w:type="spellEnd"/>
      <w:r w:rsidRPr="00CB2CB5">
        <w:t xml:space="preserve">.  The individual lines into the EPE BA – the West Mesa 345 kV transfer path between EPE and PNM, and the </w:t>
      </w:r>
      <w:proofErr w:type="spellStart"/>
      <w:r w:rsidRPr="00CB2CB5">
        <w:t>Springerville</w:t>
      </w:r>
      <w:proofErr w:type="spellEnd"/>
      <w:r w:rsidRPr="00CB2CB5">
        <w:t xml:space="preserve"> 345 kV and Greenlee 345 kV transfer paths between EPE and TEP – are collectively referred to as </w:t>
      </w:r>
      <w:proofErr w:type="spellStart"/>
      <w:r w:rsidRPr="00CB2CB5">
        <w:t>WECC</w:t>
      </w:r>
      <w:proofErr w:type="spellEnd"/>
      <w:r w:rsidRPr="00CB2CB5">
        <w:t xml:space="preserve"> Path 47, or the </w:t>
      </w:r>
      <w:proofErr w:type="spellStart"/>
      <w:r w:rsidRPr="00CB2CB5">
        <w:t>SNMTS</w:t>
      </w:r>
      <w:proofErr w:type="spellEnd"/>
      <w:r w:rsidRPr="00CB2CB5">
        <w:t xml:space="preserve">.  This is a </w:t>
      </w:r>
      <w:proofErr w:type="spellStart"/>
      <w:r w:rsidRPr="00CB2CB5">
        <w:t>WECC</w:t>
      </w:r>
      <w:proofErr w:type="spellEnd"/>
      <w:r w:rsidRPr="00CB2CB5">
        <w:t xml:space="preserve"> Accepted Path with a rating that is less than the sum of the capabilities of the individual lines.  </w:t>
      </w:r>
    </w:p>
    <w:p w14:paraId="6E57F5B5" w14:textId="77777777" w:rsidR="00D778B6" w:rsidRPr="00CB2CB5" w:rsidRDefault="00D778B6" w:rsidP="00D778B6">
      <w:pPr>
        <w:spacing w:line="276" w:lineRule="auto"/>
        <w:ind w:left="1080"/>
        <w:rPr>
          <w:rFonts w:eastAsia="Times New Roman"/>
        </w:rPr>
      </w:pPr>
    </w:p>
    <w:p w14:paraId="3F7A1A5D" w14:textId="77777777" w:rsidR="00D778B6" w:rsidRPr="00CB2CB5" w:rsidRDefault="00D778B6" w:rsidP="00D778B6">
      <w:pPr>
        <w:pStyle w:val="BodyText"/>
        <w:spacing w:line="276" w:lineRule="auto"/>
        <w:ind w:left="1080" w:right="10"/>
        <w:jc w:val="both"/>
      </w:pPr>
      <w:r w:rsidRPr="00CB2CB5">
        <w:t xml:space="preserve">The </w:t>
      </w:r>
      <w:proofErr w:type="spellStart"/>
      <w:r w:rsidRPr="00CB2CB5">
        <w:t>SNMIC</w:t>
      </w:r>
      <w:proofErr w:type="spellEnd"/>
      <w:r w:rsidRPr="00CB2CB5">
        <w:t xml:space="preserve"> is determined through real-time dynamic nomogram equations that incorporate the state and configuration of the southern New Mexico system at any </w:t>
      </w:r>
      <w:r w:rsidRPr="00CB2CB5">
        <w:lastRenderedPageBreak/>
        <w:t xml:space="preserve">instant of time and </w:t>
      </w:r>
      <w:proofErr w:type="gramStart"/>
      <w:r w:rsidRPr="00CB2CB5">
        <w:t>by the use of</w:t>
      </w:r>
      <w:proofErr w:type="gramEnd"/>
      <w:r w:rsidRPr="00CB2CB5">
        <w:t xml:space="preserve"> dynamic adjustments, reflect changes in that system state.  These dynamic adjustments reflect southern New Mexico system variables such as: the status and output of EPE's and other local generating units, power factor for the EPE load area, status of 345 kV reactors in the </w:t>
      </w:r>
      <w:proofErr w:type="spellStart"/>
      <w:r w:rsidRPr="00CB2CB5">
        <w:t>SNMTS</w:t>
      </w:r>
      <w:proofErr w:type="spellEnd"/>
      <w:r w:rsidRPr="00CB2CB5">
        <w:t>, and the amount and direction of power flows over selected EPE transmission lines.</w:t>
      </w:r>
    </w:p>
    <w:p w14:paraId="4A523422" w14:textId="77777777" w:rsidR="00D778B6" w:rsidRPr="00CB2CB5" w:rsidRDefault="00D778B6" w:rsidP="00D778B6">
      <w:pPr>
        <w:pStyle w:val="BodyText"/>
        <w:spacing w:line="276" w:lineRule="auto"/>
        <w:ind w:left="1080" w:right="10"/>
        <w:jc w:val="both"/>
      </w:pPr>
    </w:p>
    <w:p w14:paraId="4EA6C7BB" w14:textId="77777777" w:rsidR="00D778B6" w:rsidRPr="00CB2CB5" w:rsidRDefault="00D778B6" w:rsidP="00D778B6">
      <w:pPr>
        <w:pStyle w:val="BodyText"/>
        <w:spacing w:line="276" w:lineRule="auto"/>
        <w:ind w:left="1080" w:right="10"/>
        <w:jc w:val="both"/>
      </w:pPr>
      <w:r w:rsidRPr="00CB2CB5">
        <w:t xml:space="preserve">The maximum amount of firm import capability into the </w:t>
      </w:r>
      <w:proofErr w:type="spellStart"/>
      <w:r w:rsidRPr="00CB2CB5">
        <w:t>SNMTS</w:t>
      </w:r>
      <w:proofErr w:type="spellEnd"/>
      <w:r w:rsidRPr="00CB2CB5">
        <w:t xml:space="preserve"> over the 345 kV interconnections (plus the capacity of the Tri-State Belen-Bernardo 115 kV line) is 940 MW.  The allocation of this firm capability among the owners of the </w:t>
      </w:r>
      <w:proofErr w:type="spellStart"/>
      <w:r w:rsidRPr="00CB2CB5">
        <w:t>SNMTS</w:t>
      </w:r>
      <w:proofErr w:type="spellEnd"/>
      <w:r w:rsidRPr="00CB2CB5">
        <w:t xml:space="preserve"> is:</w:t>
      </w:r>
    </w:p>
    <w:p w14:paraId="6F49206E" w14:textId="77777777" w:rsidR="00D778B6" w:rsidRPr="00CB2CB5" w:rsidRDefault="00D778B6" w:rsidP="00D778B6">
      <w:pPr>
        <w:pStyle w:val="BodyText"/>
        <w:spacing w:line="276" w:lineRule="auto"/>
        <w:ind w:left="1080" w:right="10"/>
        <w:jc w:val="both"/>
      </w:pPr>
    </w:p>
    <w:p w14:paraId="636E1172" w14:textId="77777777" w:rsidR="00D778B6" w:rsidRPr="00CB2CB5" w:rsidRDefault="00D778B6" w:rsidP="00D778B6">
      <w:pPr>
        <w:pStyle w:val="BodyText"/>
        <w:tabs>
          <w:tab w:val="left" w:pos="5580"/>
        </w:tabs>
        <w:spacing w:line="276" w:lineRule="auto"/>
        <w:ind w:left="3780"/>
        <w:jc w:val="both"/>
      </w:pPr>
      <w:r w:rsidRPr="00CB2CB5">
        <w:t>EPE</w:t>
      </w:r>
      <w:r w:rsidRPr="00CB2CB5">
        <w:tab/>
        <w:t>645 MW</w:t>
      </w:r>
    </w:p>
    <w:p w14:paraId="10A03B6D" w14:textId="77777777" w:rsidR="00D778B6" w:rsidRPr="00CB2CB5" w:rsidRDefault="00D778B6" w:rsidP="00D778B6">
      <w:pPr>
        <w:pStyle w:val="BodyText"/>
        <w:tabs>
          <w:tab w:val="left" w:pos="5580"/>
        </w:tabs>
        <w:spacing w:line="276" w:lineRule="auto"/>
        <w:ind w:left="3780"/>
        <w:jc w:val="both"/>
      </w:pPr>
      <w:r w:rsidRPr="00CB2CB5">
        <w:t>PNM</w:t>
      </w:r>
      <w:r w:rsidRPr="00CB2CB5">
        <w:tab/>
        <w:t>185 MW</w:t>
      </w:r>
    </w:p>
    <w:p w14:paraId="6E14857C" w14:textId="77777777" w:rsidR="00D778B6" w:rsidRPr="00CB2CB5" w:rsidRDefault="00D778B6" w:rsidP="00D778B6">
      <w:pPr>
        <w:pStyle w:val="BodyText"/>
        <w:tabs>
          <w:tab w:val="left" w:pos="5580"/>
        </w:tabs>
        <w:spacing w:line="276" w:lineRule="auto"/>
        <w:ind w:left="3780"/>
        <w:jc w:val="both"/>
      </w:pPr>
      <w:r w:rsidRPr="00CB2CB5">
        <w:t>Tri-State</w:t>
      </w:r>
      <w:r w:rsidRPr="00CB2CB5">
        <w:tab/>
        <w:t>110 MW</w:t>
      </w:r>
    </w:p>
    <w:p w14:paraId="2451CB6D" w14:textId="77777777" w:rsidR="00D778B6" w:rsidRPr="00CB2CB5" w:rsidRDefault="00D778B6" w:rsidP="00D778B6">
      <w:pPr>
        <w:spacing w:line="276" w:lineRule="auto"/>
        <w:ind w:left="1080"/>
        <w:rPr>
          <w:rFonts w:eastAsia="Times New Roman"/>
        </w:rPr>
      </w:pPr>
    </w:p>
    <w:p w14:paraId="70F5E54B" w14:textId="0B9F4744" w:rsidR="00D778B6" w:rsidRPr="00CB2CB5" w:rsidRDefault="00D778B6" w:rsidP="00D778B6">
      <w:pPr>
        <w:pStyle w:val="BodyText"/>
        <w:widowControl/>
        <w:spacing w:line="276" w:lineRule="auto"/>
        <w:ind w:left="1080" w:right="14"/>
        <w:jc w:val="both"/>
      </w:pPr>
      <w:r w:rsidRPr="00CB2CB5">
        <w:t xml:space="preserve">To the extent the </w:t>
      </w:r>
      <w:proofErr w:type="spellStart"/>
      <w:r w:rsidRPr="00CB2CB5">
        <w:t>SNMIC</w:t>
      </w:r>
      <w:proofErr w:type="spellEnd"/>
      <w:r w:rsidRPr="00CB2CB5">
        <w:t xml:space="preserve"> decreases below the maximum firm capacity value due to a change in the status of EPE-owned transmission variables (listed above), EPE is obligated to decrease its portion of </w:t>
      </w:r>
      <w:proofErr w:type="spellStart"/>
      <w:r w:rsidRPr="00CB2CB5">
        <w:t>SNMIC</w:t>
      </w:r>
      <w:proofErr w:type="spellEnd"/>
      <w:r w:rsidRPr="00CB2CB5">
        <w:t>.  Likewise, if the status of the EPE-owned transmission variables allow</w:t>
      </w:r>
      <w:r w:rsidR="00D42FC9">
        <w:t>s</w:t>
      </w:r>
      <w:r w:rsidRPr="00CB2CB5">
        <w:t xml:space="preserve"> for a </w:t>
      </w:r>
      <w:proofErr w:type="spellStart"/>
      <w:r w:rsidRPr="00CB2CB5">
        <w:t>SNMIC</w:t>
      </w:r>
      <w:proofErr w:type="spellEnd"/>
      <w:r w:rsidRPr="00CB2CB5">
        <w:t xml:space="preserve"> greater than the maximum firm capacity of 940 MW, only EPE can use that additional capacity on a non-firm basis. </w:t>
      </w:r>
    </w:p>
    <w:p w14:paraId="246A6024" w14:textId="77777777" w:rsidR="00D778B6" w:rsidRPr="00CB2CB5" w:rsidRDefault="00D778B6" w:rsidP="00D778B6">
      <w:pPr>
        <w:spacing w:line="276" w:lineRule="auto"/>
        <w:ind w:left="1080"/>
        <w:rPr>
          <w:rFonts w:eastAsia="Times New Roman"/>
        </w:rPr>
      </w:pPr>
    </w:p>
    <w:p w14:paraId="1FF6FC27" w14:textId="77777777" w:rsidR="00D778B6" w:rsidRPr="00CB2CB5" w:rsidRDefault="00D778B6" w:rsidP="00D778B6">
      <w:pPr>
        <w:pStyle w:val="BodyText"/>
        <w:spacing w:line="276" w:lineRule="auto"/>
        <w:ind w:left="1080" w:right="10"/>
        <w:jc w:val="both"/>
        <w:rPr>
          <w:spacing w:val="-2"/>
        </w:rPr>
      </w:pPr>
      <w:r w:rsidRPr="00CB2CB5">
        <w:rPr>
          <w:spacing w:val="-2"/>
        </w:rPr>
        <w:t xml:space="preserve">As the operating agent of the </w:t>
      </w:r>
      <w:proofErr w:type="spellStart"/>
      <w:r w:rsidRPr="00CB2CB5">
        <w:rPr>
          <w:spacing w:val="-2"/>
        </w:rPr>
        <w:t>SNMTS</w:t>
      </w:r>
      <w:proofErr w:type="spellEnd"/>
      <w:r w:rsidRPr="00CB2CB5">
        <w:rPr>
          <w:spacing w:val="-2"/>
        </w:rPr>
        <w:t>, EPE is also responsible for notifying other owners if their imports exceed their rights and whether curtailment of imports is required.</w:t>
      </w:r>
    </w:p>
    <w:p w14:paraId="61342B0C" w14:textId="77777777" w:rsidR="00D778B6" w:rsidRPr="00CB2CB5" w:rsidRDefault="00D778B6" w:rsidP="00D778B6">
      <w:pPr>
        <w:spacing w:line="276" w:lineRule="auto"/>
        <w:ind w:left="1080"/>
        <w:rPr>
          <w:rFonts w:eastAsia="Times New Roman"/>
        </w:rPr>
      </w:pPr>
    </w:p>
    <w:p w14:paraId="2964651F" w14:textId="77777777" w:rsidR="00D778B6" w:rsidRPr="00CB2CB5" w:rsidRDefault="00D778B6" w:rsidP="00D778B6">
      <w:pPr>
        <w:pStyle w:val="ListParagraph"/>
        <w:keepNext/>
        <w:keepLines/>
        <w:numPr>
          <w:ilvl w:val="0"/>
          <w:numId w:val="33"/>
        </w:numPr>
        <w:spacing w:after="0" w:line="276" w:lineRule="auto"/>
        <w:ind w:left="1440" w:hanging="360"/>
        <w:contextualSpacing w:val="0"/>
        <w:rPr>
          <w:rFonts w:ascii="Times New Roman" w:hAnsi="Times New Roman"/>
          <w:b/>
          <w:sz w:val="24"/>
        </w:rPr>
      </w:pPr>
      <w:r w:rsidRPr="00CB2CB5">
        <w:rPr>
          <w:rFonts w:ascii="Times New Roman" w:hAnsi="Times New Roman"/>
          <w:b/>
          <w:sz w:val="24"/>
        </w:rPr>
        <w:t>External Transmission Limitation Determination</w:t>
      </w:r>
    </w:p>
    <w:p w14:paraId="0B88101C" w14:textId="77777777" w:rsidR="00D778B6" w:rsidRPr="00CB2CB5" w:rsidRDefault="00D778B6" w:rsidP="00D778B6">
      <w:pPr>
        <w:pStyle w:val="BodyText"/>
        <w:keepNext/>
        <w:keepLines/>
        <w:widowControl/>
        <w:spacing w:line="276" w:lineRule="auto"/>
        <w:ind w:left="1080"/>
        <w:jc w:val="both"/>
        <w:rPr>
          <w:color w:val="auto"/>
        </w:rPr>
      </w:pPr>
    </w:p>
    <w:p w14:paraId="7DDEBE56" w14:textId="77777777" w:rsidR="00D778B6" w:rsidRPr="00CB2CB5" w:rsidRDefault="00D778B6" w:rsidP="00D778B6">
      <w:pPr>
        <w:pStyle w:val="BodyText"/>
        <w:spacing w:line="276" w:lineRule="auto"/>
        <w:ind w:left="1080"/>
        <w:jc w:val="both"/>
      </w:pPr>
      <w:r w:rsidRPr="00CB2CB5">
        <w:rPr>
          <w:color w:val="auto"/>
        </w:rPr>
        <w:t xml:space="preserve">As mentioned above, EPE partially owns 500 kV transmission lines in the Arizona transmission system in connection with its </w:t>
      </w:r>
      <w:proofErr w:type="spellStart"/>
      <w:r w:rsidRPr="00CB2CB5">
        <w:rPr>
          <w:color w:val="auto"/>
        </w:rPr>
        <w:t>PVNGS</w:t>
      </w:r>
      <w:proofErr w:type="spellEnd"/>
      <w:r w:rsidRPr="00CB2CB5">
        <w:rPr>
          <w:color w:val="auto"/>
        </w:rPr>
        <w:t xml:space="preserve"> ownership and uses these lines for the delivery of its owned Palo Verde generation entitlement.  Salt River Project performs the technical studies to evaluate the Palo Verde East rating, with agr</w:t>
      </w:r>
      <w:r w:rsidRPr="00CB2CB5">
        <w:t xml:space="preserve">eement of the other Palo Verde East path owners, PNM, and Arizona Public Service Company ("APS").  EPE posts this path with the ratings determined through these studies on its OASIS. A full explanation on how </w:t>
      </w:r>
      <w:proofErr w:type="spellStart"/>
      <w:r w:rsidRPr="00CB2CB5">
        <w:t>TTC</w:t>
      </w:r>
      <w:proofErr w:type="spellEnd"/>
      <w:r w:rsidRPr="00CB2CB5">
        <w:t xml:space="preserve"> and ATC on these paths are determined can be found in the ATC Document.</w:t>
      </w:r>
    </w:p>
    <w:p w14:paraId="6538E3F9" w14:textId="77777777" w:rsidR="00D778B6" w:rsidRPr="00CB2CB5" w:rsidRDefault="00D778B6" w:rsidP="00D778B6">
      <w:pPr>
        <w:pStyle w:val="BodyText"/>
        <w:spacing w:line="276" w:lineRule="auto"/>
        <w:ind w:left="1080"/>
        <w:jc w:val="both"/>
      </w:pPr>
    </w:p>
    <w:p w14:paraId="528EB5AD" w14:textId="77777777" w:rsidR="00D778B6" w:rsidRPr="00CB2CB5" w:rsidRDefault="00D778B6" w:rsidP="00D778B6">
      <w:pPr>
        <w:pStyle w:val="ListParagraph"/>
        <w:keepNext/>
        <w:keepLines/>
        <w:numPr>
          <w:ilvl w:val="0"/>
          <w:numId w:val="33"/>
        </w:numPr>
        <w:spacing w:after="0" w:line="276" w:lineRule="auto"/>
        <w:ind w:left="1440" w:hanging="360"/>
        <w:contextualSpacing w:val="0"/>
        <w:rPr>
          <w:rFonts w:ascii="Times New Roman" w:eastAsia="Times New Roman" w:hAnsi="Times New Roman"/>
          <w:b/>
          <w:bCs/>
          <w:sz w:val="24"/>
        </w:rPr>
      </w:pPr>
      <w:r w:rsidRPr="00CB2CB5">
        <w:rPr>
          <w:rFonts w:ascii="Times New Roman" w:eastAsia="Times New Roman" w:hAnsi="Times New Roman"/>
          <w:b/>
          <w:bCs/>
          <w:sz w:val="24"/>
        </w:rPr>
        <w:t>Transmission Coordinating Groups</w:t>
      </w:r>
    </w:p>
    <w:p w14:paraId="47DC8F1B" w14:textId="77777777" w:rsidR="00D778B6" w:rsidRPr="00CB2CB5" w:rsidRDefault="00D778B6" w:rsidP="00D778B6">
      <w:pPr>
        <w:pStyle w:val="BodyText"/>
        <w:keepNext/>
        <w:keepLines/>
        <w:widowControl/>
        <w:spacing w:line="276" w:lineRule="auto"/>
        <w:ind w:left="1080"/>
        <w:jc w:val="both"/>
      </w:pPr>
    </w:p>
    <w:p w14:paraId="736ACFCE" w14:textId="77777777" w:rsidR="00D778B6" w:rsidRPr="00CB2CB5" w:rsidRDefault="00D778B6" w:rsidP="00D778B6">
      <w:pPr>
        <w:pStyle w:val="BodyText"/>
        <w:spacing w:line="276" w:lineRule="auto"/>
        <w:ind w:left="1080"/>
        <w:jc w:val="both"/>
      </w:pPr>
      <w:r w:rsidRPr="00CB2CB5">
        <w:t>As a</w:t>
      </w:r>
      <w:r>
        <w:t xml:space="preserve"> </w:t>
      </w:r>
      <w:r w:rsidRPr="00CB2CB5">
        <w:t xml:space="preserve">Class 1 member (transmission provider) of </w:t>
      </w:r>
      <w:proofErr w:type="spellStart"/>
      <w:r w:rsidRPr="00CB2CB5">
        <w:t>WECC</w:t>
      </w:r>
      <w:proofErr w:type="spellEnd"/>
      <w:r w:rsidRPr="00CB2CB5">
        <w:t xml:space="preserve">, EPE's transmission planning activities are coordinated through several regional groups that include </w:t>
      </w:r>
      <w:proofErr w:type="spellStart"/>
      <w:r w:rsidRPr="00CB2CB5">
        <w:t>WECC</w:t>
      </w:r>
      <w:proofErr w:type="spellEnd"/>
      <w:r w:rsidRPr="00CB2CB5">
        <w:t xml:space="preserve"> committees under the Reliability Assessment Committee ("</w:t>
      </w:r>
      <w:proofErr w:type="spellStart"/>
      <w:r w:rsidRPr="00CB2CB5">
        <w:t>RAC</w:t>
      </w:r>
      <w:proofErr w:type="spellEnd"/>
      <w:r w:rsidRPr="00CB2CB5">
        <w:t>").  These groups include the</w:t>
      </w:r>
      <w:r>
        <w:t xml:space="preserve"> BPS Planning Roles Task Force (“</w:t>
      </w:r>
      <w:proofErr w:type="spellStart"/>
      <w:r>
        <w:t>BPSPRTF</w:t>
      </w:r>
      <w:proofErr w:type="spellEnd"/>
      <w:r>
        <w:t>”)</w:t>
      </w:r>
      <w:r w:rsidRPr="00CB2CB5">
        <w:t xml:space="preserve">, </w:t>
      </w:r>
      <w:r>
        <w:t xml:space="preserve">the Loads and Resources </w:t>
      </w:r>
      <w:r>
        <w:lastRenderedPageBreak/>
        <w:t>Task Force (“</w:t>
      </w:r>
      <w:proofErr w:type="spellStart"/>
      <w:r>
        <w:t>LRTF</w:t>
      </w:r>
      <w:proofErr w:type="spellEnd"/>
      <w:r>
        <w:t xml:space="preserve">”), the </w:t>
      </w:r>
      <w:r w:rsidRPr="00CB2CB5">
        <w:t>Joint Synchronized Information Subcommittee ("</w:t>
      </w:r>
      <w:proofErr w:type="spellStart"/>
      <w:r w:rsidRPr="00CB2CB5">
        <w:t>JSIS</w:t>
      </w:r>
      <w:proofErr w:type="spellEnd"/>
      <w:r w:rsidRPr="00CB2CB5">
        <w:t xml:space="preserve">"), </w:t>
      </w:r>
      <w:r>
        <w:t xml:space="preserve">the </w:t>
      </w:r>
      <w:r w:rsidRPr="00CB2CB5">
        <w:t xml:space="preserve">Modeling </w:t>
      </w:r>
      <w:r>
        <w:t xml:space="preserve">and Validation </w:t>
      </w:r>
      <w:r w:rsidRPr="00CB2CB5">
        <w:t>Subcommittee ("M</w:t>
      </w:r>
      <w:r>
        <w:t>V</w:t>
      </w:r>
      <w:r w:rsidRPr="00CB2CB5">
        <w:t xml:space="preserve">S"), </w:t>
      </w:r>
      <w:r>
        <w:t>the Production Cost Data Subcommittee (“</w:t>
      </w:r>
      <w:proofErr w:type="spellStart"/>
      <w:r>
        <w:t>PCDS</w:t>
      </w:r>
      <w:proofErr w:type="spellEnd"/>
      <w:r>
        <w:t>”), the Production Cost Modeling Subcommittee (“</w:t>
      </w:r>
      <w:proofErr w:type="spellStart"/>
      <w:r>
        <w:t>PCMS</w:t>
      </w:r>
      <w:proofErr w:type="spellEnd"/>
      <w:r>
        <w:t>”),  the System Review Subcommittee (“SRS”)</w:t>
      </w:r>
      <w:r w:rsidRPr="00CB2CB5">
        <w:t>, and the Studies Subcommittee ("</w:t>
      </w:r>
      <w:proofErr w:type="spellStart"/>
      <w:r w:rsidRPr="00CB2CB5">
        <w:t>StS</w:t>
      </w:r>
      <w:proofErr w:type="spellEnd"/>
      <w:r w:rsidRPr="00CB2CB5">
        <w:t xml:space="preserve">").  In addition, EPE is a member of the General Electric </w:t>
      </w:r>
      <w:r>
        <w:t>Positive Sequence Load Flow (“</w:t>
      </w:r>
      <w:proofErr w:type="spellStart"/>
      <w:r>
        <w:t>PSLF</w:t>
      </w:r>
      <w:proofErr w:type="spellEnd"/>
      <w:r>
        <w:t xml:space="preserve">”) </w:t>
      </w:r>
      <w:r w:rsidRPr="00CB2CB5">
        <w:t xml:space="preserve">Users Group, the regional </w:t>
      </w:r>
      <w:r>
        <w:t xml:space="preserve">transmission planning </w:t>
      </w:r>
      <w:r w:rsidRPr="00CB2CB5">
        <w:t xml:space="preserve">group </w:t>
      </w:r>
      <w:proofErr w:type="spellStart"/>
      <w:r w:rsidRPr="00CB2CB5">
        <w:t>WestConnect</w:t>
      </w:r>
      <w:proofErr w:type="spellEnd"/>
      <w:r>
        <w:t>,</w:t>
      </w:r>
      <w:r w:rsidRPr="00CB2CB5">
        <w:t xml:space="preserve"> and the Southwest Area Transmission ("SWAT") </w:t>
      </w:r>
      <w:r>
        <w:t xml:space="preserve">Subregional </w:t>
      </w:r>
      <w:r w:rsidRPr="00CB2CB5">
        <w:t xml:space="preserve">Planning </w:t>
      </w:r>
      <w:r>
        <w:t>Group</w:t>
      </w:r>
      <w:r w:rsidRPr="00CB2CB5">
        <w:t>.</w:t>
      </w:r>
    </w:p>
    <w:p w14:paraId="63B2F93C" w14:textId="77777777" w:rsidR="00D778B6" w:rsidRPr="00CB2CB5" w:rsidRDefault="00D778B6" w:rsidP="00D778B6">
      <w:pPr>
        <w:pStyle w:val="BodyText"/>
        <w:spacing w:line="276" w:lineRule="auto"/>
        <w:ind w:left="1080"/>
        <w:jc w:val="both"/>
      </w:pPr>
    </w:p>
    <w:p w14:paraId="6410661C" w14:textId="77777777" w:rsidR="00D778B6" w:rsidRDefault="00D778B6" w:rsidP="00D778B6">
      <w:pPr>
        <w:pStyle w:val="BodyText"/>
        <w:spacing w:line="276" w:lineRule="auto"/>
        <w:ind w:left="1080"/>
        <w:jc w:val="both"/>
      </w:pPr>
      <w:r w:rsidRPr="00CB2CB5">
        <w:t xml:space="preserve">Through </w:t>
      </w:r>
      <w:proofErr w:type="spellStart"/>
      <w:r w:rsidRPr="00CB2CB5">
        <w:t>WestConnect</w:t>
      </w:r>
      <w:proofErr w:type="spellEnd"/>
      <w:r w:rsidRPr="00CB2CB5">
        <w:t xml:space="preserve">, EPE and other </w:t>
      </w:r>
      <w:proofErr w:type="spellStart"/>
      <w:r w:rsidRPr="00CB2CB5">
        <w:t>WestConnect</w:t>
      </w:r>
      <w:proofErr w:type="spellEnd"/>
      <w:r w:rsidRPr="00CB2CB5">
        <w:t xml:space="preserve"> members participate in the regional transmission planning process detailed in FERC Order 1000 and in Attachment K of EPE's Transmission Tariff (</w:t>
      </w:r>
      <w:proofErr w:type="spellStart"/>
      <w:r w:rsidRPr="00CB2CB5">
        <w:t>OATT</w:t>
      </w:r>
      <w:proofErr w:type="spellEnd"/>
      <w:r w:rsidRPr="00CB2CB5">
        <w:t xml:space="preserve">).  The </w:t>
      </w:r>
      <w:proofErr w:type="spellStart"/>
      <w:r w:rsidRPr="00CB2CB5">
        <w:t>WestConnect</w:t>
      </w:r>
      <w:proofErr w:type="spellEnd"/>
      <w:r w:rsidRPr="00CB2CB5">
        <w:t xml:space="preserve"> footprint includes </w:t>
      </w:r>
      <w:r>
        <w:t xml:space="preserve">Arizona, part of California, Colorado, part of Montana, </w:t>
      </w:r>
      <w:r w:rsidRPr="00CB2CB5">
        <w:t>part of Nebraska</w:t>
      </w:r>
      <w:r>
        <w:t>,</w:t>
      </w:r>
      <w:r w:rsidRPr="00CB2CB5">
        <w:t xml:space="preserve"> New Mexico, Nevada, </w:t>
      </w:r>
      <w:r>
        <w:t xml:space="preserve">part of South Dakota, </w:t>
      </w:r>
      <w:r w:rsidRPr="00CB2CB5">
        <w:t>and</w:t>
      </w:r>
      <w:r>
        <w:t xml:space="preserve"> </w:t>
      </w:r>
      <w:r w:rsidRPr="00CB2CB5">
        <w:t>part of Wyoming</w:t>
      </w:r>
      <w:r>
        <w:t>.</w:t>
      </w:r>
      <w:r w:rsidRPr="00CB2CB5">
        <w:t xml:space="preserve"> </w:t>
      </w:r>
    </w:p>
    <w:p w14:paraId="642A2EEA" w14:textId="77777777" w:rsidR="00D778B6" w:rsidRDefault="00D778B6" w:rsidP="00D778B6">
      <w:pPr>
        <w:pStyle w:val="BodyText"/>
        <w:spacing w:line="276" w:lineRule="auto"/>
        <w:ind w:left="1080"/>
        <w:jc w:val="both"/>
      </w:pPr>
    </w:p>
    <w:p w14:paraId="4156B2AE" w14:textId="77777777" w:rsidR="00D778B6" w:rsidRPr="00A826F1" w:rsidRDefault="00D778B6" w:rsidP="00D778B6">
      <w:pPr>
        <w:pStyle w:val="BodyText"/>
        <w:numPr>
          <w:ilvl w:val="0"/>
          <w:numId w:val="33"/>
        </w:numPr>
        <w:spacing w:line="276" w:lineRule="auto"/>
        <w:ind w:left="1440" w:hanging="360"/>
        <w:jc w:val="both"/>
      </w:pPr>
      <w:r w:rsidRPr="00A826F1">
        <w:rPr>
          <w:b/>
          <w:bCs/>
        </w:rPr>
        <w:t>Other Resources Relied Upon: Pooling and Coordination Agreements: Reserve</w:t>
      </w:r>
      <w:r w:rsidRPr="00CB2CB5">
        <w:rPr>
          <w:b/>
        </w:rPr>
        <w:t xml:space="preserve"> Sharing Group</w:t>
      </w:r>
    </w:p>
    <w:p w14:paraId="361197BA" w14:textId="77777777" w:rsidR="00D778B6" w:rsidRPr="00CB2CB5" w:rsidRDefault="00D778B6" w:rsidP="00D778B6">
      <w:pPr>
        <w:pStyle w:val="BodyText"/>
        <w:spacing w:line="276" w:lineRule="auto"/>
        <w:ind w:left="1080"/>
        <w:jc w:val="both"/>
        <w:rPr>
          <w:b/>
        </w:rPr>
      </w:pPr>
    </w:p>
    <w:p w14:paraId="5BF67E3B" w14:textId="77777777" w:rsidR="00D778B6" w:rsidRPr="00CB2CB5" w:rsidRDefault="00D778B6" w:rsidP="00D778B6">
      <w:pPr>
        <w:pStyle w:val="BodyText"/>
        <w:spacing w:line="276" w:lineRule="auto"/>
        <w:ind w:left="1080"/>
        <w:jc w:val="both"/>
      </w:pPr>
      <w:r w:rsidRPr="00CB2CB5">
        <w:t>In addition to the wheeling agreements described above in Section III.F.1, EPE is also a member of the Southwest Reserve Sharing Group, (“</w:t>
      </w:r>
      <w:proofErr w:type="spellStart"/>
      <w:r w:rsidRPr="00CB2CB5">
        <w:t>SRSG</w:t>
      </w:r>
      <w:proofErr w:type="spellEnd"/>
      <w:r w:rsidRPr="00CB2CB5">
        <w:t xml:space="preserve">”).  </w:t>
      </w:r>
      <w:proofErr w:type="spellStart"/>
      <w:r w:rsidRPr="00CB2CB5">
        <w:t>SRSG</w:t>
      </w:r>
      <w:proofErr w:type="spellEnd"/>
      <w:r w:rsidRPr="00CB2CB5">
        <w:t xml:space="preserve"> is a NERC registered entity that administers compliance with the BAL-002 </w:t>
      </w:r>
      <w:r>
        <w:t xml:space="preserve">and </w:t>
      </w:r>
      <w:r w:rsidRPr="00CB2CB5">
        <w:t>EOP-0</w:t>
      </w:r>
      <w:r>
        <w:t>1</w:t>
      </w:r>
      <w:r w:rsidRPr="00CB2CB5">
        <w:t xml:space="preserve">1 requirements.  Members of the </w:t>
      </w:r>
      <w:proofErr w:type="spellStart"/>
      <w:r w:rsidRPr="00CB2CB5">
        <w:t>SRSG</w:t>
      </w:r>
      <w:proofErr w:type="spellEnd"/>
      <w:r w:rsidRPr="00CB2CB5">
        <w:t xml:space="preserve"> share operating contingency reserve requirements to mitigate the amount of contingency reserves individual members would need to carry if not part of the </w:t>
      </w:r>
      <w:proofErr w:type="spellStart"/>
      <w:r w:rsidRPr="00CB2CB5">
        <w:t>SRSG</w:t>
      </w:r>
      <w:proofErr w:type="spellEnd"/>
      <w:r w:rsidRPr="00CB2CB5">
        <w:t xml:space="preserve">.  EPE follows the </w:t>
      </w:r>
      <w:proofErr w:type="spellStart"/>
      <w:r w:rsidRPr="00CB2CB5">
        <w:t>SRSG</w:t>
      </w:r>
      <w:proofErr w:type="spellEnd"/>
      <w:r w:rsidRPr="00CB2CB5">
        <w:t xml:space="preserve"> Operating Procedures for calculating and reporting the Spin and Non-Spin hourly reserve values.    </w:t>
      </w:r>
    </w:p>
    <w:p w14:paraId="1A557819" w14:textId="77777777" w:rsidR="00D778B6" w:rsidRPr="00CB2CB5" w:rsidRDefault="00D778B6" w:rsidP="00D778B6">
      <w:pPr>
        <w:pStyle w:val="BodyText"/>
        <w:spacing w:line="276" w:lineRule="auto"/>
        <w:ind w:left="1080"/>
        <w:jc w:val="both"/>
      </w:pPr>
    </w:p>
    <w:p w14:paraId="5BED28AD" w14:textId="77777777" w:rsidR="00D778B6" w:rsidRPr="00CB2CB5" w:rsidRDefault="00D778B6" w:rsidP="00D778B6">
      <w:pPr>
        <w:pStyle w:val="BodyText"/>
        <w:spacing w:line="276" w:lineRule="auto"/>
        <w:ind w:left="1080"/>
        <w:jc w:val="both"/>
        <w:rPr>
          <w:b/>
          <w:u w:val="single"/>
        </w:rPr>
      </w:pPr>
      <w:r w:rsidRPr="00CB2CB5">
        <w:rPr>
          <w:b/>
          <w:u w:val="single"/>
        </w:rPr>
        <w:t>Conclusion and Discussion</w:t>
      </w:r>
    </w:p>
    <w:p w14:paraId="343E6DA2" w14:textId="77777777" w:rsidR="00D778B6" w:rsidRPr="00CB2CB5" w:rsidRDefault="00D778B6" w:rsidP="00D778B6">
      <w:pPr>
        <w:pStyle w:val="BodyText"/>
        <w:spacing w:line="276" w:lineRule="auto"/>
        <w:ind w:left="1080"/>
        <w:jc w:val="both"/>
      </w:pPr>
    </w:p>
    <w:p w14:paraId="5A00B232" w14:textId="77777777" w:rsidR="00D778B6" w:rsidRPr="00CB2CB5" w:rsidRDefault="00D778B6" w:rsidP="00D778B6">
      <w:pPr>
        <w:pStyle w:val="BodyText"/>
        <w:spacing w:line="276" w:lineRule="auto"/>
        <w:ind w:left="1080"/>
        <w:jc w:val="both"/>
      </w:pPr>
      <w:r w:rsidRPr="00CB2CB5">
        <w:t xml:space="preserve">As described above, EPE is physically located in the far southeastern corner of the </w:t>
      </w:r>
      <w:proofErr w:type="spellStart"/>
      <w:r w:rsidRPr="00CB2CB5">
        <w:t>WECC</w:t>
      </w:r>
      <w:proofErr w:type="spellEnd"/>
      <w:r w:rsidRPr="00CB2CB5">
        <w:t xml:space="preserve"> region and is constrained by transmission import limits. Firm import transmission capacity is limited to two specific paths: Path 47 and the Eddy County HVDC Tie.  In other words, EPE is not </w:t>
      </w:r>
      <w:proofErr w:type="gramStart"/>
      <w:r w:rsidRPr="00CB2CB5">
        <w:t>in a position</w:t>
      </w:r>
      <w:proofErr w:type="gramEnd"/>
      <w:r w:rsidRPr="00CB2CB5">
        <w:t xml:space="preserve"> to wheel power through its service territory from multiple transmission paths but is more of a terminal point in the </w:t>
      </w:r>
      <w:proofErr w:type="spellStart"/>
      <w:r w:rsidRPr="00CB2CB5">
        <w:t>WECC</w:t>
      </w:r>
      <w:proofErr w:type="spellEnd"/>
      <w:r w:rsidRPr="00CB2CB5">
        <w:t xml:space="preserve"> region.  Import capacity outside of these paths is non-firm and cannot be considered in long-term resource planning because availability of non-firm transmission capacity is unknown.  EPE considers these constraints when performing its long-term planning and when establishing an appropriate reserve margin.  These considerations, in conjunction with risk of outages due to transmission maintenance or transmission system failure, require further review when evaluating the siting of future generation.  Due to the transfer capability limits of Path 47 and the Eddy County DC Tie, future supply side resources may be more optimally be sited within EPE's service </w:t>
      </w:r>
      <w:r w:rsidRPr="00CB2CB5">
        <w:lastRenderedPageBreak/>
        <w:t xml:space="preserve">territory.  Any resources sited outside EPE's service territory likely would require transmission investments to ensure firm transmission import capacity. </w:t>
      </w:r>
    </w:p>
    <w:p w14:paraId="67C119E7" w14:textId="77777777" w:rsidR="00D778B6" w:rsidRPr="00CB2CB5" w:rsidRDefault="00D778B6" w:rsidP="00D778B6">
      <w:pPr>
        <w:pStyle w:val="BodyText"/>
        <w:spacing w:line="276" w:lineRule="auto"/>
        <w:ind w:left="1080" w:right="167"/>
        <w:jc w:val="both"/>
      </w:pPr>
    </w:p>
    <w:p w14:paraId="073E2138" w14:textId="77777777" w:rsidR="003C0EF8" w:rsidRPr="00CB2CB5" w:rsidRDefault="00925B19" w:rsidP="00210A84">
      <w:pPr>
        <w:pStyle w:val="Heading2"/>
        <w:numPr>
          <w:ilvl w:val="0"/>
          <w:numId w:val="26"/>
        </w:numPr>
        <w:spacing w:line="276" w:lineRule="auto"/>
        <w:ind w:left="1080" w:right="14" w:hanging="540"/>
        <w:rPr>
          <w:rFonts w:eastAsia="Times New Roman"/>
        </w:rPr>
      </w:pPr>
      <w:bookmarkStart w:id="33" w:name="_Toc534190308"/>
      <w:r w:rsidRPr="00CB2CB5">
        <w:rPr>
          <w:rFonts w:eastAsia="Times New Roman"/>
        </w:rPr>
        <w:t xml:space="preserve">Back-Up Fuel Capabilities </w:t>
      </w:r>
      <w:r w:rsidR="00EE7BED" w:rsidRPr="00CB2CB5">
        <w:rPr>
          <w:rFonts w:eastAsia="Times New Roman"/>
        </w:rPr>
        <w:t>a</w:t>
      </w:r>
      <w:r w:rsidRPr="00CB2CB5">
        <w:rPr>
          <w:rFonts w:eastAsia="Times New Roman"/>
        </w:rPr>
        <w:t>nd Options</w:t>
      </w:r>
      <w:bookmarkEnd w:id="33"/>
      <w:r w:rsidR="001E42BD" w:rsidRPr="00CB2CB5">
        <w:rPr>
          <w:rFonts w:eastAsia="Times New Roman"/>
        </w:rPr>
        <w:t xml:space="preserve"> </w:t>
      </w:r>
    </w:p>
    <w:p w14:paraId="758D1F28" w14:textId="77777777" w:rsidR="00923B58" w:rsidRPr="00CB2CB5" w:rsidRDefault="00923B58" w:rsidP="00210A84">
      <w:pPr>
        <w:pStyle w:val="ListParagraph"/>
        <w:spacing w:after="0" w:line="276" w:lineRule="auto"/>
        <w:ind w:left="540" w:right="14"/>
        <w:contextualSpacing w:val="0"/>
        <w:rPr>
          <w:rFonts w:ascii="Times New Roman" w:eastAsia="Times New Roman" w:hAnsi="Times New Roman"/>
          <w:sz w:val="24"/>
        </w:rPr>
      </w:pPr>
    </w:p>
    <w:p w14:paraId="7DC4D77B" w14:textId="3090651A" w:rsidR="00BB6DE9" w:rsidRPr="00CB2CB5" w:rsidRDefault="00BB6DE9" w:rsidP="00BB6DE9">
      <w:pPr>
        <w:spacing w:line="276" w:lineRule="auto"/>
        <w:ind w:left="540" w:right="14"/>
        <w:rPr>
          <w:rFonts w:eastAsia="Times New Roman"/>
        </w:rPr>
      </w:pPr>
      <w:r>
        <w:rPr>
          <w:rFonts w:eastAsia="Times New Roman"/>
        </w:rPr>
        <w:t>Presently EPE has three primary resource types, nuclear, gas, and solar energy resources. The Newman and Montana Power Stations have duel gas pipeline interconnections providing added reliability and mitigating the potential for gas fuel supply disruption.  The four Montana Power Station units are also duel fuel capable with the ability to utilize diesel fuel oil in case of gas fuel supply disruption. In 2022, EPE will increase its solar energy capacity as well as introduce a 50 MW battery storage resource, further increasing its diversity.</w:t>
      </w:r>
      <w:r w:rsidRPr="00BB6DE9">
        <w:rPr>
          <w:rFonts w:eastAsia="Times New Roman"/>
        </w:rPr>
        <w:t xml:space="preserve"> </w:t>
      </w:r>
      <w:r w:rsidRPr="00CB2CB5">
        <w:rPr>
          <w:rFonts w:eastAsia="Times New Roman"/>
        </w:rPr>
        <w:t xml:space="preserve">Table </w:t>
      </w:r>
      <w:r w:rsidR="00D53E41">
        <w:rPr>
          <w:rFonts w:eastAsia="Times New Roman"/>
        </w:rPr>
        <w:t>1</w:t>
      </w:r>
      <w:r w:rsidR="00D53E41" w:rsidRPr="00CB2CB5">
        <w:rPr>
          <w:rFonts w:eastAsia="Times New Roman"/>
        </w:rPr>
        <w:t xml:space="preserve"> </w:t>
      </w:r>
      <w:r w:rsidRPr="00CB2CB5">
        <w:rPr>
          <w:rFonts w:eastAsia="Times New Roman"/>
        </w:rPr>
        <w:t>identifies plants that are dual fuel capable. Further discussion on dual fuel capability is found in Section VII, "Description of the Resource and Fuel Diversity."</w:t>
      </w:r>
    </w:p>
    <w:p w14:paraId="62410DEE" w14:textId="77777777" w:rsidR="00BB6DE9" w:rsidRDefault="00BB6DE9" w:rsidP="00210A84">
      <w:pPr>
        <w:spacing w:line="276" w:lineRule="auto"/>
        <w:ind w:left="540" w:right="14"/>
        <w:rPr>
          <w:rFonts w:eastAsia="Times New Roman"/>
        </w:rPr>
      </w:pPr>
    </w:p>
    <w:p w14:paraId="1C87BCA6" w14:textId="2AACFD1D" w:rsidR="004578F8" w:rsidRDefault="00BB6DE9" w:rsidP="00210A84">
      <w:pPr>
        <w:spacing w:line="276" w:lineRule="auto"/>
        <w:ind w:left="540" w:right="14"/>
        <w:rPr>
          <w:rFonts w:eastAsia="Times New Roman"/>
        </w:rPr>
      </w:pPr>
      <w:r>
        <w:rPr>
          <w:rFonts w:eastAsia="Times New Roman"/>
        </w:rPr>
        <w:t xml:space="preserve">EPE’s resource </w:t>
      </w:r>
      <w:r w:rsidR="003D78E2">
        <w:rPr>
          <w:rFonts w:eastAsia="Times New Roman"/>
        </w:rPr>
        <w:t>diversity in terms of resource type, duel pipeline access, and alternate diesel fuel oil capabilities allowed EPE to meet customer demand needs d</w:t>
      </w:r>
      <w:r w:rsidR="004578F8">
        <w:rPr>
          <w:rFonts w:eastAsia="Times New Roman"/>
        </w:rPr>
        <w:t xml:space="preserve">uring </w:t>
      </w:r>
      <w:r w:rsidR="003D78E2">
        <w:rPr>
          <w:rFonts w:eastAsia="Times New Roman"/>
        </w:rPr>
        <w:t xml:space="preserve">an unprecedented winter storm </w:t>
      </w:r>
      <w:r w:rsidR="004578F8">
        <w:rPr>
          <w:rFonts w:eastAsia="Times New Roman"/>
        </w:rPr>
        <w:t>the week of February 14</w:t>
      </w:r>
      <w:r w:rsidR="004578F8" w:rsidRPr="00AF4CC2">
        <w:rPr>
          <w:rFonts w:eastAsia="Times New Roman"/>
          <w:vertAlign w:val="superscript"/>
        </w:rPr>
        <w:t>th</w:t>
      </w:r>
      <w:r w:rsidR="004578F8">
        <w:rPr>
          <w:rFonts w:eastAsia="Times New Roman"/>
        </w:rPr>
        <w:t>, 2021</w:t>
      </w:r>
      <w:r w:rsidR="003D78E2">
        <w:rPr>
          <w:rFonts w:eastAsia="Times New Roman"/>
        </w:rPr>
        <w:t>.</w:t>
      </w:r>
      <w:r w:rsidR="004578F8">
        <w:rPr>
          <w:rFonts w:eastAsia="Times New Roman"/>
        </w:rPr>
        <w:t xml:space="preserve"> </w:t>
      </w:r>
      <w:r w:rsidR="003D78E2">
        <w:rPr>
          <w:rFonts w:eastAsia="Times New Roman"/>
        </w:rPr>
        <w:t>T</w:t>
      </w:r>
      <w:r w:rsidR="004578F8">
        <w:rPr>
          <w:rFonts w:eastAsia="Times New Roman"/>
        </w:rPr>
        <w:t xml:space="preserve">he state of Texas plunged it into subfreezing temperatures causing massive power outages and overwhelming the state’s electricity infrastructure.  </w:t>
      </w:r>
      <w:r w:rsidR="00102D67">
        <w:rPr>
          <w:rFonts w:eastAsia="Times New Roman"/>
        </w:rPr>
        <w:t>T</w:t>
      </w:r>
      <w:r w:rsidR="004578F8">
        <w:rPr>
          <w:rFonts w:eastAsia="Times New Roman"/>
        </w:rPr>
        <w:t xml:space="preserve">he winter storm caused disruptions to </w:t>
      </w:r>
      <w:r w:rsidR="00102D67">
        <w:rPr>
          <w:rFonts w:eastAsia="Times New Roman"/>
        </w:rPr>
        <w:t xml:space="preserve">the region’s </w:t>
      </w:r>
      <w:r w:rsidR="004578F8">
        <w:rPr>
          <w:rFonts w:eastAsia="Times New Roman"/>
        </w:rPr>
        <w:t xml:space="preserve">natural gas fuel supply </w:t>
      </w:r>
      <w:r w:rsidR="00102D67">
        <w:rPr>
          <w:rFonts w:eastAsia="Times New Roman"/>
        </w:rPr>
        <w:t xml:space="preserve">causing </w:t>
      </w:r>
      <w:r w:rsidR="004578F8">
        <w:rPr>
          <w:rFonts w:eastAsia="Times New Roman"/>
        </w:rPr>
        <w:t>overlapping declaration of critical operation conditions to both its Interstate and Intrastate natural gas pipelines.</w:t>
      </w:r>
      <w:r w:rsidR="00102D67">
        <w:rPr>
          <w:rFonts w:eastAsia="Times New Roman"/>
        </w:rPr>
        <w:t xml:space="preserve">  </w:t>
      </w:r>
      <w:r w:rsidR="00526D65">
        <w:rPr>
          <w:rFonts w:eastAsia="Times New Roman"/>
        </w:rPr>
        <w:t xml:space="preserve">To retain the integrity and reliability of its system after experiencing a loss of its natural gas supply, EPE switched all the Montana units to fuel oil during the week of the winter storm.  EPE was also able to save customers millions of dollars in fuel costs by burning fuel oil instead of procuring additional natural gas supply in the day-ahead market. </w:t>
      </w:r>
    </w:p>
    <w:p w14:paraId="5E9C04AB" w14:textId="77777777" w:rsidR="004F3260" w:rsidRPr="00CB2CB5" w:rsidRDefault="004F3260" w:rsidP="00210A84">
      <w:pPr>
        <w:spacing w:line="276" w:lineRule="auto"/>
        <w:ind w:left="1080" w:right="14"/>
        <w:rPr>
          <w:rFonts w:eastAsia="Times New Roman"/>
        </w:rPr>
      </w:pPr>
    </w:p>
    <w:p w14:paraId="226BEFB0" w14:textId="77777777" w:rsidR="00F74885" w:rsidRPr="00CB2CB5" w:rsidRDefault="00054AC0" w:rsidP="00210A84">
      <w:pPr>
        <w:pStyle w:val="Heading1"/>
        <w:keepNext/>
        <w:keepLines/>
        <w:widowControl/>
        <w:numPr>
          <w:ilvl w:val="0"/>
          <w:numId w:val="23"/>
        </w:numPr>
        <w:tabs>
          <w:tab w:val="left" w:pos="540"/>
        </w:tabs>
        <w:autoSpaceDE/>
        <w:autoSpaceDN/>
        <w:spacing w:before="0" w:line="276" w:lineRule="auto"/>
        <w:ind w:left="0" w:firstLine="0"/>
      </w:pPr>
      <w:bookmarkStart w:id="34" w:name="_Toc534190309"/>
      <w:r w:rsidRPr="00CB2CB5">
        <w:t>CURRENT LOAD FORECAST</w:t>
      </w:r>
      <w:bookmarkEnd w:id="34"/>
      <w:r w:rsidR="003C0EF8" w:rsidRPr="00CB2CB5">
        <w:t xml:space="preserve"> </w:t>
      </w:r>
    </w:p>
    <w:p w14:paraId="21D6E511" w14:textId="77777777" w:rsidR="00886EB1" w:rsidRPr="00CB2CB5" w:rsidRDefault="00886EB1" w:rsidP="00210A84">
      <w:pPr>
        <w:keepNext/>
        <w:keepLines/>
        <w:spacing w:line="276" w:lineRule="auto"/>
        <w:rPr>
          <w:rFonts w:eastAsia="Times New Roman"/>
        </w:rPr>
      </w:pPr>
    </w:p>
    <w:p w14:paraId="4C1E8482" w14:textId="77777777" w:rsidR="00886EB1" w:rsidRPr="00CB2CB5" w:rsidRDefault="00886EB1" w:rsidP="00210A84">
      <w:pPr>
        <w:pStyle w:val="Heading2"/>
        <w:numPr>
          <w:ilvl w:val="0"/>
          <w:numId w:val="27"/>
        </w:numPr>
        <w:spacing w:line="276" w:lineRule="auto"/>
        <w:ind w:left="1080" w:hanging="540"/>
        <w:rPr>
          <w:rFonts w:eastAsia="Times New Roman"/>
        </w:rPr>
      </w:pPr>
      <w:bookmarkStart w:id="35" w:name="_Toc534190310"/>
      <w:r w:rsidRPr="00CB2CB5">
        <w:rPr>
          <w:rFonts w:eastAsia="Times New Roman"/>
        </w:rPr>
        <w:t>Forecast Summary</w:t>
      </w:r>
      <w:bookmarkEnd w:id="35"/>
    </w:p>
    <w:p w14:paraId="49CE4611" w14:textId="77777777" w:rsidR="00F20853" w:rsidRPr="00CB2CB5" w:rsidRDefault="00F20853" w:rsidP="00210A84">
      <w:pPr>
        <w:pStyle w:val="BodyText2"/>
        <w:keepNext/>
        <w:keepLines/>
        <w:spacing w:after="0" w:line="276" w:lineRule="auto"/>
        <w:ind w:left="540"/>
      </w:pPr>
    </w:p>
    <w:p w14:paraId="0962E806" w14:textId="0CA3D5A4" w:rsidR="00886EB1" w:rsidRPr="00CB2CB5" w:rsidRDefault="00886EB1" w:rsidP="008759DE">
      <w:pPr>
        <w:pStyle w:val="BodyText2"/>
        <w:spacing w:after="0" w:line="276" w:lineRule="auto"/>
        <w:ind w:left="540"/>
      </w:pPr>
      <w:r w:rsidRPr="00CB2CB5">
        <w:t xml:space="preserve">The </w:t>
      </w:r>
      <w:r w:rsidR="00C665BE">
        <w:t>2021</w:t>
      </w:r>
      <w:r w:rsidRPr="00CB2CB5">
        <w:t xml:space="preserve"> Load Forecast predicts expected, upper, and lower bounds for energy and peak demand, for EPE</w:t>
      </w:r>
      <w:r w:rsidR="00B81EE4" w:rsidRPr="00CB2CB5">
        <w:t>'</w:t>
      </w:r>
      <w:r w:rsidRPr="00CB2CB5">
        <w:t xml:space="preserve">s native and total systems. </w:t>
      </w:r>
      <w:r w:rsidR="006069E7" w:rsidRPr="00CB2CB5">
        <w:t xml:space="preserve"> </w:t>
      </w:r>
      <w:r w:rsidRPr="00CB2CB5">
        <w:t>The forecast is generated for the 20</w:t>
      </w:r>
      <w:r w:rsidR="00F20853" w:rsidRPr="00CB2CB5">
        <w:noBreakHyphen/>
      </w:r>
      <w:r w:rsidRPr="00CB2CB5">
        <w:t xml:space="preserve">year period of </w:t>
      </w:r>
      <w:r w:rsidR="00C665BE">
        <w:t>2021-2040</w:t>
      </w:r>
      <w:r w:rsidRPr="00CB2CB5">
        <w:t xml:space="preserve"> (see Attachment </w:t>
      </w:r>
      <w:r w:rsidR="00C665BE">
        <w:t>B</w:t>
      </w:r>
      <w:r w:rsidR="003D25FF" w:rsidRPr="00CB2CB5">
        <w:t>-1</w:t>
      </w:r>
      <w:r w:rsidRPr="00CB2CB5">
        <w:t xml:space="preserve">). </w:t>
      </w:r>
      <w:r w:rsidR="006069E7" w:rsidRPr="00CB2CB5">
        <w:t xml:space="preserve"> </w:t>
      </w:r>
      <w:r w:rsidRPr="00CB2CB5">
        <w:t xml:space="preserve">The </w:t>
      </w:r>
      <w:r w:rsidR="00C665BE">
        <w:t>2021</w:t>
      </w:r>
      <w:r w:rsidRPr="00CB2CB5">
        <w:t xml:space="preserve"> expected (base) forecast predicts 10</w:t>
      </w:r>
      <w:r w:rsidR="00F20853" w:rsidRPr="00CB2CB5">
        <w:noBreakHyphen/>
        <w:t xml:space="preserve"> </w:t>
      </w:r>
      <w:r w:rsidRPr="00CB2CB5">
        <w:t>and 20</w:t>
      </w:r>
      <w:r w:rsidR="00F20853" w:rsidRPr="00CB2CB5">
        <w:noBreakHyphen/>
      </w:r>
      <w:r w:rsidRPr="00CB2CB5">
        <w:t>year compound annual growth rates (</w:t>
      </w:r>
      <w:r w:rsidR="00EB31CB" w:rsidRPr="00CB2CB5">
        <w:t>"</w:t>
      </w:r>
      <w:r w:rsidRPr="00CB2CB5">
        <w:t>CAGR</w:t>
      </w:r>
      <w:r w:rsidR="00EB31CB" w:rsidRPr="00CB2CB5">
        <w:t>"</w:t>
      </w:r>
      <w:r w:rsidRPr="00CB2CB5">
        <w:t xml:space="preserve">) of </w:t>
      </w:r>
      <w:r w:rsidR="00C665BE">
        <w:t>1.1</w:t>
      </w:r>
      <w:r w:rsidRPr="00CB2CB5">
        <w:t xml:space="preserve">% and </w:t>
      </w:r>
      <w:r w:rsidR="00C665BE">
        <w:t>1.5</w:t>
      </w:r>
      <w:r w:rsidRPr="00CB2CB5">
        <w:t xml:space="preserve">% for native system energy, respectively. The </w:t>
      </w:r>
      <w:r w:rsidR="00C665BE">
        <w:t>2021</w:t>
      </w:r>
      <w:r w:rsidRPr="00CB2CB5">
        <w:t xml:space="preserve"> expected forecast predicts 10- and 20</w:t>
      </w:r>
      <w:r w:rsidR="00F20853" w:rsidRPr="00CB2CB5">
        <w:noBreakHyphen/>
      </w:r>
      <w:r w:rsidRPr="00CB2CB5">
        <w:t xml:space="preserve">year CAGR of </w:t>
      </w:r>
      <w:r w:rsidR="00C665BE">
        <w:t>0.9</w:t>
      </w:r>
      <w:r w:rsidRPr="00CB2CB5">
        <w:t xml:space="preserve">% and </w:t>
      </w:r>
      <w:r w:rsidR="00C665BE">
        <w:t>1.7</w:t>
      </w:r>
      <w:r w:rsidRPr="00CB2CB5">
        <w:t xml:space="preserve">%, respectively, for native system peak demand. </w:t>
      </w:r>
      <w:r w:rsidR="006069E7" w:rsidRPr="00CB2CB5">
        <w:t xml:space="preserve"> </w:t>
      </w:r>
      <w:r w:rsidRPr="00CB2CB5">
        <w:t>EPE</w:t>
      </w:r>
      <w:r w:rsidR="00B81EE4" w:rsidRPr="00CB2CB5">
        <w:t>'</w:t>
      </w:r>
      <w:r w:rsidRPr="00CB2CB5">
        <w:t>s native system consists of New</w:t>
      </w:r>
      <w:r w:rsidR="00F20853" w:rsidRPr="00CB2CB5">
        <w:t> </w:t>
      </w:r>
      <w:r w:rsidRPr="00CB2CB5">
        <w:t>Mexico and Texas jurisdictional retail load and the contractual Rio</w:t>
      </w:r>
      <w:r w:rsidR="00F20853" w:rsidRPr="00CB2CB5">
        <w:t> </w:t>
      </w:r>
      <w:r w:rsidRPr="00CB2CB5">
        <w:t>Grande Electric Co</w:t>
      </w:r>
      <w:r w:rsidR="00F20853" w:rsidRPr="00CB2CB5">
        <w:noBreakHyphen/>
      </w:r>
      <w:r w:rsidRPr="00CB2CB5">
        <w:t>Operative (</w:t>
      </w:r>
      <w:r w:rsidR="00EB31CB" w:rsidRPr="00CB2CB5">
        <w:t>"</w:t>
      </w:r>
      <w:proofErr w:type="spellStart"/>
      <w:r w:rsidRPr="00CB2CB5">
        <w:t>RGEC</w:t>
      </w:r>
      <w:proofErr w:type="spellEnd"/>
      <w:r w:rsidR="00EB31CB" w:rsidRPr="00CB2CB5">
        <w:t>"</w:t>
      </w:r>
      <w:r w:rsidRPr="00CB2CB5">
        <w:t xml:space="preserve">) wholesale load EPE serves interconnected to its Texas service territory. </w:t>
      </w:r>
      <w:r w:rsidR="006069E7" w:rsidRPr="00CB2CB5">
        <w:t xml:space="preserve"> </w:t>
      </w:r>
      <w:r w:rsidRPr="00CB2CB5">
        <w:t xml:space="preserve">Native system load plus line losses incurred from off-system wheeling of EPE's </w:t>
      </w:r>
      <w:r w:rsidRPr="00CB2CB5">
        <w:lastRenderedPageBreak/>
        <w:t>power (losses-to-others) make up EPE</w:t>
      </w:r>
      <w:r w:rsidR="00B81EE4" w:rsidRPr="00CB2CB5">
        <w:t>'</w:t>
      </w:r>
      <w:r w:rsidRPr="00CB2CB5">
        <w:t>s total system.  The following information is provided as required by the17.7.3.9 (D)</w:t>
      </w:r>
      <w:r w:rsidR="00822E0F">
        <w:t xml:space="preserve"> NMAC</w:t>
      </w:r>
      <w:r w:rsidRPr="00CB2CB5">
        <w:t>.</w:t>
      </w:r>
    </w:p>
    <w:p w14:paraId="326BEC99" w14:textId="77777777" w:rsidR="00886EB1" w:rsidRPr="00CB2CB5" w:rsidRDefault="00886EB1" w:rsidP="008759DE">
      <w:pPr>
        <w:spacing w:line="276" w:lineRule="auto"/>
        <w:ind w:left="540"/>
        <w:rPr>
          <w:rFonts w:eastAsia="Times New Roman"/>
        </w:rPr>
      </w:pPr>
    </w:p>
    <w:p w14:paraId="716068D2" w14:textId="77777777" w:rsidR="00886EB1" w:rsidRPr="00CB2CB5" w:rsidRDefault="00886EB1" w:rsidP="008759DE">
      <w:pPr>
        <w:pStyle w:val="Heading2"/>
        <w:numPr>
          <w:ilvl w:val="0"/>
          <w:numId w:val="27"/>
        </w:numPr>
        <w:spacing w:line="276" w:lineRule="auto"/>
        <w:ind w:left="1080" w:hanging="540"/>
        <w:rPr>
          <w:rFonts w:eastAsia="Times New Roman"/>
        </w:rPr>
      </w:pPr>
      <w:bookmarkStart w:id="36" w:name="_Toc534190311"/>
      <w:r w:rsidRPr="00CB2CB5">
        <w:rPr>
          <w:rFonts w:eastAsia="Times New Roman"/>
        </w:rPr>
        <w:t>Load Forecast Methodology and Inputs</w:t>
      </w:r>
      <w:bookmarkEnd w:id="36"/>
      <w:r w:rsidRPr="00CB2CB5">
        <w:rPr>
          <w:rFonts w:eastAsia="Times New Roman"/>
        </w:rPr>
        <w:t xml:space="preserve"> </w:t>
      </w:r>
    </w:p>
    <w:p w14:paraId="1AA225D2" w14:textId="77777777" w:rsidR="00F20853" w:rsidRPr="00CB2CB5" w:rsidRDefault="00F20853" w:rsidP="008759DE">
      <w:pPr>
        <w:spacing w:line="276" w:lineRule="auto"/>
        <w:ind w:left="540"/>
      </w:pPr>
    </w:p>
    <w:p w14:paraId="5991A18F" w14:textId="03BF4EB6" w:rsidR="00886EB1" w:rsidRPr="00CB2CB5" w:rsidRDefault="00886EB1" w:rsidP="008759DE">
      <w:pPr>
        <w:spacing w:line="276" w:lineRule="auto"/>
        <w:ind w:left="540"/>
      </w:pPr>
      <w:r w:rsidRPr="00CB2CB5">
        <w:t xml:space="preserve">EPE's </w:t>
      </w:r>
      <w:r w:rsidR="00C665BE">
        <w:t>2021</w:t>
      </w:r>
      <w:r w:rsidRPr="00CB2CB5">
        <w:t xml:space="preserve"> Load Forecast is developed from </w:t>
      </w:r>
      <w:proofErr w:type="gramStart"/>
      <w:r w:rsidRPr="00CB2CB5">
        <w:t>a number of</w:t>
      </w:r>
      <w:proofErr w:type="gramEnd"/>
      <w:r w:rsidRPr="00CB2CB5">
        <w:t xml:space="preserve"> components. </w:t>
      </w:r>
      <w:r w:rsidR="006069E7" w:rsidRPr="00CB2CB5">
        <w:t xml:space="preserve"> </w:t>
      </w:r>
      <w:r w:rsidRPr="00CB2CB5">
        <w:t xml:space="preserve">The forecast takes into consideration factors such as historical energy sales, average weather, demographic trends, economic activity, existing rate design, distributed solar generation, energy efficiency, </w:t>
      </w:r>
      <w:r w:rsidR="00973E97">
        <w:t xml:space="preserve">load management, </w:t>
      </w:r>
      <w:r w:rsidR="00C665BE">
        <w:t xml:space="preserve">light-duty electric vehicle adoption, </w:t>
      </w:r>
      <w:r w:rsidRPr="00CB2CB5">
        <w:t>saturation of refrigerated air conditioning, potential changes in customers</w:t>
      </w:r>
      <w:r w:rsidR="00676F49">
        <w:t>, and changes in consumption patterns as a result of COVID-19</w:t>
      </w:r>
      <w:r w:rsidRPr="00CB2CB5">
        <w:t>.</w:t>
      </w:r>
    </w:p>
    <w:p w14:paraId="42EFD499" w14:textId="77777777" w:rsidR="00F20853" w:rsidRPr="00CB2CB5" w:rsidRDefault="00F20853" w:rsidP="008759DE">
      <w:pPr>
        <w:spacing w:line="276" w:lineRule="auto"/>
        <w:ind w:left="540"/>
      </w:pPr>
    </w:p>
    <w:p w14:paraId="05BBCFC5" w14:textId="519B74FE" w:rsidR="00886EB1" w:rsidRPr="00CB2CB5" w:rsidRDefault="00886EB1" w:rsidP="008759DE">
      <w:pPr>
        <w:spacing w:line="276" w:lineRule="auto"/>
        <w:ind w:left="540"/>
      </w:pPr>
      <w:r w:rsidRPr="00CB2CB5">
        <w:t xml:space="preserve">The largest component of the load forecast is the econometric modeling of retail energy sales. Econometrics is the application of mathematics and statistical methods to conduct economic analyses and developing forecast trends. </w:t>
      </w:r>
      <w:r w:rsidR="006069E7" w:rsidRPr="00CB2CB5">
        <w:t xml:space="preserve"> </w:t>
      </w:r>
      <w:r w:rsidRPr="00CB2CB5">
        <w:t xml:space="preserve">EPE uses econometrics to provide an empirical estimate of the relationship between economic, weather, and demographic data, and electricity consumption. </w:t>
      </w:r>
      <w:r w:rsidR="006069E7" w:rsidRPr="00CB2CB5">
        <w:t xml:space="preserve"> </w:t>
      </w:r>
      <w:r w:rsidRPr="00CB2CB5">
        <w:t xml:space="preserve">EPE's econometric forecasting models relate customer electricity usage to service area trends in population, weather, and local economic indicators to estimate future electricity sales. </w:t>
      </w:r>
      <w:r w:rsidR="006069E7" w:rsidRPr="00CB2CB5">
        <w:t xml:space="preserve"> </w:t>
      </w:r>
      <w:r w:rsidRPr="00CB2CB5">
        <w:t xml:space="preserve">For example, population, </w:t>
      </w:r>
      <w:r w:rsidR="00C665BE" w:rsidRPr="00C665BE">
        <w:t>gross metropolitan product (</w:t>
      </w:r>
      <w:proofErr w:type="spellStart"/>
      <w:r w:rsidR="00C665BE" w:rsidRPr="00C665BE">
        <w:t>GMP</w:t>
      </w:r>
      <w:proofErr w:type="spellEnd"/>
      <w:r w:rsidR="00C665BE" w:rsidRPr="00C665BE">
        <w:t>)</w:t>
      </w:r>
      <w:r w:rsidRPr="00CB2CB5">
        <w:t xml:space="preserve">, and weather are typical drivers of electricity sales; more customers and increased </w:t>
      </w:r>
      <w:proofErr w:type="spellStart"/>
      <w:r w:rsidR="00D71B0A" w:rsidRPr="00D71B0A">
        <w:t>GMP</w:t>
      </w:r>
      <w:proofErr w:type="spellEnd"/>
      <w:r w:rsidR="00D71B0A" w:rsidRPr="00D71B0A">
        <w:t>, which represents an increased production of goods and services in the region,</w:t>
      </w:r>
      <w:r w:rsidRPr="00CB2CB5">
        <w:t xml:space="preserve"> will typically result in higher electricity demand. </w:t>
      </w:r>
      <w:r w:rsidR="006069E7" w:rsidRPr="00CB2CB5">
        <w:t xml:space="preserve"> </w:t>
      </w:r>
      <w:r w:rsidRPr="00CB2CB5">
        <w:t>The primary data sources for EPE</w:t>
      </w:r>
      <w:r w:rsidR="00B81EE4" w:rsidRPr="00CB2CB5">
        <w:t>'</w:t>
      </w:r>
      <w:r w:rsidRPr="00CB2CB5">
        <w:t xml:space="preserve">s econometric models are </w:t>
      </w:r>
      <w:proofErr w:type="spellStart"/>
      <w:r w:rsidRPr="00CB2CB5">
        <w:t>IHS</w:t>
      </w:r>
      <w:proofErr w:type="spellEnd"/>
      <w:r w:rsidRPr="00CB2CB5">
        <w:t xml:space="preserve"> </w:t>
      </w:r>
      <w:r w:rsidR="00460053">
        <w:t>Markit</w:t>
      </w:r>
      <w:r w:rsidRPr="00CB2CB5">
        <w:t>, AccuWeather, and EPE</w:t>
      </w:r>
      <w:r w:rsidR="00B81EE4" w:rsidRPr="00CB2CB5">
        <w:t>'</w:t>
      </w:r>
      <w:r w:rsidRPr="00CB2CB5">
        <w:t>s customers</w:t>
      </w:r>
      <w:r w:rsidR="00B81EE4" w:rsidRPr="00CB2CB5">
        <w:t>'</w:t>
      </w:r>
      <w:r w:rsidRPr="00CB2CB5">
        <w:t xml:space="preserve"> historical usage/load data.  </w:t>
      </w:r>
      <w:proofErr w:type="spellStart"/>
      <w:r w:rsidRPr="00CB2CB5">
        <w:t>IHS</w:t>
      </w:r>
      <w:proofErr w:type="spellEnd"/>
      <w:r w:rsidRPr="00CB2CB5">
        <w:t xml:space="preserve"> </w:t>
      </w:r>
      <w:r w:rsidR="00676F49">
        <w:t>Markit</w:t>
      </w:r>
      <w:r w:rsidR="00676F49" w:rsidRPr="00CB2CB5">
        <w:t xml:space="preserve"> </w:t>
      </w:r>
      <w:r w:rsidRPr="00CB2CB5">
        <w:t>provides the underlying assumptions of the economic and demographic data that are used in developing EPE's forecasted energy and peak demand. AccuWeather provide</w:t>
      </w:r>
      <w:r w:rsidR="00D71B0A">
        <w:t>s</w:t>
      </w:r>
      <w:r w:rsidRPr="00CB2CB5">
        <w:t xml:space="preserve"> EPE with regional weather </w:t>
      </w:r>
      <w:r w:rsidR="00D71B0A" w:rsidRPr="00D71B0A">
        <w:t>Cooling Degree Days (</w:t>
      </w:r>
      <w:proofErr w:type="spellStart"/>
      <w:r w:rsidR="00D71B0A" w:rsidRPr="00D71B0A">
        <w:t>CDD</w:t>
      </w:r>
      <w:proofErr w:type="spellEnd"/>
      <w:r w:rsidR="00D71B0A" w:rsidRPr="00D71B0A">
        <w:t xml:space="preserve">) and Heating Degree Days (HDD) </w:t>
      </w:r>
      <w:r w:rsidRPr="00CB2CB5">
        <w:t xml:space="preserve">used in weather normalizing historical sales and producing </w:t>
      </w:r>
      <w:r w:rsidR="00EB31CB" w:rsidRPr="00CB2CB5">
        <w:t>"</w:t>
      </w:r>
      <w:r w:rsidRPr="00CB2CB5">
        <w:t>normal</w:t>
      </w:r>
      <w:r w:rsidR="00EB31CB" w:rsidRPr="00CB2CB5">
        <w:t>"</w:t>
      </w:r>
      <w:r w:rsidRPr="00CB2CB5">
        <w:t xml:space="preserve"> weather values for the forecast period. </w:t>
      </w:r>
      <w:r w:rsidR="00D71B0A" w:rsidRPr="00D71B0A">
        <w:t>AccuWeather’s data comes from the National Oceanic and Atmospheric Administration (NOAA) sites in El Paso and Las Cruces and have been ad</w:t>
      </w:r>
      <w:r w:rsidR="00D71B0A">
        <w:t>j</w:t>
      </w:r>
      <w:r w:rsidR="00D71B0A" w:rsidRPr="00D71B0A">
        <w:t xml:space="preserve">usted for missing values and other anomalies via AccuWeather. </w:t>
      </w:r>
      <w:r w:rsidRPr="00CB2CB5">
        <w:t>EPE also uses the historical usage/load data for each of its major customer classes.</w:t>
      </w:r>
    </w:p>
    <w:p w14:paraId="111E7869" w14:textId="77777777" w:rsidR="00F20853" w:rsidRPr="00CB2CB5" w:rsidRDefault="00F20853" w:rsidP="008759DE">
      <w:pPr>
        <w:spacing w:line="276" w:lineRule="auto"/>
        <w:ind w:left="540"/>
      </w:pPr>
    </w:p>
    <w:p w14:paraId="58FDFE54" w14:textId="75FFD18A" w:rsidR="00886EB1" w:rsidRPr="00CB2CB5" w:rsidRDefault="00886EB1" w:rsidP="008759DE">
      <w:pPr>
        <w:spacing w:line="276" w:lineRule="auto"/>
        <w:ind w:left="540"/>
      </w:pPr>
      <w:r w:rsidRPr="00CB2CB5">
        <w:t xml:space="preserve">The </w:t>
      </w:r>
      <w:r w:rsidR="00C665BE">
        <w:t>2021</w:t>
      </w:r>
      <w:r w:rsidRPr="00CB2CB5">
        <w:t xml:space="preserve"> </w:t>
      </w:r>
      <w:r w:rsidR="00E61534" w:rsidRPr="00CB2CB5">
        <w:t xml:space="preserve">Load </w:t>
      </w:r>
      <w:r w:rsidRPr="00CB2CB5">
        <w:t>Forecast employs monthly and annual methodologies to develop its models for EPE</w:t>
      </w:r>
      <w:r w:rsidR="00B81EE4" w:rsidRPr="00CB2CB5">
        <w:t>'</w:t>
      </w:r>
      <w:r w:rsidRPr="00CB2CB5">
        <w:t xml:space="preserve">s major customer classes. </w:t>
      </w:r>
      <w:r w:rsidR="006069E7" w:rsidRPr="00CB2CB5">
        <w:t xml:space="preserve"> </w:t>
      </w:r>
      <w:r w:rsidRPr="00CB2CB5">
        <w:t xml:space="preserve">The monthly energy forecasts are based on econometric modeling of the residential, small commercial &amp; industrial, and government load sectors in both Texas and New Mexico. </w:t>
      </w:r>
      <w:r w:rsidR="006069E7" w:rsidRPr="00CB2CB5">
        <w:t xml:space="preserve"> </w:t>
      </w:r>
      <w:r w:rsidRPr="00CB2CB5">
        <w:t>The annual energy forecasts are based on econometric modeling of the large commercial &amp; industrial sectors for both Texas and New</w:t>
      </w:r>
      <w:r w:rsidR="00F20853" w:rsidRPr="00CB2CB5">
        <w:t> </w:t>
      </w:r>
      <w:r w:rsidRPr="00CB2CB5">
        <w:t xml:space="preserve">Mexico for a total of eight separate econometric energy forecasts. </w:t>
      </w:r>
      <w:r w:rsidR="006069E7" w:rsidRPr="00CB2CB5">
        <w:t xml:space="preserve"> </w:t>
      </w:r>
      <w:r w:rsidRPr="00CB2CB5">
        <w:t xml:space="preserve">Each of the eight models is estimated using Ordinary Least Squares as a function of weather, economic, and demographic variables. </w:t>
      </w:r>
    </w:p>
    <w:p w14:paraId="2312C079" w14:textId="77777777" w:rsidR="00F20853" w:rsidRPr="00CB2CB5" w:rsidRDefault="00F20853" w:rsidP="008759DE">
      <w:pPr>
        <w:spacing w:line="276" w:lineRule="auto"/>
        <w:ind w:left="540"/>
      </w:pPr>
    </w:p>
    <w:p w14:paraId="216EA146" w14:textId="5FE5361E" w:rsidR="00886EB1" w:rsidRPr="00CB2CB5" w:rsidRDefault="00886EB1" w:rsidP="008759DE">
      <w:pPr>
        <w:spacing w:line="276" w:lineRule="auto"/>
        <w:ind w:left="540"/>
      </w:pPr>
      <w:r w:rsidRPr="00CB2CB5">
        <w:t xml:space="preserve">Residential class sales are estimated </w:t>
      </w:r>
      <w:r w:rsidR="00D71B0A">
        <w:t xml:space="preserve">using </w:t>
      </w:r>
      <w:r w:rsidRPr="00CB2CB5">
        <w:t>a use per customer (</w:t>
      </w:r>
      <w:r w:rsidR="00EB31CB" w:rsidRPr="00CB2CB5">
        <w:t>"</w:t>
      </w:r>
      <w:proofErr w:type="spellStart"/>
      <w:r w:rsidRPr="00CB2CB5">
        <w:t>UPC</w:t>
      </w:r>
      <w:proofErr w:type="spellEnd"/>
      <w:r w:rsidR="00EB31CB" w:rsidRPr="00CB2CB5">
        <w:t>"</w:t>
      </w:r>
      <w:r w:rsidRPr="00CB2CB5">
        <w:t xml:space="preserve">) methodology. </w:t>
      </w:r>
      <w:r w:rsidR="00634BB8" w:rsidRPr="00CB2CB5">
        <w:t xml:space="preserve"> </w:t>
      </w:r>
      <w:r w:rsidRPr="00CB2CB5">
        <w:t xml:space="preserve">The estimated </w:t>
      </w:r>
      <w:proofErr w:type="spellStart"/>
      <w:r w:rsidRPr="00CB2CB5">
        <w:t>UPC</w:t>
      </w:r>
      <w:proofErr w:type="spellEnd"/>
      <w:r w:rsidRPr="00CB2CB5">
        <w:t xml:space="preserve"> is then multiplied by the customer forecast to arrive at total kWh forecast for this customer class. </w:t>
      </w:r>
      <w:r w:rsidR="00634BB8" w:rsidRPr="00CB2CB5">
        <w:t xml:space="preserve"> </w:t>
      </w:r>
      <w:r w:rsidRPr="00CB2CB5">
        <w:t xml:space="preserve">The energy forecasts for small commercial &amp; industrial, large commercial &amp; industrial, </w:t>
      </w:r>
      <w:r w:rsidR="00D71B0A" w:rsidRPr="00D71B0A">
        <w:t xml:space="preserve">street lighting, </w:t>
      </w:r>
      <w:r w:rsidRPr="00CB2CB5">
        <w:t xml:space="preserve">and government classes are estimated using total kWh. </w:t>
      </w:r>
      <w:r w:rsidR="00634BB8" w:rsidRPr="00CB2CB5">
        <w:t xml:space="preserve"> </w:t>
      </w:r>
      <w:r w:rsidRPr="00CB2CB5">
        <w:t>The final models are selected based on various key measures such as R</w:t>
      </w:r>
      <w:r w:rsidRPr="00CB2CB5">
        <w:rPr>
          <w:vertAlign w:val="superscript"/>
        </w:rPr>
        <w:t>2</w:t>
      </w:r>
      <w:r w:rsidRPr="00CB2CB5">
        <w:t xml:space="preserve">, t-statistics, the Durbin-Watson test, </w:t>
      </w:r>
      <w:r w:rsidR="00C50ACE" w:rsidRPr="00CB2CB5">
        <w:t xml:space="preserve">and </w:t>
      </w:r>
      <w:r w:rsidRPr="00CB2CB5">
        <w:t>the F-statistic</w:t>
      </w:r>
      <w:r w:rsidR="00C50ACE" w:rsidRPr="00CB2CB5">
        <w:t>.</w:t>
      </w:r>
      <w:r w:rsidRPr="00CB2CB5">
        <w:t xml:space="preserve"> </w:t>
      </w:r>
    </w:p>
    <w:p w14:paraId="3AD4BB32" w14:textId="77777777" w:rsidR="00D71B0A" w:rsidRDefault="00D71B0A" w:rsidP="008759DE">
      <w:pPr>
        <w:spacing w:line="276" w:lineRule="auto"/>
        <w:ind w:left="540"/>
      </w:pPr>
    </w:p>
    <w:p w14:paraId="2C2DC090" w14:textId="552FB63B" w:rsidR="00F20853" w:rsidRPr="00CB2CB5" w:rsidRDefault="00D71B0A" w:rsidP="008759DE">
      <w:pPr>
        <w:spacing w:line="276" w:lineRule="auto"/>
        <w:ind w:left="540"/>
      </w:pPr>
      <w:r w:rsidRPr="00D71B0A">
        <w:t xml:space="preserve">The conversion from traditional </w:t>
      </w:r>
      <w:r w:rsidR="00282AD7" w:rsidRPr="00D71B0A">
        <w:t>streetlights</w:t>
      </w:r>
      <w:r w:rsidRPr="00D71B0A">
        <w:t xml:space="preserve"> to more efficient LED lights that the cities of El </w:t>
      </w:r>
      <w:r w:rsidR="00676F49">
        <w:t>P</w:t>
      </w:r>
      <w:r w:rsidRPr="00D71B0A">
        <w:t>aso and Las Cruces undertook caused a significant change in the historical dataset for the Street Lighting classes which make econometric modeling of these classes difficult. As a result, the energy forecasts for the Texas and New Mexico Street Lighting class are calculated using forecasted growth for total households in each city.</w:t>
      </w:r>
    </w:p>
    <w:p w14:paraId="383DFE11" w14:textId="77777777" w:rsidR="00D71B0A" w:rsidRDefault="00D71B0A" w:rsidP="008759DE">
      <w:pPr>
        <w:spacing w:line="276" w:lineRule="auto"/>
        <w:ind w:left="540"/>
      </w:pPr>
    </w:p>
    <w:p w14:paraId="72412EC0" w14:textId="2CCEBA13" w:rsidR="00886EB1" w:rsidRPr="00CB2CB5" w:rsidRDefault="00D71B0A" w:rsidP="008759DE">
      <w:pPr>
        <w:spacing w:line="276" w:lineRule="auto"/>
        <w:ind w:left="540"/>
      </w:pPr>
      <w:r>
        <w:t xml:space="preserve">Customer forecast </w:t>
      </w:r>
      <w:r w:rsidR="00886EB1" w:rsidRPr="00CB2CB5">
        <w:t xml:space="preserve">equations are also estimated for each of the customer classes using econometric models, except for the large commercial &amp; industrial </w:t>
      </w:r>
      <w:r w:rsidRPr="00D71B0A">
        <w:t xml:space="preserve">and street lighting </w:t>
      </w:r>
      <w:r w:rsidR="00886EB1" w:rsidRPr="00CB2CB5">
        <w:t>class</w:t>
      </w:r>
      <w:r>
        <w:t>es</w:t>
      </w:r>
      <w:r w:rsidR="00886EB1" w:rsidRPr="00CB2CB5">
        <w:t xml:space="preserve">. </w:t>
      </w:r>
      <w:r w:rsidR="00634BB8" w:rsidRPr="00CB2CB5">
        <w:t xml:space="preserve"> </w:t>
      </w:r>
      <w:r w:rsidR="00886EB1" w:rsidRPr="00CB2CB5">
        <w:t xml:space="preserve">The number of large commercial &amp; industrial </w:t>
      </w:r>
      <w:r w:rsidRPr="00D71B0A">
        <w:t xml:space="preserve">and street lighting </w:t>
      </w:r>
      <w:r w:rsidR="00886EB1" w:rsidRPr="00CB2CB5">
        <w:t xml:space="preserve">customers is set at current levels, unless it is known that specific customers are planning to enter or leave the service territory at a specific future date. </w:t>
      </w:r>
      <w:r w:rsidR="00634BB8" w:rsidRPr="00CB2CB5">
        <w:t xml:space="preserve"> </w:t>
      </w:r>
      <w:r w:rsidR="00886EB1" w:rsidRPr="00CB2CB5">
        <w:t>For these reasons, EPE maintains a customer count for this class constant with 20</w:t>
      </w:r>
      <w:r>
        <w:t>20</w:t>
      </w:r>
      <w:r w:rsidR="00886EB1" w:rsidRPr="00CB2CB5">
        <w:t xml:space="preserve"> year ending levels. </w:t>
      </w:r>
    </w:p>
    <w:p w14:paraId="49AB5ECE" w14:textId="77777777" w:rsidR="00F20853" w:rsidRPr="00CB2CB5" w:rsidRDefault="00F20853" w:rsidP="008759DE">
      <w:pPr>
        <w:spacing w:line="276" w:lineRule="auto"/>
        <w:ind w:left="540"/>
      </w:pPr>
    </w:p>
    <w:p w14:paraId="4E60E3C5" w14:textId="096EBF57" w:rsidR="00886EB1" w:rsidRPr="00CB2CB5" w:rsidRDefault="00886EB1" w:rsidP="008759DE">
      <w:pPr>
        <w:spacing w:line="276" w:lineRule="auto"/>
        <w:ind w:left="540"/>
      </w:pPr>
      <w:r w:rsidRPr="00CB2CB5">
        <w:t xml:space="preserve">In instances where adequate data is not available to support econometric forecasts, EPE relies on sales estimates based upon recent experience, and information from large industrial customers to make adjustments that are based on known or expected changes in load. </w:t>
      </w:r>
      <w:r w:rsidR="00634BB8" w:rsidRPr="00CB2CB5">
        <w:t xml:space="preserve"> </w:t>
      </w:r>
      <w:r w:rsidRPr="00CB2CB5">
        <w:t xml:space="preserve">Examples of these adjustments in the </w:t>
      </w:r>
      <w:r w:rsidR="00D71B0A">
        <w:t>2021</w:t>
      </w:r>
      <w:r w:rsidRPr="00CB2CB5">
        <w:t xml:space="preserve"> Load Forecast include changes in load </w:t>
      </w:r>
      <w:r w:rsidR="00D71B0A">
        <w:t>for</w:t>
      </w:r>
      <w:r w:rsidRPr="00CB2CB5">
        <w:t xml:space="preserve"> distributed solar generation, energy efficiency</w:t>
      </w:r>
      <w:r w:rsidR="00D71B0A" w:rsidRPr="00D71B0A">
        <w:t>, and light-duty electric vehicles</w:t>
      </w:r>
      <w:r w:rsidRPr="00CB2CB5">
        <w:t>.</w:t>
      </w:r>
    </w:p>
    <w:p w14:paraId="760EDBB9" w14:textId="77777777" w:rsidR="00F20853" w:rsidRPr="00CB2CB5" w:rsidRDefault="00F20853" w:rsidP="008759DE">
      <w:pPr>
        <w:spacing w:line="276" w:lineRule="auto"/>
        <w:ind w:left="540"/>
      </w:pPr>
    </w:p>
    <w:p w14:paraId="33103C46" w14:textId="563C32C3" w:rsidR="00886EB1" w:rsidRPr="00CB2CB5" w:rsidRDefault="00886EB1" w:rsidP="008759DE">
      <w:pPr>
        <w:spacing w:line="276" w:lineRule="auto"/>
        <w:ind w:left="540"/>
      </w:pPr>
      <w:r w:rsidRPr="00CB2CB5">
        <w:t xml:space="preserve">The econometric sales forecasts are adjusted to reflect </w:t>
      </w:r>
      <w:r w:rsidR="00D71B0A" w:rsidRPr="00D71B0A">
        <w:t xml:space="preserve">the effects of </w:t>
      </w:r>
      <w:r w:rsidRPr="00CB2CB5">
        <w:t>energy efficiency</w:t>
      </w:r>
      <w:r w:rsidR="00D71B0A">
        <w:t>,</w:t>
      </w:r>
      <w:r w:rsidRPr="00CB2CB5">
        <w:t xml:space="preserve"> distributed solar generation</w:t>
      </w:r>
      <w:r w:rsidR="00D71B0A" w:rsidRPr="00D71B0A">
        <w:t>, and light-duty electric vehicles that are otherwise</w:t>
      </w:r>
      <w:r w:rsidRPr="00CB2CB5">
        <w:t xml:space="preserve"> not represented in the historical database. </w:t>
      </w:r>
      <w:r w:rsidR="00634BB8" w:rsidRPr="00CB2CB5">
        <w:t xml:space="preserve"> </w:t>
      </w:r>
      <w:r w:rsidRPr="00CB2CB5">
        <w:t xml:space="preserve">Energy efficiency effects include the results of EPE-sponsored energy efficiency </w:t>
      </w:r>
      <w:r w:rsidR="00973E97">
        <w:t xml:space="preserve">and load management </w:t>
      </w:r>
      <w:r w:rsidRPr="00CB2CB5">
        <w:t xml:space="preserve">programs that are required in its Texas and New Mexico jurisdictions. </w:t>
      </w:r>
      <w:r w:rsidR="00634BB8" w:rsidRPr="00CB2CB5">
        <w:t xml:space="preserve"> </w:t>
      </w:r>
      <w:r w:rsidRPr="00CB2CB5">
        <w:t xml:space="preserve">The distributed generation effects </w:t>
      </w:r>
      <w:proofErr w:type="gramStart"/>
      <w:r w:rsidRPr="00CB2CB5">
        <w:t>take into account</w:t>
      </w:r>
      <w:proofErr w:type="gramEnd"/>
      <w:r w:rsidRPr="00CB2CB5">
        <w:t xml:space="preserve"> customer owned solar generation in the residential, small commercial &amp; industrial, and government customer classes. </w:t>
      </w:r>
      <w:r w:rsidR="00634BB8" w:rsidRPr="00CB2CB5">
        <w:t xml:space="preserve"> </w:t>
      </w:r>
      <w:r w:rsidR="00D71B0A" w:rsidRPr="00D71B0A">
        <w:t xml:space="preserve">The light-duty electric vehicle adjustments include forecasted incremental load </w:t>
      </w:r>
      <w:proofErr w:type="gramStart"/>
      <w:r w:rsidR="00D71B0A" w:rsidRPr="00D71B0A">
        <w:t>as a result of</w:t>
      </w:r>
      <w:proofErr w:type="gramEnd"/>
      <w:r w:rsidR="00D71B0A" w:rsidRPr="00D71B0A">
        <w:t xml:space="preserve"> electric vehicle adoption in EPE’s service territory. </w:t>
      </w:r>
      <w:r w:rsidRPr="00CB2CB5">
        <w:t xml:space="preserve">The estimates for energy </w:t>
      </w:r>
      <w:r w:rsidR="00D71B0A" w:rsidRPr="00D71B0A">
        <w:t xml:space="preserve">impacts </w:t>
      </w:r>
      <w:proofErr w:type="gramStart"/>
      <w:r w:rsidR="00D71B0A" w:rsidRPr="00D71B0A">
        <w:t>as a result of</w:t>
      </w:r>
      <w:proofErr w:type="gramEnd"/>
      <w:r w:rsidR="00D71B0A" w:rsidRPr="00D71B0A">
        <w:t xml:space="preserve"> </w:t>
      </w:r>
      <w:r w:rsidRPr="00CB2CB5">
        <w:t>efficiency energy savings</w:t>
      </w:r>
      <w:r w:rsidR="00D71B0A">
        <w:t>,</w:t>
      </w:r>
      <w:r w:rsidRPr="00CB2CB5">
        <w:t xml:space="preserve"> distributed generation</w:t>
      </w:r>
      <w:r w:rsidR="00D71B0A" w:rsidRPr="00D71B0A">
        <w:t xml:space="preserve">, and light-duty electric vehicle </w:t>
      </w:r>
      <w:r w:rsidRPr="00CB2CB5">
        <w:t xml:space="preserve">are accounted for in the annual retail sales energy forecasts in developing the expected native system energy value. </w:t>
      </w:r>
      <w:r w:rsidR="00634BB8" w:rsidRPr="00CB2CB5">
        <w:t xml:space="preserve"> </w:t>
      </w:r>
      <w:r w:rsidRPr="00CB2CB5">
        <w:t xml:space="preserve">In addition to these adjustments, the contractual </w:t>
      </w:r>
      <w:proofErr w:type="spellStart"/>
      <w:r w:rsidRPr="00CB2CB5">
        <w:t>RGEC</w:t>
      </w:r>
      <w:proofErr w:type="spellEnd"/>
      <w:r w:rsidRPr="00CB2CB5">
        <w:t xml:space="preserve"> load is also incorporated into the forecast; </w:t>
      </w:r>
      <w:proofErr w:type="spellStart"/>
      <w:r w:rsidRPr="00CB2CB5">
        <w:t>RGEC</w:t>
      </w:r>
      <w:proofErr w:type="spellEnd"/>
      <w:r w:rsidRPr="00CB2CB5">
        <w:t xml:space="preserve"> is a wholesale/native load customer. </w:t>
      </w:r>
    </w:p>
    <w:p w14:paraId="10E50AD8" w14:textId="77777777" w:rsidR="00F20853" w:rsidRPr="00CB2CB5" w:rsidRDefault="00F20853" w:rsidP="008759DE">
      <w:pPr>
        <w:spacing w:line="276" w:lineRule="auto"/>
        <w:ind w:left="540"/>
      </w:pPr>
    </w:p>
    <w:p w14:paraId="3DDDC9E6" w14:textId="6C552ED6" w:rsidR="00886EB1" w:rsidRPr="00CB2CB5" w:rsidRDefault="00886EB1" w:rsidP="008759DE">
      <w:pPr>
        <w:spacing w:line="276" w:lineRule="auto"/>
        <w:ind w:left="540"/>
      </w:pPr>
      <w:r w:rsidRPr="00CB2CB5">
        <w:lastRenderedPageBreak/>
        <w:t>EPE combines annual retail sales</w:t>
      </w:r>
      <w:r w:rsidR="00D71B0A" w:rsidRPr="00D71B0A">
        <w:t xml:space="preserve"> prior to any adjustments, </w:t>
      </w:r>
      <w:r w:rsidRPr="00CB2CB5">
        <w:t xml:space="preserve">sales to </w:t>
      </w:r>
      <w:proofErr w:type="spellStart"/>
      <w:r w:rsidRPr="00CB2CB5">
        <w:t>RGEC</w:t>
      </w:r>
      <w:proofErr w:type="spellEnd"/>
      <w:r w:rsidRPr="00CB2CB5">
        <w:t xml:space="preserve">, </w:t>
      </w:r>
      <w:r w:rsidR="00D71B0A">
        <w:t xml:space="preserve">and </w:t>
      </w:r>
      <w:r w:rsidRPr="00CB2CB5">
        <w:t xml:space="preserve">company use, </w:t>
      </w:r>
      <w:r w:rsidR="00D71B0A">
        <w:t>to</w:t>
      </w:r>
      <w:r w:rsidRPr="00CB2CB5">
        <w:t xml:space="preserve"> calculate native system losses using a system line loss rate.</w:t>
      </w:r>
      <w:r w:rsidR="00634BB8" w:rsidRPr="00CB2CB5">
        <w:t xml:space="preserve"> </w:t>
      </w:r>
      <w:r w:rsidRPr="00CB2CB5">
        <w:t xml:space="preserve"> These system losses must be included with sales at the meter to accurately calculate the total energy requirement needed to deliver electricity to EPE's customers. </w:t>
      </w:r>
      <w:r w:rsidR="00634BB8" w:rsidRPr="00CB2CB5">
        <w:t xml:space="preserve"> </w:t>
      </w:r>
      <w:r w:rsidRPr="00CB2CB5">
        <w:t xml:space="preserve">Additionally, line losses are incurred from off-system wheeling of EPE's power (losses-to-others). </w:t>
      </w:r>
      <w:r w:rsidR="00634BB8" w:rsidRPr="00CB2CB5">
        <w:t xml:space="preserve"> </w:t>
      </w:r>
      <w:r w:rsidRPr="00CB2CB5">
        <w:t>These losses are estimated based on historical trends of the system and are added to the native system energy to arrive at the total system energy value.</w:t>
      </w:r>
    </w:p>
    <w:p w14:paraId="009756B3" w14:textId="77777777" w:rsidR="00F20853" w:rsidRPr="00CB2CB5" w:rsidRDefault="00F20853" w:rsidP="008759DE">
      <w:pPr>
        <w:spacing w:line="276" w:lineRule="auto"/>
        <w:ind w:left="540"/>
      </w:pPr>
    </w:p>
    <w:p w14:paraId="48E5B1D9" w14:textId="77777777" w:rsidR="00886EB1" w:rsidRPr="00CB2CB5" w:rsidRDefault="00886EB1" w:rsidP="008759DE">
      <w:pPr>
        <w:spacing w:line="276" w:lineRule="auto"/>
        <w:ind w:left="540"/>
      </w:pPr>
      <w:r w:rsidRPr="00CB2CB5">
        <w:t xml:space="preserve">After the energy forecast is calculated, a constant native system load factor is applied to the native system energy to calculate the expected native system peak demand over time. </w:t>
      </w:r>
    </w:p>
    <w:p w14:paraId="2EE49ABD" w14:textId="77777777" w:rsidR="00F20853" w:rsidRPr="00CB2CB5" w:rsidRDefault="00F20853" w:rsidP="008759DE">
      <w:pPr>
        <w:spacing w:line="276" w:lineRule="auto"/>
        <w:ind w:left="540"/>
      </w:pPr>
    </w:p>
    <w:p w14:paraId="13111FDA" w14:textId="77777777" w:rsidR="00886EB1" w:rsidRPr="00CB2CB5" w:rsidRDefault="00886EB1" w:rsidP="008759DE">
      <w:pPr>
        <w:spacing w:line="276" w:lineRule="auto"/>
        <w:ind w:left="540"/>
      </w:pPr>
      <w:r w:rsidRPr="00CB2CB5">
        <w:t>Mathematically, the load factor equation is:</w:t>
      </w:r>
    </w:p>
    <w:p w14:paraId="12FFA3D9" w14:textId="77777777" w:rsidR="00F20853" w:rsidRPr="00CB2CB5" w:rsidRDefault="00F20853" w:rsidP="008759DE">
      <w:pPr>
        <w:spacing w:line="276" w:lineRule="auto"/>
        <w:ind w:left="540"/>
      </w:pPr>
    </w:p>
    <w:p w14:paraId="743D7167" w14:textId="77777777" w:rsidR="00886EB1" w:rsidRPr="00CB2CB5" w:rsidRDefault="00886EB1" w:rsidP="008759DE">
      <w:pPr>
        <w:spacing w:line="276" w:lineRule="auto"/>
        <w:ind w:left="1440" w:right="720"/>
        <w:jc w:val="center"/>
      </w:pPr>
      <w:r w:rsidRPr="00CB2CB5">
        <w:t>LF = Energy / (Demand x Hours)</w:t>
      </w:r>
    </w:p>
    <w:p w14:paraId="743477BF" w14:textId="77777777" w:rsidR="00F20853" w:rsidRPr="00CB2CB5" w:rsidRDefault="00F20853" w:rsidP="008759DE">
      <w:pPr>
        <w:spacing w:line="276" w:lineRule="auto"/>
        <w:ind w:left="540"/>
      </w:pPr>
    </w:p>
    <w:p w14:paraId="1BE2D9FE" w14:textId="77777777" w:rsidR="00886EB1" w:rsidRPr="00CB2CB5" w:rsidRDefault="00886EB1" w:rsidP="008759DE">
      <w:pPr>
        <w:spacing w:line="276" w:lineRule="auto"/>
        <w:ind w:left="540"/>
      </w:pPr>
      <w:r w:rsidRPr="00CB2CB5">
        <w:t>Solving for Demand, the equation becomes</w:t>
      </w:r>
    </w:p>
    <w:p w14:paraId="68D1A5A2" w14:textId="77777777" w:rsidR="00F20853" w:rsidRPr="00CB2CB5" w:rsidRDefault="00F20853" w:rsidP="008759DE">
      <w:pPr>
        <w:spacing w:line="276" w:lineRule="auto"/>
        <w:ind w:left="540"/>
      </w:pPr>
    </w:p>
    <w:p w14:paraId="4DCC392D" w14:textId="70E7EABA" w:rsidR="00886EB1" w:rsidRDefault="00886EB1" w:rsidP="008759DE">
      <w:pPr>
        <w:spacing w:line="276" w:lineRule="auto"/>
        <w:ind w:left="1440" w:right="720"/>
        <w:jc w:val="center"/>
      </w:pPr>
      <w:r w:rsidRPr="00CB2CB5">
        <w:t>Demand = Energy / (LF x Hours)</w:t>
      </w:r>
    </w:p>
    <w:p w14:paraId="0C24CC46" w14:textId="77777777" w:rsidR="00460053" w:rsidRPr="00CB2CB5" w:rsidRDefault="00460053" w:rsidP="008759DE">
      <w:pPr>
        <w:spacing w:line="276" w:lineRule="auto"/>
        <w:ind w:left="1440" w:right="720"/>
        <w:jc w:val="center"/>
      </w:pPr>
    </w:p>
    <w:p w14:paraId="3F211A3A" w14:textId="1AF2BA4F" w:rsidR="00D13C00" w:rsidRPr="00CB2CB5" w:rsidRDefault="00886EB1" w:rsidP="000A486C">
      <w:pPr>
        <w:spacing w:line="276" w:lineRule="auto"/>
        <w:ind w:left="540"/>
      </w:pPr>
      <w:r w:rsidRPr="00CB2CB5">
        <w:t xml:space="preserve">The constant load factor methodology utilizes the native system load factor from the previous year and applies it to the native system energy forecast to create the annual native system peak demand forecast. </w:t>
      </w:r>
      <w:r w:rsidR="00634BB8" w:rsidRPr="00CB2CB5">
        <w:t xml:space="preserve"> </w:t>
      </w:r>
      <w:r w:rsidRPr="00CB2CB5">
        <w:t>As is done with the expected native system energy, the expected native system peak demand is also adjusted for energy efficiency</w:t>
      </w:r>
      <w:r w:rsidR="00D71B0A">
        <w:t>,</w:t>
      </w:r>
      <w:r w:rsidRPr="00CB2CB5">
        <w:t xml:space="preserve"> distributed solar generation</w:t>
      </w:r>
      <w:r w:rsidR="00D71B0A" w:rsidRPr="00D71B0A">
        <w:t>, and light-duty electric vehicle</w:t>
      </w:r>
      <w:r w:rsidRPr="00CB2CB5">
        <w:t xml:space="preserve"> measures that impact system demand. </w:t>
      </w:r>
      <w:r w:rsidR="00634BB8" w:rsidRPr="00CB2CB5">
        <w:t xml:space="preserve"> </w:t>
      </w:r>
      <w:r w:rsidRPr="00CB2CB5">
        <w:t>The estimated peak demand for both interruptible customers and wheeling losses-to-others are then accounted for to obtain the total system peak demand.</w:t>
      </w:r>
    </w:p>
    <w:p w14:paraId="73F7F6EA" w14:textId="77777777" w:rsidR="000A486C" w:rsidRPr="00CB2CB5" w:rsidRDefault="00886EB1" w:rsidP="000A486C">
      <w:pPr>
        <w:spacing w:line="276" w:lineRule="auto"/>
        <w:ind w:left="540"/>
      </w:pPr>
      <w:r w:rsidRPr="00CB2CB5">
        <w:t xml:space="preserve"> </w:t>
      </w:r>
    </w:p>
    <w:p w14:paraId="0AC852AB" w14:textId="77777777" w:rsidR="00EC69C4" w:rsidRPr="00CB2CB5" w:rsidRDefault="00EC69C4" w:rsidP="00780D21">
      <w:pPr>
        <w:pStyle w:val="Heading3"/>
        <w:numPr>
          <w:ilvl w:val="0"/>
          <w:numId w:val="134"/>
        </w:numPr>
        <w:ind w:left="1620" w:hanging="540"/>
      </w:pPr>
      <w:bookmarkStart w:id="37" w:name="_Toc534190312"/>
      <w:r w:rsidRPr="00CB2CB5">
        <w:t>Energy and Coincident Peak Demand by Major Customer Class</w:t>
      </w:r>
      <w:bookmarkEnd w:id="37"/>
    </w:p>
    <w:p w14:paraId="42180DB6" w14:textId="77777777" w:rsidR="00EC69C4" w:rsidRPr="00CB2CB5" w:rsidRDefault="00EC69C4" w:rsidP="00EC69C4">
      <w:pPr>
        <w:pStyle w:val="ListParagraph"/>
        <w:spacing w:line="276" w:lineRule="auto"/>
        <w:ind w:left="1080"/>
        <w:jc w:val="both"/>
        <w:rPr>
          <w:rFonts w:ascii="Times New Roman" w:hAnsi="Times New Roman"/>
          <w:sz w:val="24"/>
        </w:rPr>
      </w:pPr>
    </w:p>
    <w:p w14:paraId="2FD2E3AC" w14:textId="531B4B74" w:rsidR="00EC69C4" w:rsidRPr="00CB2CB5" w:rsidRDefault="001D45C6" w:rsidP="00EC69C4">
      <w:pPr>
        <w:pStyle w:val="ListParagraph"/>
        <w:spacing w:line="276" w:lineRule="auto"/>
        <w:ind w:left="1080"/>
        <w:jc w:val="both"/>
        <w:rPr>
          <w:rFonts w:ascii="Times New Roman" w:hAnsi="Times New Roman"/>
          <w:sz w:val="24"/>
        </w:rPr>
      </w:pPr>
      <w:r w:rsidRPr="00CB2CB5">
        <w:rPr>
          <w:rFonts w:ascii="Times New Roman" w:hAnsi="Times New Roman"/>
          <w:sz w:val="24"/>
        </w:rPr>
        <w:t>EPE has provided the load forecast for each year of the planning period. T</w:t>
      </w:r>
      <w:r w:rsidR="00EC69C4" w:rsidRPr="00CB2CB5">
        <w:rPr>
          <w:rFonts w:ascii="Times New Roman" w:hAnsi="Times New Roman"/>
          <w:sz w:val="24"/>
        </w:rPr>
        <w:t xml:space="preserve">he </w:t>
      </w:r>
      <w:r w:rsidRPr="00CB2CB5">
        <w:rPr>
          <w:rFonts w:ascii="Times New Roman" w:hAnsi="Times New Roman"/>
          <w:sz w:val="24"/>
        </w:rPr>
        <w:t xml:space="preserve">projected </w:t>
      </w:r>
      <w:r w:rsidR="00EC69C4" w:rsidRPr="00CB2CB5">
        <w:rPr>
          <w:rFonts w:ascii="Times New Roman" w:hAnsi="Times New Roman"/>
          <w:sz w:val="24"/>
        </w:rPr>
        <w:t xml:space="preserve">annual </w:t>
      </w:r>
      <w:r w:rsidR="00A61975" w:rsidRPr="00CB2CB5">
        <w:rPr>
          <w:rFonts w:ascii="Times New Roman" w:hAnsi="Times New Roman"/>
          <w:sz w:val="24"/>
        </w:rPr>
        <w:t xml:space="preserve">sales of </w:t>
      </w:r>
      <w:r w:rsidR="00EC69C4" w:rsidRPr="00CB2CB5">
        <w:rPr>
          <w:rFonts w:ascii="Times New Roman" w:hAnsi="Times New Roman"/>
          <w:sz w:val="24"/>
        </w:rPr>
        <w:t xml:space="preserve">energy and </w:t>
      </w:r>
      <w:r w:rsidR="00A61975" w:rsidRPr="00CB2CB5">
        <w:rPr>
          <w:rFonts w:ascii="Times New Roman" w:hAnsi="Times New Roman"/>
          <w:sz w:val="24"/>
        </w:rPr>
        <w:t xml:space="preserve">coincident </w:t>
      </w:r>
      <w:r w:rsidR="00EC69C4" w:rsidRPr="00CB2CB5">
        <w:rPr>
          <w:rFonts w:ascii="Times New Roman" w:hAnsi="Times New Roman"/>
          <w:sz w:val="24"/>
        </w:rPr>
        <w:t>peak demand</w:t>
      </w:r>
      <w:r w:rsidR="004425AC" w:rsidRPr="00CB2CB5">
        <w:rPr>
          <w:rFonts w:ascii="Times New Roman" w:hAnsi="Times New Roman"/>
          <w:sz w:val="24"/>
        </w:rPr>
        <w:t xml:space="preserve"> on a system</w:t>
      </w:r>
      <w:r w:rsidR="00A61975" w:rsidRPr="00CB2CB5">
        <w:rPr>
          <w:rFonts w:ascii="Times New Roman" w:hAnsi="Times New Roman"/>
          <w:sz w:val="24"/>
        </w:rPr>
        <w:t>-</w:t>
      </w:r>
      <w:r w:rsidR="004425AC" w:rsidRPr="00CB2CB5">
        <w:rPr>
          <w:rFonts w:ascii="Times New Roman" w:hAnsi="Times New Roman"/>
          <w:sz w:val="24"/>
        </w:rPr>
        <w:t xml:space="preserve">wide basis, </w:t>
      </w:r>
      <w:r w:rsidR="00EC69C4" w:rsidRPr="00CB2CB5">
        <w:rPr>
          <w:rFonts w:ascii="Times New Roman" w:hAnsi="Times New Roman"/>
          <w:sz w:val="24"/>
        </w:rPr>
        <w:t>by customer class</w:t>
      </w:r>
      <w:r w:rsidR="004425AC" w:rsidRPr="00CB2CB5">
        <w:rPr>
          <w:rFonts w:ascii="Times New Roman" w:hAnsi="Times New Roman"/>
          <w:sz w:val="24"/>
        </w:rPr>
        <w:t>, and disaggregated among commission jurisdictional sales, FERC jurisdictional sales, and sales subject to the jurisdiction of other states,</w:t>
      </w:r>
      <w:r w:rsidR="00EC69C4" w:rsidRPr="00CB2CB5">
        <w:rPr>
          <w:rFonts w:ascii="Times New Roman" w:hAnsi="Times New Roman"/>
          <w:sz w:val="24"/>
        </w:rPr>
        <w:t xml:space="preserve"> are provided in Attachments B-2 and B-3</w:t>
      </w:r>
      <w:r w:rsidR="0075297E" w:rsidRPr="00CB2CB5">
        <w:rPr>
          <w:rFonts w:ascii="Times New Roman" w:hAnsi="Times New Roman"/>
          <w:sz w:val="24"/>
        </w:rPr>
        <w:t>, respectively</w:t>
      </w:r>
      <w:r w:rsidR="00EC69C4" w:rsidRPr="00CB2CB5">
        <w:rPr>
          <w:rFonts w:ascii="Times New Roman" w:hAnsi="Times New Roman"/>
          <w:sz w:val="24"/>
        </w:rPr>
        <w:t xml:space="preserve">.  </w:t>
      </w:r>
      <w:r w:rsidRPr="00CB2CB5">
        <w:rPr>
          <w:rFonts w:ascii="Times New Roman" w:hAnsi="Times New Roman"/>
          <w:sz w:val="24"/>
        </w:rPr>
        <w:t>The projected annual coincident peak s</w:t>
      </w:r>
      <w:r w:rsidR="00EC69C4" w:rsidRPr="00CB2CB5">
        <w:rPr>
          <w:rFonts w:ascii="Times New Roman" w:hAnsi="Times New Roman"/>
          <w:sz w:val="24"/>
        </w:rPr>
        <w:t xml:space="preserve">ystem losses </w:t>
      </w:r>
      <w:r w:rsidRPr="00CB2CB5">
        <w:rPr>
          <w:rFonts w:ascii="Times New Roman" w:hAnsi="Times New Roman"/>
          <w:sz w:val="24"/>
        </w:rPr>
        <w:t xml:space="preserve">and the allocation of such losses to the </w:t>
      </w:r>
      <w:r w:rsidR="00EC69C4" w:rsidRPr="00CB2CB5">
        <w:rPr>
          <w:rFonts w:ascii="Times New Roman" w:hAnsi="Times New Roman"/>
          <w:sz w:val="24"/>
        </w:rPr>
        <w:t xml:space="preserve">transmission and distribution </w:t>
      </w:r>
      <w:r w:rsidRPr="00CB2CB5">
        <w:rPr>
          <w:rFonts w:ascii="Times New Roman" w:hAnsi="Times New Roman"/>
          <w:sz w:val="24"/>
        </w:rPr>
        <w:t xml:space="preserve">components of the system </w:t>
      </w:r>
      <w:r w:rsidR="00EC69C4" w:rsidRPr="00CB2CB5">
        <w:rPr>
          <w:rFonts w:ascii="Times New Roman" w:hAnsi="Times New Roman"/>
          <w:sz w:val="24"/>
        </w:rPr>
        <w:t>are provided Attachment B-</w:t>
      </w:r>
      <w:r w:rsidR="0075297E" w:rsidRPr="00CB2CB5">
        <w:rPr>
          <w:rFonts w:ascii="Times New Roman" w:hAnsi="Times New Roman"/>
          <w:sz w:val="24"/>
        </w:rPr>
        <w:t>4</w:t>
      </w:r>
      <w:r w:rsidR="00EC69C4" w:rsidRPr="00CB2CB5">
        <w:rPr>
          <w:rFonts w:ascii="Times New Roman" w:hAnsi="Times New Roman"/>
          <w:sz w:val="24"/>
        </w:rPr>
        <w:t xml:space="preserve">. </w:t>
      </w:r>
      <w:r w:rsidRPr="00CB2CB5">
        <w:rPr>
          <w:rFonts w:ascii="Times New Roman" w:hAnsi="Times New Roman"/>
          <w:sz w:val="24"/>
        </w:rPr>
        <w:t>The t</w:t>
      </w:r>
      <w:r w:rsidR="00EC69C4" w:rsidRPr="00CB2CB5">
        <w:rPr>
          <w:rFonts w:ascii="Times New Roman" w:hAnsi="Times New Roman"/>
          <w:sz w:val="24"/>
        </w:rPr>
        <w:t xml:space="preserve">ypical </w:t>
      </w:r>
      <w:r w:rsidRPr="00CB2CB5">
        <w:rPr>
          <w:rFonts w:ascii="Times New Roman" w:hAnsi="Times New Roman"/>
          <w:sz w:val="24"/>
        </w:rPr>
        <w:t xml:space="preserve">historic day </w:t>
      </w:r>
      <w:r w:rsidR="00EC69C4" w:rsidRPr="00CB2CB5">
        <w:rPr>
          <w:rFonts w:ascii="Times New Roman" w:hAnsi="Times New Roman"/>
          <w:sz w:val="24"/>
        </w:rPr>
        <w:t xml:space="preserve">load patterns </w:t>
      </w:r>
      <w:r w:rsidRPr="00CB2CB5">
        <w:rPr>
          <w:rFonts w:ascii="Times New Roman" w:hAnsi="Times New Roman"/>
          <w:sz w:val="24"/>
        </w:rPr>
        <w:t xml:space="preserve">on a system-wide basis </w:t>
      </w:r>
      <w:r w:rsidR="00EC69C4" w:rsidRPr="00CB2CB5">
        <w:rPr>
          <w:rFonts w:ascii="Times New Roman" w:hAnsi="Times New Roman"/>
          <w:sz w:val="24"/>
        </w:rPr>
        <w:t>for each customer class are provided in Attachment B-5.</w:t>
      </w:r>
    </w:p>
    <w:p w14:paraId="48750E2F" w14:textId="7FA5E32C" w:rsidR="00F20853" w:rsidRDefault="00F20853" w:rsidP="00EC69C4">
      <w:pPr>
        <w:spacing w:line="276" w:lineRule="auto"/>
        <w:ind w:left="720"/>
      </w:pPr>
    </w:p>
    <w:p w14:paraId="1A090F7D" w14:textId="77777777" w:rsidR="008A5446" w:rsidRPr="00CB2CB5" w:rsidRDefault="008A5446" w:rsidP="00EC69C4">
      <w:pPr>
        <w:spacing w:line="276" w:lineRule="auto"/>
        <w:ind w:left="720"/>
      </w:pPr>
    </w:p>
    <w:p w14:paraId="4DADEC9A" w14:textId="77777777" w:rsidR="00886EB1" w:rsidRPr="00CB2CB5" w:rsidRDefault="00886EB1" w:rsidP="008759DE">
      <w:pPr>
        <w:pStyle w:val="Heading2"/>
        <w:numPr>
          <w:ilvl w:val="0"/>
          <w:numId w:val="27"/>
        </w:numPr>
        <w:spacing w:line="276" w:lineRule="auto"/>
        <w:ind w:left="1080" w:hanging="540"/>
        <w:rPr>
          <w:rFonts w:eastAsia="Times New Roman"/>
        </w:rPr>
      </w:pPr>
      <w:bookmarkStart w:id="38" w:name="_Toc534190313"/>
      <w:r w:rsidRPr="00CB2CB5">
        <w:rPr>
          <w:rFonts w:eastAsia="Times New Roman"/>
        </w:rPr>
        <w:lastRenderedPageBreak/>
        <w:t>Weather Adjustment Detail</w:t>
      </w:r>
      <w:bookmarkEnd w:id="38"/>
    </w:p>
    <w:p w14:paraId="245AAD62" w14:textId="77777777" w:rsidR="00F20853" w:rsidRPr="00CB2CB5" w:rsidRDefault="00F20853" w:rsidP="008759DE">
      <w:pPr>
        <w:spacing w:line="276" w:lineRule="auto"/>
        <w:ind w:left="540"/>
      </w:pPr>
    </w:p>
    <w:p w14:paraId="45BA4F7C" w14:textId="439B9850" w:rsidR="00886EB1" w:rsidRPr="00CB2CB5" w:rsidRDefault="00886EB1" w:rsidP="008759DE">
      <w:pPr>
        <w:spacing w:line="276" w:lineRule="auto"/>
        <w:ind w:left="540"/>
      </w:pPr>
      <w:r w:rsidRPr="00CB2CB5">
        <w:t>Weather is a major factor in determining EPE</w:t>
      </w:r>
      <w:r w:rsidR="00B81EE4" w:rsidRPr="00CB2CB5">
        <w:t>'</w:t>
      </w:r>
      <w:r w:rsidRPr="00CB2CB5">
        <w:t xml:space="preserve">s energy sales and peak demand. The </w:t>
      </w:r>
      <w:r w:rsidR="007C34AF">
        <w:t>2021</w:t>
      </w:r>
      <w:r w:rsidRPr="00CB2CB5">
        <w:t xml:space="preserve"> </w:t>
      </w:r>
      <w:r w:rsidR="00C50ACE" w:rsidRPr="00CB2CB5">
        <w:t xml:space="preserve">Load </w:t>
      </w:r>
      <w:r w:rsidRPr="00CB2CB5">
        <w:t>Forecast assumes that 10-year average weather conditions (</w:t>
      </w:r>
      <w:r w:rsidR="007C34AF">
        <w:t>2011-2020</w:t>
      </w:r>
      <w:r w:rsidRPr="00CB2CB5">
        <w:t>) exist throughout the forecast period (</w:t>
      </w:r>
      <w:r w:rsidR="007C34AF">
        <w:t>2021-2</w:t>
      </w:r>
      <w:r w:rsidR="00460053">
        <w:t>0</w:t>
      </w:r>
      <w:r w:rsidR="007C34AF">
        <w:t>4</w:t>
      </w:r>
      <w:r w:rsidR="00460053">
        <w:t>0</w:t>
      </w:r>
      <w:r w:rsidRPr="00CB2CB5">
        <w:t xml:space="preserve">). </w:t>
      </w:r>
      <w:r w:rsidR="00634BB8" w:rsidRPr="00CB2CB5">
        <w:t xml:space="preserve"> </w:t>
      </w:r>
      <w:r w:rsidRPr="00CB2CB5">
        <w:t xml:space="preserve">The 10-year average weather data is used as a baseline for comparing current weather data and creating </w:t>
      </w:r>
      <w:r w:rsidR="00EB31CB" w:rsidRPr="00CB2CB5">
        <w:t>"</w:t>
      </w:r>
      <w:r w:rsidRPr="00CB2CB5">
        <w:t>normal weather</w:t>
      </w:r>
      <w:r w:rsidR="00EB31CB" w:rsidRPr="00CB2CB5">
        <w:t>"</w:t>
      </w:r>
      <w:r w:rsidRPr="00CB2CB5">
        <w:t xml:space="preserve"> conditions in the forecast period.</w:t>
      </w:r>
    </w:p>
    <w:p w14:paraId="17881B72" w14:textId="77777777" w:rsidR="00F20853" w:rsidRPr="00CB2CB5" w:rsidRDefault="00F20853" w:rsidP="008759DE">
      <w:pPr>
        <w:spacing w:line="276" w:lineRule="auto"/>
        <w:ind w:left="540"/>
      </w:pPr>
    </w:p>
    <w:p w14:paraId="5B919E42" w14:textId="77777777" w:rsidR="00886EB1" w:rsidRPr="00CB2CB5" w:rsidRDefault="00886EB1" w:rsidP="008759DE">
      <w:pPr>
        <w:spacing w:line="276" w:lineRule="auto"/>
        <w:ind w:left="540"/>
      </w:pPr>
      <w:r w:rsidRPr="00CB2CB5">
        <w:t>The two weather variables most significant to the energy models are Heating Degree Days (</w:t>
      </w:r>
      <w:r w:rsidR="00940DC7" w:rsidRPr="00CB2CB5">
        <w:t>"</w:t>
      </w:r>
      <w:r w:rsidRPr="00CB2CB5">
        <w:t>HDD</w:t>
      </w:r>
      <w:r w:rsidR="00940DC7" w:rsidRPr="00CB2CB5">
        <w:t>"</w:t>
      </w:r>
      <w:r w:rsidRPr="00CB2CB5">
        <w:t>) and Cooling Degree Days (</w:t>
      </w:r>
      <w:r w:rsidR="00940DC7" w:rsidRPr="00CB2CB5">
        <w:t>"</w:t>
      </w:r>
      <w:proofErr w:type="spellStart"/>
      <w:r w:rsidRPr="00CB2CB5">
        <w:t>CDD</w:t>
      </w:r>
      <w:proofErr w:type="spellEnd"/>
      <w:r w:rsidR="00940DC7" w:rsidRPr="00CB2CB5">
        <w:t>"</w:t>
      </w:r>
      <w:r w:rsidRPr="00CB2CB5">
        <w:t xml:space="preserve">).  The HDD and </w:t>
      </w:r>
      <w:proofErr w:type="spellStart"/>
      <w:r w:rsidRPr="00CB2CB5">
        <w:t>CDD</w:t>
      </w:r>
      <w:proofErr w:type="spellEnd"/>
      <w:r w:rsidRPr="00CB2CB5">
        <w:t xml:space="preserve"> variables are based on a 65°F base.  That is, if the average temperature for the day (maximum plus minimum, divided by two) is over 65°F, the difference is the number of </w:t>
      </w:r>
      <w:proofErr w:type="spellStart"/>
      <w:r w:rsidRPr="00CB2CB5">
        <w:t>CDD</w:t>
      </w:r>
      <w:proofErr w:type="spellEnd"/>
      <w:r w:rsidRPr="00CB2CB5">
        <w:t xml:space="preserve"> for that day.  Likewise, if the average is less than 65°F, the difference is the number of HDD for that day.  </w:t>
      </w:r>
    </w:p>
    <w:p w14:paraId="7C712C81" w14:textId="77777777" w:rsidR="00F20853" w:rsidRPr="00CB2CB5" w:rsidRDefault="00F20853" w:rsidP="008759DE">
      <w:pPr>
        <w:spacing w:line="276" w:lineRule="auto"/>
        <w:ind w:left="540"/>
      </w:pPr>
    </w:p>
    <w:p w14:paraId="1CC54B99" w14:textId="077737BE" w:rsidR="00886EB1" w:rsidRPr="00CB2CB5" w:rsidRDefault="00886EB1" w:rsidP="008759DE">
      <w:pPr>
        <w:spacing w:line="276" w:lineRule="auto"/>
        <w:ind w:left="540"/>
      </w:pPr>
      <w:r w:rsidRPr="00CB2CB5">
        <w:t xml:space="preserve">Because </w:t>
      </w:r>
      <w:proofErr w:type="spellStart"/>
      <w:r w:rsidRPr="00CB2CB5">
        <w:t>CDD</w:t>
      </w:r>
      <w:proofErr w:type="spellEnd"/>
      <w:r w:rsidRPr="00CB2CB5">
        <w:t xml:space="preserve"> and HDD are recorded on a calendar month basis while booked month sales are recorded over 18 billing cycles that normally include portions of two calendar months, it was necessary to adjust these calendar month variables into variables that correspond to EPE's billing cycles.  This adjustment was accomplished </w:t>
      </w:r>
      <w:r w:rsidR="00282AD7" w:rsidRPr="00CB2CB5">
        <w:t>using</w:t>
      </w:r>
      <w:r w:rsidRPr="00CB2CB5">
        <w:t xml:space="preserve"> two</w:t>
      </w:r>
      <w:r w:rsidR="00D42FC9">
        <w:t>-</w:t>
      </w:r>
      <w:r w:rsidRPr="00CB2CB5">
        <w:t xml:space="preserve">month moving average </w:t>
      </w:r>
      <w:proofErr w:type="spellStart"/>
      <w:r w:rsidRPr="00CB2CB5">
        <w:t>CDD</w:t>
      </w:r>
      <w:proofErr w:type="spellEnd"/>
      <w:r w:rsidRPr="00CB2CB5">
        <w:t xml:space="preserve"> and HDD variables.</w:t>
      </w:r>
    </w:p>
    <w:p w14:paraId="57F1F470" w14:textId="77777777" w:rsidR="00F20853" w:rsidRPr="00CB2CB5" w:rsidRDefault="00F20853" w:rsidP="008759DE">
      <w:pPr>
        <w:spacing w:line="276" w:lineRule="auto"/>
        <w:ind w:left="540"/>
      </w:pPr>
    </w:p>
    <w:p w14:paraId="783B4DF1" w14:textId="77777777" w:rsidR="00886EB1" w:rsidRPr="00CB2CB5" w:rsidRDefault="00886EB1" w:rsidP="008759DE">
      <w:pPr>
        <w:pStyle w:val="Heading2"/>
        <w:numPr>
          <w:ilvl w:val="0"/>
          <w:numId w:val="27"/>
        </w:numPr>
        <w:spacing w:line="276" w:lineRule="auto"/>
        <w:ind w:left="1080" w:hanging="540"/>
        <w:rPr>
          <w:rFonts w:eastAsia="Times New Roman"/>
        </w:rPr>
      </w:pPr>
      <w:bookmarkStart w:id="39" w:name="_Toc534190314"/>
      <w:r w:rsidRPr="00CB2CB5">
        <w:rPr>
          <w:rFonts w:eastAsia="Times New Roman"/>
        </w:rPr>
        <w:t>Demand-Side Savings Detail</w:t>
      </w:r>
      <w:bookmarkEnd w:id="39"/>
    </w:p>
    <w:p w14:paraId="162A0DEA" w14:textId="77777777" w:rsidR="00B75CDC" w:rsidRPr="00CB2CB5" w:rsidRDefault="00B75CDC" w:rsidP="008759DE">
      <w:pPr>
        <w:spacing w:line="276" w:lineRule="auto"/>
        <w:ind w:left="540"/>
      </w:pPr>
    </w:p>
    <w:p w14:paraId="66648B1E" w14:textId="015E0E72" w:rsidR="00886EB1" w:rsidRPr="00CB2CB5" w:rsidRDefault="00886EB1" w:rsidP="008759DE">
      <w:pPr>
        <w:spacing w:line="276" w:lineRule="auto"/>
        <w:ind w:left="540"/>
      </w:pPr>
      <w:r w:rsidRPr="00CB2CB5">
        <w:t>EPE</w:t>
      </w:r>
      <w:r w:rsidR="00B81EE4" w:rsidRPr="00CB2CB5">
        <w:t>'</w:t>
      </w:r>
      <w:r w:rsidRPr="00CB2CB5">
        <w:t xml:space="preserve">s energy and demand forecasts are adjusted to reflect EPE-sponsored </w:t>
      </w:r>
      <w:r w:rsidR="00A560AD">
        <w:t>EE/LM</w:t>
      </w:r>
      <w:r w:rsidRPr="00CB2CB5">
        <w:t xml:space="preserve"> programs that are required in EPE</w:t>
      </w:r>
      <w:r w:rsidR="00B81EE4" w:rsidRPr="00CB2CB5">
        <w:t>'</w:t>
      </w:r>
      <w:r w:rsidRPr="00CB2CB5">
        <w:t xml:space="preserve">s Texas and New Mexico jurisdictions. </w:t>
      </w:r>
      <w:r w:rsidR="00634BB8" w:rsidRPr="00CB2CB5">
        <w:t xml:space="preserve"> </w:t>
      </w:r>
      <w:r w:rsidRPr="00CB2CB5">
        <w:t>EPE</w:t>
      </w:r>
      <w:r w:rsidR="00B81EE4" w:rsidRPr="00CB2CB5">
        <w:t>'</w:t>
      </w:r>
      <w:r w:rsidRPr="00CB2CB5">
        <w:t xml:space="preserve">s Energy Efficiency department develops these savings by jurisdiction and customer class. </w:t>
      </w:r>
    </w:p>
    <w:p w14:paraId="3A39F82F" w14:textId="77777777" w:rsidR="00B75CDC" w:rsidRPr="00CB2CB5" w:rsidRDefault="00B75CDC" w:rsidP="008759DE">
      <w:pPr>
        <w:spacing w:line="276" w:lineRule="auto"/>
        <w:ind w:left="540"/>
      </w:pPr>
    </w:p>
    <w:p w14:paraId="5CF2E755" w14:textId="105CD5AD" w:rsidR="00886EB1" w:rsidRPr="00CB2CB5" w:rsidRDefault="00886EB1" w:rsidP="008759DE">
      <w:pPr>
        <w:spacing w:line="276" w:lineRule="auto"/>
        <w:ind w:left="540"/>
      </w:pPr>
      <w:r w:rsidRPr="00CB2CB5">
        <w:t xml:space="preserve">EPE does not directly adjust its forecast models for demand-side savings that are not attributable to actions by EPE. </w:t>
      </w:r>
      <w:r w:rsidR="00634BB8" w:rsidRPr="00CB2CB5">
        <w:t xml:space="preserve"> </w:t>
      </w:r>
      <w:r w:rsidRPr="00CB2CB5">
        <w:t xml:space="preserve">Demand-side management that is attributable to actions other than EPE, such as consumers who, without any EPE incentive, decide to transition to lower wattage light bulbs or energy efficient appliances, have savings that are unquantifiable. </w:t>
      </w:r>
      <w:r w:rsidR="00634BB8" w:rsidRPr="00CB2CB5">
        <w:t xml:space="preserve"> </w:t>
      </w:r>
      <w:r w:rsidRPr="00CB2CB5">
        <w:t>However, the historical sales data used in EPE</w:t>
      </w:r>
      <w:r w:rsidR="00B81EE4" w:rsidRPr="00CB2CB5">
        <w:t>'</w:t>
      </w:r>
      <w:r w:rsidRPr="00CB2CB5">
        <w:t xml:space="preserve">s econometric forecasts does have embedded in it any organic or naturally occurring demand-side savings that may have occurred. </w:t>
      </w:r>
      <w:r w:rsidR="00634BB8" w:rsidRPr="00CB2CB5">
        <w:t xml:space="preserve"> </w:t>
      </w:r>
      <w:r w:rsidRPr="00CB2CB5">
        <w:t xml:space="preserve">Therefore, </w:t>
      </w:r>
      <w:r w:rsidR="00282AD7" w:rsidRPr="00CB2CB5">
        <w:t>using</w:t>
      </w:r>
      <w:r w:rsidRPr="00CB2CB5">
        <w:t xml:space="preserve"> historical data, EPE</w:t>
      </w:r>
      <w:r w:rsidR="00B81EE4" w:rsidRPr="00CB2CB5">
        <w:t>'</w:t>
      </w:r>
      <w:r w:rsidRPr="00CB2CB5">
        <w:t>s models and forecasted estimates of energy and demand do indirectly account for organic demand</w:t>
      </w:r>
      <w:r w:rsidR="00B75CDC" w:rsidRPr="00CB2CB5">
        <w:noBreakHyphen/>
      </w:r>
      <w:r w:rsidRPr="00CB2CB5">
        <w:t>side management.</w:t>
      </w:r>
    </w:p>
    <w:p w14:paraId="6DA193EC" w14:textId="77777777" w:rsidR="00B75CDC" w:rsidRPr="00CB2CB5" w:rsidRDefault="00B75CDC" w:rsidP="008759DE">
      <w:pPr>
        <w:spacing w:line="276" w:lineRule="auto"/>
        <w:ind w:left="540"/>
      </w:pPr>
    </w:p>
    <w:p w14:paraId="6AB4C216" w14:textId="77777777" w:rsidR="00886EB1" w:rsidRPr="00CB2CB5" w:rsidRDefault="00886EB1" w:rsidP="008759DE">
      <w:pPr>
        <w:pStyle w:val="Heading2"/>
        <w:numPr>
          <w:ilvl w:val="0"/>
          <w:numId w:val="27"/>
        </w:numPr>
        <w:spacing w:line="276" w:lineRule="auto"/>
        <w:ind w:left="1080" w:hanging="540"/>
        <w:rPr>
          <w:rFonts w:eastAsia="Times New Roman"/>
        </w:rPr>
      </w:pPr>
      <w:bookmarkStart w:id="40" w:name="_Toc534190315"/>
      <w:r w:rsidRPr="00CB2CB5">
        <w:rPr>
          <w:rFonts w:eastAsia="Times New Roman"/>
        </w:rPr>
        <w:t>Distributed Generation</w:t>
      </w:r>
      <w:bookmarkEnd w:id="40"/>
    </w:p>
    <w:p w14:paraId="3386C1DA" w14:textId="77777777" w:rsidR="00B75CDC" w:rsidRPr="00CB2CB5" w:rsidRDefault="00B75CDC" w:rsidP="008759DE">
      <w:pPr>
        <w:spacing w:line="276" w:lineRule="auto"/>
        <w:ind w:left="540"/>
      </w:pPr>
    </w:p>
    <w:p w14:paraId="53C78556" w14:textId="4E515860" w:rsidR="00886EB1" w:rsidRPr="00CB2CB5" w:rsidRDefault="00886EB1" w:rsidP="008759DE">
      <w:pPr>
        <w:spacing w:line="276" w:lineRule="auto"/>
        <w:ind w:left="540"/>
      </w:pPr>
      <w:r w:rsidRPr="00CB2CB5">
        <w:t>EPE forecast</w:t>
      </w:r>
      <w:r w:rsidR="0014242A">
        <w:t>s</w:t>
      </w:r>
      <w:r w:rsidRPr="00CB2CB5">
        <w:t xml:space="preserve"> future customer count growth, sales, and generation capacity (nameplate and production at the time of system peak) for customers who own or lease distributed generation solar systems. </w:t>
      </w:r>
      <w:r w:rsidR="00634BB8" w:rsidRPr="00CB2CB5">
        <w:t xml:space="preserve"> </w:t>
      </w:r>
      <w:r w:rsidRPr="00CB2CB5">
        <w:t>These projections are made monthly for a 20</w:t>
      </w:r>
      <w:r w:rsidR="00210A84" w:rsidRPr="00CB2CB5">
        <w:noBreakHyphen/>
      </w:r>
      <w:r w:rsidRPr="00CB2CB5">
        <w:t>year period (</w:t>
      </w:r>
      <w:r w:rsidR="007C34AF">
        <w:t>2021-2040</w:t>
      </w:r>
      <w:r w:rsidRPr="00CB2CB5">
        <w:t xml:space="preserve">) by </w:t>
      </w:r>
      <w:r w:rsidRPr="00CB2CB5">
        <w:lastRenderedPageBreak/>
        <w:t xml:space="preserve">jurisdiction and by impacted customer classes. </w:t>
      </w:r>
      <w:r w:rsidR="00634BB8" w:rsidRPr="00CB2CB5">
        <w:t xml:space="preserve"> </w:t>
      </w:r>
      <w:r w:rsidRPr="00CB2CB5">
        <w:t xml:space="preserve">The econometric sales and demand forecasts are adjusted to reflect these forecasted distributed generation effects that are not represented in the historical database. </w:t>
      </w:r>
    </w:p>
    <w:p w14:paraId="2853167A" w14:textId="77777777" w:rsidR="00EC06D8" w:rsidRPr="00CB2CB5" w:rsidRDefault="00EC06D8" w:rsidP="008759DE">
      <w:pPr>
        <w:spacing w:line="276" w:lineRule="auto"/>
        <w:ind w:left="540"/>
      </w:pPr>
    </w:p>
    <w:p w14:paraId="1691FED2" w14:textId="784396BB" w:rsidR="00886EB1" w:rsidRPr="00CB2CB5" w:rsidRDefault="00886EB1" w:rsidP="008759DE">
      <w:pPr>
        <w:spacing w:line="276" w:lineRule="auto"/>
        <w:ind w:left="540"/>
      </w:pPr>
      <w:r w:rsidRPr="00CB2CB5">
        <w:t xml:space="preserve">The distributed generation effects </w:t>
      </w:r>
      <w:proofErr w:type="gramStart"/>
      <w:r w:rsidRPr="00CB2CB5">
        <w:t>take into account</w:t>
      </w:r>
      <w:proofErr w:type="gramEnd"/>
      <w:r w:rsidRPr="00CB2CB5">
        <w:t xml:space="preserve"> customer owned or leased solar generation in the residential, small commercial &amp; industrial, and government customer classes. </w:t>
      </w:r>
      <w:r w:rsidR="00634BB8" w:rsidRPr="00CB2CB5">
        <w:t xml:space="preserve"> </w:t>
      </w:r>
      <w:r w:rsidRPr="00CB2CB5">
        <w:t xml:space="preserve">Customer forecasts for the </w:t>
      </w:r>
      <w:r w:rsidR="00C66A37" w:rsidRPr="00CB2CB5">
        <w:t>above-mentioned</w:t>
      </w:r>
      <w:r w:rsidRPr="00CB2CB5">
        <w:t xml:space="preserve"> customer classes drive the final energy and demand estimates for distributed generation. </w:t>
      </w:r>
      <w:r w:rsidR="00634BB8" w:rsidRPr="00CB2CB5">
        <w:t xml:space="preserve"> </w:t>
      </w:r>
      <w:r w:rsidRPr="00CB2CB5">
        <w:t xml:space="preserve">The median nameplate capacity for distributed generation systems in the region along with their observed capacity factors are applied to these customer forecasts to arrive at the energy and demand forecasts. </w:t>
      </w:r>
      <w:r w:rsidR="00634BB8" w:rsidRPr="00CB2CB5">
        <w:t xml:space="preserve"> </w:t>
      </w:r>
      <w:r w:rsidRPr="00CB2CB5">
        <w:t xml:space="preserve">A coincidence factor of </w:t>
      </w:r>
      <w:r w:rsidR="007C34AF">
        <w:t>49</w:t>
      </w:r>
      <w:r w:rsidR="00B75CDC" w:rsidRPr="00CB2CB5">
        <w:t> </w:t>
      </w:r>
      <w:r w:rsidRPr="00CB2CB5">
        <w:t xml:space="preserve">percent is used to account for the expected production of distributed generation systems at the time of the system peak relative to the maximum total production capacity of these units. </w:t>
      </w:r>
      <w:r w:rsidR="00634BB8" w:rsidRPr="00CB2CB5">
        <w:t xml:space="preserve"> </w:t>
      </w:r>
      <w:r w:rsidRPr="00CB2CB5">
        <w:t>Furthermore, an annual degradation factor of 0.5</w:t>
      </w:r>
      <w:r w:rsidR="00B75CDC" w:rsidRPr="00CB2CB5">
        <w:t> </w:t>
      </w:r>
      <w:r w:rsidRPr="00CB2CB5">
        <w:t>percent is used to account for the degradation in the output of solar panels over time.</w:t>
      </w:r>
      <w:r w:rsidR="00634BB8" w:rsidRPr="00CB2CB5">
        <w:t xml:space="preserve"> </w:t>
      </w:r>
      <w:r w:rsidRPr="00CB2CB5">
        <w:t xml:space="preserve"> The estimates for distributed generation energy impacts are accounted for in the annual retail sales energy forecasts in developing the expected native system energy value.</w:t>
      </w:r>
    </w:p>
    <w:p w14:paraId="79E9701D" w14:textId="77777777" w:rsidR="00B75CDC" w:rsidRPr="00CB2CB5" w:rsidRDefault="00B75CDC" w:rsidP="008759DE">
      <w:pPr>
        <w:spacing w:line="276" w:lineRule="auto"/>
        <w:ind w:left="540"/>
      </w:pPr>
    </w:p>
    <w:p w14:paraId="0B7F00B9" w14:textId="03A22435" w:rsidR="00A27CDD" w:rsidRDefault="00886EB1" w:rsidP="008759DE">
      <w:pPr>
        <w:spacing w:line="276" w:lineRule="auto"/>
        <w:ind w:left="540"/>
      </w:pPr>
      <w:r w:rsidRPr="00CB2CB5">
        <w:t>The econometric sales and demand forecasts are adjusted to reflect future distributed generation effects not represented in the historical database.</w:t>
      </w:r>
    </w:p>
    <w:p w14:paraId="7E53B0DC" w14:textId="77777777" w:rsidR="00D42FC9" w:rsidRPr="00CB2CB5" w:rsidRDefault="00D42FC9" w:rsidP="008759DE">
      <w:pPr>
        <w:spacing w:line="276" w:lineRule="auto"/>
        <w:ind w:left="540"/>
      </w:pPr>
    </w:p>
    <w:p w14:paraId="5445E34C" w14:textId="77777777" w:rsidR="007C34AF" w:rsidRPr="007C34AF" w:rsidRDefault="007C34AF" w:rsidP="007C34AF">
      <w:pPr>
        <w:pStyle w:val="Heading2"/>
        <w:numPr>
          <w:ilvl w:val="0"/>
          <w:numId w:val="27"/>
        </w:numPr>
        <w:spacing w:line="276" w:lineRule="auto"/>
        <w:rPr>
          <w:rFonts w:eastAsia="Times New Roman"/>
        </w:rPr>
      </w:pPr>
      <w:bookmarkStart w:id="41" w:name="_Toc534190316"/>
      <w:r w:rsidRPr="007C34AF">
        <w:rPr>
          <w:rFonts w:eastAsia="Times New Roman"/>
        </w:rPr>
        <w:t>Light-Duty Electric Vehicles</w:t>
      </w:r>
    </w:p>
    <w:p w14:paraId="57419A46" w14:textId="77777777" w:rsidR="007C34AF" w:rsidRDefault="007C34AF" w:rsidP="007C34AF">
      <w:pPr>
        <w:pStyle w:val="Heading2"/>
        <w:spacing w:line="276" w:lineRule="auto"/>
        <w:ind w:left="720"/>
        <w:rPr>
          <w:rFonts w:eastAsia="Times New Roman"/>
          <w:b w:val="0"/>
          <w:bCs/>
        </w:rPr>
      </w:pPr>
    </w:p>
    <w:p w14:paraId="182DB760" w14:textId="5437BE82" w:rsidR="007C34AF" w:rsidRDefault="007C34AF" w:rsidP="00695188">
      <w:pPr>
        <w:pStyle w:val="Heading2"/>
        <w:spacing w:line="276" w:lineRule="auto"/>
        <w:ind w:left="630"/>
        <w:rPr>
          <w:rFonts w:eastAsia="Times New Roman"/>
          <w:b w:val="0"/>
          <w:bCs/>
        </w:rPr>
      </w:pPr>
      <w:r w:rsidRPr="007C34AF">
        <w:rPr>
          <w:rFonts w:eastAsia="Times New Roman"/>
          <w:b w:val="0"/>
          <w:bCs/>
        </w:rPr>
        <w:t>EPE light-duty electric vehicle projections for energy sales and demand impacts are calculated for a 20-year period by jurisdiction and only impact the residential customer class.  Estimates indicate a single light-duty vehicle can consu</w:t>
      </w:r>
      <w:r>
        <w:rPr>
          <w:rFonts w:eastAsia="Times New Roman"/>
          <w:b w:val="0"/>
          <w:bCs/>
        </w:rPr>
        <w:t>m</w:t>
      </w:r>
      <w:r w:rsidRPr="007C34AF">
        <w:rPr>
          <w:rFonts w:eastAsia="Times New Roman"/>
          <w:b w:val="0"/>
          <w:bCs/>
        </w:rPr>
        <w:t>e an average of 3</w:t>
      </w:r>
      <w:r w:rsidR="00516837">
        <w:rPr>
          <w:rFonts w:eastAsia="Times New Roman"/>
          <w:b w:val="0"/>
          <w:bCs/>
        </w:rPr>
        <w:t>,</w:t>
      </w:r>
      <w:r w:rsidRPr="007C34AF">
        <w:rPr>
          <w:rFonts w:eastAsia="Times New Roman"/>
          <w:b w:val="0"/>
          <w:bCs/>
        </w:rPr>
        <w:t>870 kWh per year, equivalent to half of the average annual energy consumption of a residential household.  De</w:t>
      </w:r>
      <w:r>
        <w:rPr>
          <w:rFonts w:eastAsia="Times New Roman"/>
          <w:b w:val="0"/>
          <w:bCs/>
        </w:rPr>
        <w:t>m</w:t>
      </w:r>
      <w:r w:rsidRPr="007C34AF">
        <w:rPr>
          <w:rFonts w:eastAsia="Times New Roman"/>
          <w:b w:val="0"/>
          <w:bCs/>
        </w:rPr>
        <w:t>and impact can vary widely depending on the type of charger, creating demand sp</w:t>
      </w:r>
      <w:r>
        <w:rPr>
          <w:rFonts w:eastAsia="Times New Roman"/>
          <w:b w:val="0"/>
          <w:bCs/>
        </w:rPr>
        <w:t>i</w:t>
      </w:r>
      <w:r w:rsidRPr="007C34AF">
        <w:rPr>
          <w:rFonts w:eastAsia="Times New Roman"/>
          <w:b w:val="0"/>
          <w:bCs/>
        </w:rPr>
        <w:t>kes between 1.2 and 19.2kW</w:t>
      </w:r>
      <w:r w:rsidR="00676F49">
        <w:rPr>
          <w:rFonts w:eastAsia="Times New Roman"/>
          <w:b w:val="0"/>
          <w:bCs/>
        </w:rPr>
        <w:t xml:space="preserve"> per vehicle</w:t>
      </w:r>
      <w:r w:rsidRPr="007C34AF">
        <w:rPr>
          <w:rFonts w:eastAsia="Times New Roman"/>
          <w:b w:val="0"/>
          <w:bCs/>
        </w:rPr>
        <w:t>. The forecast assumes an average demand impact of 7.2 kW</w:t>
      </w:r>
      <w:r w:rsidR="00676F49">
        <w:rPr>
          <w:rFonts w:eastAsia="Times New Roman"/>
          <w:b w:val="0"/>
          <w:bCs/>
        </w:rPr>
        <w:t xml:space="preserve"> per vehicle</w:t>
      </w:r>
      <w:r w:rsidRPr="007C34AF">
        <w:rPr>
          <w:rFonts w:eastAsia="Times New Roman"/>
          <w:b w:val="0"/>
          <w:bCs/>
        </w:rPr>
        <w:t xml:space="preserve"> to estimate future demand impac</w:t>
      </w:r>
      <w:r>
        <w:rPr>
          <w:rFonts w:eastAsia="Times New Roman"/>
          <w:b w:val="0"/>
          <w:bCs/>
        </w:rPr>
        <w:t>t</w:t>
      </w:r>
      <w:r w:rsidRPr="007C34AF">
        <w:rPr>
          <w:rFonts w:eastAsia="Times New Roman"/>
          <w:b w:val="0"/>
          <w:bCs/>
        </w:rPr>
        <w:t>s.</w:t>
      </w:r>
    </w:p>
    <w:p w14:paraId="79945D4F" w14:textId="5C8FBBA5" w:rsidR="00695188" w:rsidRPr="009B03FC" w:rsidRDefault="00695188" w:rsidP="009B03FC">
      <w:pPr>
        <w:spacing w:line="276" w:lineRule="auto"/>
        <w:ind w:left="630"/>
        <w:rPr>
          <w:rFonts w:eastAsia="Times New Roman" w:cstheme="majorBidi"/>
          <w:bCs/>
          <w:color w:val="auto"/>
          <w:szCs w:val="26"/>
        </w:rPr>
      </w:pPr>
      <w:r>
        <w:tab/>
      </w:r>
    </w:p>
    <w:p w14:paraId="61F8E9E8" w14:textId="06B2E9CD" w:rsidR="00D42FC9" w:rsidRPr="009B03FC" w:rsidRDefault="00695188" w:rsidP="009B03FC">
      <w:pPr>
        <w:spacing w:line="276" w:lineRule="auto"/>
        <w:ind w:left="630"/>
        <w:rPr>
          <w:rFonts w:eastAsia="Times New Roman" w:cstheme="majorBidi"/>
          <w:bCs/>
          <w:color w:val="auto"/>
          <w:szCs w:val="26"/>
        </w:rPr>
      </w:pPr>
      <w:r w:rsidRPr="009B03FC">
        <w:rPr>
          <w:rFonts w:eastAsia="Times New Roman" w:cstheme="majorBidi"/>
          <w:bCs/>
          <w:color w:val="auto"/>
          <w:szCs w:val="26"/>
        </w:rPr>
        <w:t>In addition to the light-duty electric vehicle forecast, EPE also forecasts load requirements for medium and heavy-duty electric vehicles, however, only the light-duty vehicle forecast was included in the current long-term forecast because their load is more present and growth trends are clearer than the other vehicle categories over the forecast period.</w:t>
      </w:r>
    </w:p>
    <w:p w14:paraId="3BD88326" w14:textId="77777777" w:rsidR="00695188" w:rsidRPr="00D42FC9" w:rsidRDefault="00695188" w:rsidP="00695188">
      <w:pPr>
        <w:spacing w:line="240" w:lineRule="auto"/>
        <w:ind w:left="720"/>
      </w:pPr>
    </w:p>
    <w:p w14:paraId="449AAFF8" w14:textId="77777777" w:rsidR="00886EB1" w:rsidRPr="007C34AF" w:rsidRDefault="00886EB1" w:rsidP="00D42FC9">
      <w:pPr>
        <w:pStyle w:val="Heading2"/>
        <w:numPr>
          <w:ilvl w:val="0"/>
          <w:numId w:val="27"/>
        </w:numPr>
        <w:spacing w:line="276" w:lineRule="auto"/>
        <w:rPr>
          <w:rFonts w:eastAsia="Times New Roman"/>
        </w:rPr>
      </w:pPr>
      <w:r w:rsidRPr="007C34AF">
        <w:rPr>
          <w:rFonts w:eastAsia="Times New Roman"/>
        </w:rPr>
        <w:t>Load Forecast Scenarios</w:t>
      </w:r>
      <w:bookmarkEnd w:id="41"/>
    </w:p>
    <w:p w14:paraId="7D5D8998" w14:textId="77777777" w:rsidR="00B75CDC" w:rsidRPr="00CB2CB5" w:rsidRDefault="00B75CDC" w:rsidP="00D42FC9">
      <w:pPr>
        <w:spacing w:line="276" w:lineRule="auto"/>
        <w:ind w:left="540"/>
      </w:pPr>
    </w:p>
    <w:p w14:paraId="08747785" w14:textId="2B918248" w:rsidR="00886EB1" w:rsidRPr="00CB2CB5" w:rsidRDefault="00886EB1" w:rsidP="008759DE">
      <w:pPr>
        <w:spacing w:line="276" w:lineRule="auto"/>
        <w:ind w:left="540"/>
      </w:pPr>
      <w:r w:rsidRPr="00CB2CB5">
        <w:t xml:space="preserve">In addition to the expected (base) estimates, the </w:t>
      </w:r>
      <w:r w:rsidR="007C34AF">
        <w:t>2021</w:t>
      </w:r>
      <w:r w:rsidRPr="00CB2CB5">
        <w:t xml:space="preserve"> Load Forecast also estimates both upper and lower (high and low) scenarios. </w:t>
      </w:r>
      <w:r w:rsidR="00634BB8" w:rsidRPr="00CB2CB5">
        <w:t xml:space="preserve"> </w:t>
      </w:r>
      <w:r w:rsidRPr="00CB2CB5">
        <w:t xml:space="preserve">These upper and lower scenarios are produced for both native system energy and native system peak demand to account for future uncertainty. </w:t>
      </w:r>
      <w:r w:rsidR="00634BB8" w:rsidRPr="00CB2CB5">
        <w:t xml:space="preserve"> </w:t>
      </w:r>
      <w:r w:rsidRPr="00CB2CB5">
        <w:t xml:space="preserve">Upper and lower scenarios around energy and demand base forecasts can be </w:t>
      </w:r>
      <w:r w:rsidRPr="00CB2CB5">
        <w:lastRenderedPageBreak/>
        <w:t>estimated in various ways</w:t>
      </w:r>
      <w:r w:rsidR="008E7A6A">
        <w:t>,</w:t>
      </w:r>
      <w:r w:rsidRPr="00CB2CB5">
        <w:t xml:space="preserve"> such as by using statistical methods as well being driven by extreme weather scenarios.  EPE calculates upper and lower scenarios using confidence intervals as well as a variety of extreme weather scenarios. </w:t>
      </w:r>
      <w:r w:rsidR="00634BB8" w:rsidRPr="00CB2CB5">
        <w:t xml:space="preserve"> </w:t>
      </w:r>
      <w:r w:rsidRPr="00CB2CB5">
        <w:t xml:space="preserve">Both the upper and lower scenarios shown in Attachment </w:t>
      </w:r>
      <w:r w:rsidR="007C34AF">
        <w:t>B</w:t>
      </w:r>
      <w:r w:rsidR="003D25FF" w:rsidRPr="00CB2CB5">
        <w:t xml:space="preserve">-1 </w:t>
      </w:r>
      <w:r w:rsidRPr="00CB2CB5">
        <w:t xml:space="preserve">are built using a confidence interval with a 95% confidence level. </w:t>
      </w:r>
      <w:r w:rsidR="00634BB8" w:rsidRPr="00CB2CB5">
        <w:t xml:space="preserve"> </w:t>
      </w:r>
      <w:r w:rsidRPr="00CB2CB5">
        <w:t xml:space="preserve">EPE uses confidence intervals with a high confidence level as the preferred method for building upper and lower bands because it captures more uncertainty in future periods. </w:t>
      </w:r>
      <w:r w:rsidR="00634BB8" w:rsidRPr="00CB2CB5">
        <w:t xml:space="preserve"> </w:t>
      </w:r>
      <w:r w:rsidRPr="00CB2CB5">
        <w:t xml:space="preserve">The increased uncertainty helps capture possible future changes to electricity consumption in addition to that of weather, such as: changes in rate structures, economy, demography, and taste and preferences. </w:t>
      </w:r>
      <w:r w:rsidR="00634BB8" w:rsidRPr="00CB2CB5">
        <w:t xml:space="preserve"> </w:t>
      </w:r>
      <w:r w:rsidRPr="00CB2CB5">
        <w:t xml:space="preserve">Although EPE uses confidence intervals to produce the upper and </w:t>
      </w:r>
      <w:r w:rsidR="00C66A37" w:rsidRPr="00CB2CB5">
        <w:t>lower-case</w:t>
      </w:r>
      <w:r w:rsidRPr="00CB2CB5">
        <w:t xml:space="preserve"> forecasts in the </w:t>
      </w:r>
      <w:r w:rsidR="007C34AF">
        <w:t>2021</w:t>
      </w:r>
      <w:r w:rsidRPr="00CB2CB5">
        <w:t xml:space="preserve"> Load Forecast, EPE also has provided below upper and lower</w:t>
      </w:r>
      <w:r w:rsidR="00210A84" w:rsidRPr="00CB2CB5">
        <w:t>-</w:t>
      </w:r>
      <w:r w:rsidRPr="00CB2CB5">
        <w:t xml:space="preserve">case forecasts using extreme historical weather for comparison purposes. </w:t>
      </w:r>
      <w:r w:rsidR="00634BB8" w:rsidRPr="00CB2CB5">
        <w:t xml:space="preserve"> </w:t>
      </w:r>
      <w:r w:rsidRPr="00CB2CB5">
        <w:t>These scenarios pull the most extreme historical weather months over a 10</w:t>
      </w:r>
      <w:r w:rsidR="00B75CDC" w:rsidRPr="00CB2CB5">
        <w:noBreakHyphen/>
      </w:r>
      <w:r w:rsidRPr="00CB2CB5">
        <w:t>year historical period, both on the high and low side, and combine them to form a calendar year of the most extreme monthly weather.  This weather is then applied to future years to produce energy and peak demand estimate bands around the expected case. Figures</w:t>
      </w:r>
      <w:r w:rsidR="00B75CDC" w:rsidRPr="00CB2CB5">
        <w:t> </w:t>
      </w:r>
      <w:r w:rsidR="006D3F7E" w:rsidRPr="00CB2CB5">
        <w:t>3</w:t>
      </w:r>
      <w:r w:rsidRPr="00CB2CB5">
        <w:t xml:space="preserve"> and </w:t>
      </w:r>
      <w:r w:rsidR="006D3F7E" w:rsidRPr="00CB2CB5">
        <w:t>4</w:t>
      </w:r>
      <w:r w:rsidRPr="00CB2CB5">
        <w:t xml:space="preserve"> below contain a graphical representation of the low and high forecast scenarios of native system energy and native system peak demand.</w:t>
      </w:r>
    </w:p>
    <w:p w14:paraId="21254CC7" w14:textId="77777777" w:rsidR="00B703D9" w:rsidRPr="00CB2CB5" w:rsidRDefault="00B703D9" w:rsidP="008759DE">
      <w:pPr>
        <w:spacing w:line="276" w:lineRule="auto"/>
        <w:ind w:left="540"/>
      </w:pPr>
    </w:p>
    <w:p w14:paraId="36D9222D" w14:textId="1EC9BD2A" w:rsidR="00DE2A0D" w:rsidRPr="00CB2CB5" w:rsidRDefault="002C4C06" w:rsidP="008759DE">
      <w:pPr>
        <w:keepNext/>
        <w:spacing w:line="276" w:lineRule="auto"/>
        <w:jc w:val="center"/>
      </w:pPr>
      <w:r>
        <w:rPr>
          <w:noProof/>
        </w:rPr>
        <w:drawing>
          <wp:inline distT="0" distB="0" distL="0" distR="0" wp14:anchorId="6B9C46E6" wp14:editId="675764FA">
            <wp:extent cx="5943600" cy="3799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99840"/>
                    </a:xfrm>
                    <a:prstGeom prst="rect">
                      <a:avLst/>
                    </a:prstGeom>
                  </pic:spPr>
                </pic:pic>
              </a:graphicData>
            </a:graphic>
          </wp:inline>
        </w:drawing>
      </w:r>
    </w:p>
    <w:p w14:paraId="4300F14A" w14:textId="5961618A" w:rsidR="00886EB1" w:rsidRPr="00CB2CB5" w:rsidRDefault="00DE2A0D" w:rsidP="008759DE">
      <w:pPr>
        <w:pStyle w:val="Caption"/>
        <w:spacing w:line="276" w:lineRule="auto"/>
        <w:jc w:val="center"/>
      </w:pPr>
      <w:bookmarkStart w:id="42" w:name="_Toc524604250"/>
      <w:r w:rsidRPr="00CB2CB5">
        <w:t xml:space="preserve">Figure </w:t>
      </w:r>
      <w:r w:rsidR="00AD06CC" w:rsidRPr="00CB2CB5">
        <w:rPr>
          <w:noProof/>
        </w:rPr>
        <w:fldChar w:fldCharType="begin"/>
      </w:r>
      <w:r w:rsidR="00AD06CC" w:rsidRPr="00CB2CB5">
        <w:rPr>
          <w:noProof/>
        </w:rPr>
        <w:instrText xml:space="preserve"> SEQ Figure \* ARABIC </w:instrText>
      </w:r>
      <w:r w:rsidR="00AD06CC" w:rsidRPr="00CB2CB5">
        <w:rPr>
          <w:noProof/>
        </w:rPr>
        <w:fldChar w:fldCharType="separate"/>
      </w:r>
      <w:r w:rsidR="00FD552A" w:rsidRPr="00CB2CB5">
        <w:rPr>
          <w:noProof/>
        </w:rPr>
        <w:t>3</w:t>
      </w:r>
      <w:r w:rsidR="00AD06CC" w:rsidRPr="00CB2CB5">
        <w:rPr>
          <w:noProof/>
        </w:rPr>
        <w:fldChar w:fldCharType="end"/>
      </w:r>
      <w:r w:rsidRPr="00CB2CB5">
        <w:t xml:space="preserve"> </w:t>
      </w:r>
      <w:r w:rsidR="00210A84" w:rsidRPr="00CB2CB5">
        <w:t>–</w:t>
      </w:r>
      <w:r w:rsidRPr="00CB2CB5">
        <w:t xml:space="preserve"> Native System Energy Forecast Scenario Comparison</w:t>
      </w:r>
      <w:bookmarkEnd w:id="42"/>
    </w:p>
    <w:p w14:paraId="16356EAA" w14:textId="77777777" w:rsidR="00B75CDC" w:rsidRPr="00CB2CB5" w:rsidRDefault="00B75CDC" w:rsidP="008759DE">
      <w:pPr>
        <w:spacing w:line="276" w:lineRule="auto"/>
      </w:pPr>
    </w:p>
    <w:p w14:paraId="1AE32DE0" w14:textId="6C24F2C9" w:rsidR="00DE2A0D" w:rsidRPr="00CB2CB5" w:rsidRDefault="002C4C06" w:rsidP="008759DE">
      <w:pPr>
        <w:keepNext/>
        <w:spacing w:line="276" w:lineRule="auto"/>
        <w:jc w:val="center"/>
      </w:pPr>
      <w:r>
        <w:rPr>
          <w:noProof/>
        </w:rPr>
        <w:lastRenderedPageBreak/>
        <w:drawing>
          <wp:inline distT="0" distB="0" distL="0" distR="0" wp14:anchorId="7D0EEBA6" wp14:editId="05B0D696">
            <wp:extent cx="5943600" cy="37877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787775"/>
                    </a:xfrm>
                    <a:prstGeom prst="rect">
                      <a:avLst/>
                    </a:prstGeom>
                  </pic:spPr>
                </pic:pic>
              </a:graphicData>
            </a:graphic>
          </wp:inline>
        </w:drawing>
      </w:r>
    </w:p>
    <w:p w14:paraId="1863B41B" w14:textId="77777777" w:rsidR="00886EB1" w:rsidRPr="00CB2CB5" w:rsidRDefault="00DE2A0D" w:rsidP="008759DE">
      <w:pPr>
        <w:pStyle w:val="Caption"/>
        <w:spacing w:line="276" w:lineRule="auto"/>
        <w:jc w:val="center"/>
        <w:rPr>
          <w:b w:val="0"/>
        </w:rPr>
      </w:pPr>
      <w:bookmarkStart w:id="43" w:name="_Toc524604251"/>
      <w:r w:rsidRPr="00CB2CB5">
        <w:t xml:space="preserve">Figure </w:t>
      </w:r>
      <w:r w:rsidR="00AD06CC" w:rsidRPr="00CB2CB5">
        <w:rPr>
          <w:noProof/>
        </w:rPr>
        <w:fldChar w:fldCharType="begin"/>
      </w:r>
      <w:r w:rsidR="00AD06CC" w:rsidRPr="00CB2CB5">
        <w:rPr>
          <w:noProof/>
        </w:rPr>
        <w:instrText xml:space="preserve"> SEQ Figure \* ARABIC </w:instrText>
      </w:r>
      <w:r w:rsidR="00AD06CC" w:rsidRPr="00CB2CB5">
        <w:rPr>
          <w:noProof/>
        </w:rPr>
        <w:fldChar w:fldCharType="separate"/>
      </w:r>
      <w:r w:rsidR="00FD552A" w:rsidRPr="00CB2CB5">
        <w:rPr>
          <w:noProof/>
        </w:rPr>
        <w:t>4</w:t>
      </w:r>
      <w:r w:rsidR="00AD06CC" w:rsidRPr="00CB2CB5">
        <w:rPr>
          <w:noProof/>
        </w:rPr>
        <w:fldChar w:fldCharType="end"/>
      </w:r>
      <w:r w:rsidRPr="00CB2CB5">
        <w:t xml:space="preserve"> </w:t>
      </w:r>
      <w:r w:rsidR="00210A84" w:rsidRPr="00CB2CB5">
        <w:t>–</w:t>
      </w:r>
      <w:r w:rsidRPr="00CB2CB5">
        <w:t xml:space="preserve"> Native System Peak Demand Forecast Scenario Comparison</w:t>
      </w:r>
      <w:bookmarkEnd w:id="43"/>
    </w:p>
    <w:p w14:paraId="44013F75" w14:textId="77777777" w:rsidR="00B75CDC" w:rsidRPr="00CB2CB5" w:rsidRDefault="00B75CDC" w:rsidP="008759DE">
      <w:pPr>
        <w:spacing w:line="276" w:lineRule="auto"/>
        <w:ind w:left="540"/>
      </w:pPr>
    </w:p>
    <w:p w14:paraId="7EEC4890" w14:textId="77777777" w:rsidR="00886EB1" w:rsidRPr="00CB2CB5" w:rsidRDefault="00886EB1" w:rsidP="008759DE">
      <w:pPr>
        <w:spacing w:line="276" w:lineRule="auto"/>
        <w:ind w:left="540"/>
      </w:pPr>
      <w:r w:rsidRPr="00CB2CB5">
        <w:t xml:space="preserve">From Figures </w:t>
      </w:r>
      <w:r w:rsidR="006D3F7E" w:rsidRPr="00CB2CB5">
        <w:t>3</w:t>
      </w:r>
      <w:r w:rsidRPr="00CB2CB5">
        <w:t xml:space="preserve"> and </w:t>
      </w:r>
      <w:r w:rsidR="006D3F7E" w:rsidRPr="00CB2CB5">
        <w:t>4</w:t>
      </w:r>
      <w:r w:rsidRPr="00CB2CB5">
        <w:t xml:space="preserve"> above, one can see that the extreme weather upper and lower bands (Upper</w:t>
      </w:r>
      <w:r w:rsidR="00FE752E" w:rsidRPr="00CB2CB5">
        <w:noBreakHyphen/>
      </w:r>
      <w:r w:rsidRPr="00CB2CB5">
        <w:t xml:space="preserve">10 </w:t>
      </w:r>
      <w:proofErr w:type="spellStart"/>
      <w:r w:rsidRPr="00CB2CB5">
        <w:t>YR</w:t>
      </w:r>
      <w:proofErr w:type="spellEnd"/>
      <w:r w:rsidRPr="00CB2CB5">
        <w:t xml:space="preserve"> and Lower-10 </w:t>
      </w:r>
      <w:proofErr w:type="spellStart"/>
      <w:r w:rsidRPr="00CB2CB5">
        <w:t>YR</w:t>
      </w:r>
      <w:proofErr w:type="spellEnd"/>
      <w:r w:rsidRPr="00CB2CB5">
        <w:t xml:space="preserve">) are narrower than that of the confidence interval bands (Upper-CI and Lower-CI). </w:t>
      </w:r>
      <w:r w:rsidR="00634BB8" w:rsidRPr="00CB2CB5">
        <w:t xml:space="preserve"> </w:t>
      </w:r>
      <w:r w:rsidRPr="00CB2CB5">
        <w:t>As mentioned previously, EPE constructed confidence intervals with a high confidence level to capture more uncertainty in future periods. The increased uncertainty helps capture possible future changes to electricity consumption in addition to extreme weather, such as: changes in rate structures, economy, demography and taste and preferences.</w:t>
      </w:r>
    </w:p>
    <w:p w14:paraId="49A8AD14" w14:textId="77777777" w:rsidR="00B75CDC" w:rsidRPr="00CB2CB5" w:rsidRDefault="00B75CDC" w:rsidP="008759DE">
      <w:pPr>
        <w:spacing w:line="276" w:lineRule="auto"/>
        <w:ind w:left="540"/>
      </w:pPr>
    </w:p>
    <w:p w14:paraId="6704C057" w14:textId="61B8B3ED" w:rsidR="00886EB1" w:rsidRPr="00CB2CB5" w:rsidRDefault="00886EB1" w:rsidP="008759DE">
      <w:pPr>
        <w:spacing w:line="276" w:lineRule="auto"/>
        <w:ind w:left="540"/>
      </w:pPr>
      <w:r w:rsidRPr="00691544">
        <w:t>EPE</w:t>
      </w:r>
      <w:r w:rsidR="00B81EE4" w:rsidRPr="00691544">
        <w:t>'</w:t>
      </w:r>
      <w:r w:rsidRPr="00691544">
        <w:t xml:space="preserve">s expected forecast predicts 10- and 20-year CAGR of </w:t>
      </w:r>
      <w:r w:rsidR="00590967">
        <w:t>1.1</w:t>
      </w:r>
      <w:r w:rsidRPr="00691544">
        <w:t xml:space="preserve">% and </w:t>
      </w:r>
      <w:r w:rsidR="00590967">
        <w:t>1.5</w:t>
      </w:r>
      <w:r w:rsidRPr="00691544">
        <w:t xml:space="preserve">% for native system energy, respectively. </w:t>
      </w:r>
      <w:r w:rsidR="00634BB8" w:rsidRPr="00691544">
        <w:t xml:space="preserve"> </w:t>
      </w:r>
      <w:r w:rsidRPr="00691544">
        <w:t>The expected forecast also predicts 10- and 20</w:t>
      </w:r>
      <w:r w:rsidR="006149DB" w:rsidRPr="00691544">
        <w:noBreakHyphen/>
      </w:r>
      <w:r w:rsidRPr="00691544">
        <w:t xml:space="preserve">year CAGR of </w:t>
      </w:r>
      <w:r w:rsidR="00590967">
        <w:t>0.9</w:t>
      </w:r>
      <w:r w:rsidRPr="00691544">
        <w:t xml:space="preserve">% and </w:t>
      </w:r>
      <w:r w:rsidR="00590967">
        <w:t>1.7</w:t>
      </w:r>
      <w:r w:rsidRPr="00691544">
        <w:t>%, respectively, for native system peak demand. The upper forecast scenario predicts 10</w:t>
      </w:r>
      <w:r w:rsidR="006149DB" w:rsidRPr="00691544">
        <w:noBreakHyphen/>
      </w:r>
      <w:r w:rsidRPr="00691544">
        <w:t xml:space="preserve"> and 20</w:t>
      </w:r>
      <w:r w:rsidR="006149DB" w:rsidRPr="00691544">
        <w:noBreakHyphen/>
      </w:r>
      <w:r w:rsidRPr="00691544">
        <w:t xml:space="preserve">year CAGR of </w:t>
      </w:r>
      <w:r w:rsidR="002C4C06">
        <w:t>1.4</w:t>
      </w:r>
      <w:r w:rsidRPr="00691544">
        <w:t xml:space="preserve">% and </w:t>
      </w:r>
      <w:r w:rsidR="002C4C06">
        <w:t>1.7</w:t>
      </w:r>
      <w:r w:rsidRPr="00691544">
        <w:t>% for native system energy, respectively. The upper forecast also predicts 10- and 20</w:t>
      </w:r>
      <w:r w:rsidR="006149DB" w:rsidRPr="00691544">
        <w:noBreakHyphen/>
      </w:r>
      <w:r w:rsidRPr="00691544">
        <w:t xml:space="preserve">year CAGR of </w:t>
      </w:r>
      <w:r w:rsidR="002C4C06">
        <w:t>1.4</w:t>
      </w:r>
      <w:r w:rsidRPr="00691544">
        <w:t xml:space="preserve">% and </w:t>
      </w:r>
      <w:r w:rsidR="002C4C06">
        <w:t>1.9</w:t>
      </w:r>
      <w:r w:rsidRPr="00691544">
        <w:t>%, respectively, for native system peak demand.  The lower forecast scenario predicts 10</w:t>
      </w:r>
      <w:r w:rsidR="006149DB" w:rsidRPr="00691544">
        <w:noBreakHyphen/>
      </w:r>
      <w:r w:rsidRPr="00691544">
        <w:t xml:space="preserve"> and 20</w:t>
      </w:r>
      <w:r w:rsidR="006149DB" w:rsidRPr="00691544">
        <w:noBreakHyphen/>
      </w:r>
      <w:r w:rsidRPr="00691544">
        <w:t xml:space="preserve">year CAGR of 0.8% and </w:t>
      </w:r>
      <w:r w:rsidR="002C4C06">
        <w:t>1.4</w:t>
      </w:r>
      <w:r w:rsidRPr="00691544">
        <w:t xml:space="preserve">% for native system energy, respectively. </w:t>
      </w:r>
      <w:r w:rsidR="00634BB8" w:rsidRPr="00691544">
        <w:t xml:space="preserve"> </w:t>
      </w:r>
      <w:r w:rsidRPr="00691544">
        <w:t>The lower forecast scenario predicts 10</w:t>
      </w:r>
      <w:r w:rsidR="006149DB" w:rsidRPr="00691544">
        <w:noBreakHyphen/>
      </w:r>
      <w:r w:rsidRPr="00691544">
        <w:t xml:space="preserve"> and 20</w:t>
      </w:r>
      <w:r w:rsidR="00B75CDC" w:rsidRPr="00691544">
        <w:noBreakHyphen/>
      </w:r>
      <w:r w:rsidRPr="00691544">
        <w:t xml:space="preserve">year CAGR </w:t>
      </w:r>
      <w:r w:rsidR="002C4C06">
        <w:t>0.3</w:t>
      </w:r>
      <w:r w:rsidRPr="00691544">
        <w:t xml:space="preserve">% and </w:t>
      </w:r>
      <w:r w:rsidR="002C4C06">
        <w:t>1.4</w:t>
      </w:r>
      <w:r w:rsidRPr="00691544">
        <w:t>%, respectively, for native system peak demand.</w:t>
      </w:r>
      <w:r w:rsidRPr="00CB2CB5">
        <w:t xml:space="preserve"> </w:t>
      </w:r>
    </w:p>
    <w:p w14:paraId="3C53AEE9" w14:textId="2C3FB23E" w:rsidR="00B75CDC" w:rsidRDefault="00B75CDC" w:rsidP="008759DE">
      <w:pPr>
        <w:spacing w:line="276" w:lineRule="auto"/>
        <w:ind w:left="540"/>
      </w:pPr>
    </w:p>
    <w:p w14:paraId="22A5B2A4" w14:textId="77777777" w:rsidR="008A5446" w:rsidRPr="00CB2CB5" w:rsidRDefault="008A5446" w:rsidP="008759DE">
      <w:pPr>
        <w:spacing w:line="276" w:lineRule="auto"/>
        <w:ind w:left="540"/>
      </w:pPr>
    </w:p>
    <w:p w14:paraId="7169EA4C" w14:textId="77777777" w:rsidR="00886EB1" w:rsidRPr="00CB2CB5" w:rsidRDefault="00886EB1" w:rsidP="008759DE">
      <w:pPr>
        <w:pStyle w:val="Heading2"/>
        <w:numPr>
          <w:ilvl w:val="0"/>
          <w:numId w:val="27"/>
        </w:numPr>
        <w:spacing w:line="276" w:lineRule="auto"/>
        <w:ind w:left="1080" w:hanging="540"/>
        <w:rPr>
          <w:rFonts w:eastAsia="Times New Roman"/>
        </w:rPr>
      </w:pPr>
      <w:bookmarkStart w:id="44" w:name="_Toc534190317"/>
      <w:r w:rsidRPr="00CB2CB5">
        <w:rPr>
          <w:rFonts w:eastAsia="Times New Roman"/>
        </w:rPr>
        <w:lastRenderedPageBreak/>
        <w:t>Historical Forecast Accuracy and Comparison</w:t>
      </w:r>
      <w:bookmarkEnd w:id="44"/>
      <w:r w:rsidRPr="00CB2CB5">
        <w:rPr>
          <w:rFonts w:eastAsia="Times New Roman"/>
        </w:rPr>
        <w:t xml:space="preserve"> </w:t>
      </w:r>
    </w:p>
    <w:p w14:paraId="074E54A8" w14:textId="77777777" w:rsidR="00B75CDC" w:rsidRPr="00CB2CB5" w:rsidRDefault="00B75CDC" w:rsidP="008759DE">
      <w:pPr>
        <w:spacing w:line="276" w:lineRule="auto"/>
        <w:ind w:left="540"/>
      </w:pPr>
    </w:p>
    <w:p w14:paraId="63126BFF" w14:textId="69BAAD17" w:rsidR="00886EB1" w:rsidRPr="00CB2CB5" w:rsidRDefault="006D3F7E" w:rsidP="008759DE">
      <w:pPr>
        <w:spacing w:line="276" w:lineRule="auto"/>
        <w:ind w:left="540"/>
        <w:rPr>
          <w:rFonts w:eastAsia="Times New Roman"/>
          <w:b/>
        </w:rPr>
      </w:pPr>
      <w:r w:rsidRPr="00CB2CB5">
        <w:t xml:space="preserve">Tables </w:t>
      </w:r>
      <w:r w:rsidR="00D53E41">
        <w:t>7</w:t>
      </w:r>
      <w:r w:rsidR="00D53E41" w:rsidRPr="00CB2CB5">
        <w:t xml:space="preserve"> </w:t>
      </w:r>
      <w:r w:rsidRPr="00CB2CB5">
        <w:t xml:space="preserve">and </w:t>
      </w:r>
      <w:r w:rsidR="00D53E41">
        <w:t>8</w:t>
      </w:r>
      <w:r w:rsidR="00D53E41" w:rsidRPr="00CB2CB5">
        <w:t xml:space="preserve"> </w:t>
      </w:r>
      <w:r w:rsidR="00886EB1" w:rsidRPr="00CB2CB5">
        <w:t xml:space="preserve">below contain the annual forecast of energy sales and system peak demand made by EPE to the actual energy sales and system peak demand experienced by EPE for the </w:t>
      </w:r>
      <w:r w:rsidR="007C34AF">
        <w:t>five</w:t>
      </w:r>
      <w:r w:rsidR="00886EB1" w:rsidRPr="00CB2CB5">
        <w:t xml:space="preserve"> years preceding </w:t>
      </w:r>
      <w:r w:rsidR="007C34AF">
        <w:t>2021</w:t>
      </w:r>
      <w:r w:rsidR="00886EB1" w:rsidRPr="00CB2CB5">
        <w:t>, (201</w:t>
      </w:r>
      <w:r w:rsidR="007C34AF">
        <w:t>5</w:t>
      </w:r>
      <w:r w:rsidR="00886EB1" w:rsidRPr="00CB2CB5">
        <w:t>-20</w:t>
      </w:r>
      <w:r w:rsidR="007C34AF">
        <w:t>20</w:t>
      </w:r>
      <w:r w:rsidR="00886EB1" w:rsidRPr="00CB2CB5">
        <w:t xml:space="preserve">). </w:t>
      </w:r>
      <w:r w:rsidR="00634BB8" w:rsidRPr="00CB2CB5">
        <w:t xml:space="preserve"> </w:t>
      </w:r>
      <w:r w:rsidR="00886EB1" w:rsidRPr="00CB2CB5">
        <w:t xml:space="preserve">Please note that the energy data in </w:t>
      </w:r>
      <w:r w:rsidRPr="00CB2CB5">
        <w:t xml:space="preserve">Table </w:t>
      </w:r>
      <w:r w:rsidR="00D53E41">
        <w:t>7</w:t>
      </w:r>
      <w:r w:rsidR="00D53E41" w:rsidRPr="00CB2CB5">
        <w:t xml:space="preserve"> </w:t>
      </w:r>
      <w:r w:rsidR="00886EB1" w:rsidRPr="00CB2CB5">
        <w:t xml:space="preserve">is total energy sales, which is composed of energy sales </w:t>
      </w:r>
      <w:r w:rsidR="00EB31CB" w:rsidRPr="00CB2CB5">
        <w:t>"</w:t>
      </w:r>
      <w:r w:rsidR="00886EB1" w:rsidRPr="00CB2CB5">
        <w:t>at meter</w:t>
      </w:r>
      <w:r w:rsidR="00EB31CB" w:rsidRPr="00CB2CB5">
        <w:t>"</w:t>
      </w:r>
      <w:r w:rsidR="00886EB1" w:rsidRPr="00CB2CB5">
        <w:t xml:space="preserve"> for both retail and wholesale customers. </w:t>
      </w:r>
    </w:p>
    <w:p w14:paraId="54C613F7" w14:textId="77777777" w:rsidR="00886EB1" w:rsidRPr="00CB2CB5" w:rsidRDefault="00886EB1" w:rsidP="008759DE">
      <w:pPr>
        <w:spacing w:line="276" w:lineRule="auto"/>
        <w:ind w:left="540"/>
        <w:rPr>
          <w:b/>
        </w:rPr>
      </w:pPr>
    </w:p>
    <w:p w14:paraId="4DF8CE03" w14:textId="3334B16B" w:rsidR="00FE3240" w:rsidRDefault="006A735B" w:rsidP="008759DE">
      <w:pPr>
        <w:pStyle w:val="Caption"/>
        <w:spacing w:line="276" w:lineRule="auto"/>
        <w:jc w:val="center"/>
      </w:pPr>
      <w:bookmarkStart w:id="45" w:name="_Toc534193086"/>
      <w:r w:rsidRPr="00CB2CB5">
        <w:t xml:space="preserve">Table </w:t>
      </w:r>
      <w:r w:rsidR="00492606">
        <w:rPr>
          <w:noProof/>
        </w:rPr>
        <w:t>7</w:t>
      </w:r>
      <w:r w:rsidRPr="00CB2CB5">
        <w:t xml:space="preserve"> - Total Sales (MWh) Historical Forecast Accuracy</w:t>
      </w:r>
      <w:bookmarkEnd w:id="45"/>
    </w:p>
    <w:p w14:paraId="69F2FB1E" w14:textId="78BD4518" w:rsidR="007C34AF" w:rsidRPr="007C34AF" w:rsidRDefault="007C34AF" w:rsidP="00151C39">
      <w:pPr>
        <w:jc w:val="center"/>
      </w:pPr>
      <w:r>
        <w:rPr>
          <w:noProof/>
        </w:rPr>
        <w:drawing>
          <wp:inline distT="0" distB="0" distL="0" distR="0" wp14:anchorId="71556478" wp14:editId="29A05C16">
            <wp:extent cx="5819140" cy="2770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0976" cy="2776019"/>
                    </a:xfrm>
                    <a:prstGeom prst="rect">
                      <a:avLst/>
                    </a:prstGeom>
                    <a:noFill/>
                  </pic:spPr>
                </pic:pic>
              </a:graphicData>
            </a:graphic>
          </wp:inline>
        </w:drawing>
      </w:r>
    </w:p>
    <w:p w14:paraId="5D04166A" w14:textId="7479115D" w:rsidR="00886EB1" w:rsidRPr="00CB2CB5" w:rsidRDefault="00886EB1" w:rsidP="008759DE">
      <w:pPr>
        <w:spacing w:line="276" w:lineRule="auto"/>
        <w:ind w:left="540"/>
        <w:jc w:val="center"/>
      </w:pPr>
    </w:p>
    <w:p w14:paraId="0C9621E3" w14:textId="7238B26E" w:rsidR="00FE3240" w:rsidRDefault="006A735B" w:rsidP="008759DE">
      <w:pPr>
        <w:pStyle w:val="Caption"/>
        <w:spacing w:line="276" w:lineRule="auto"/>
        <w:jc w:val="center"/>
      </w:pPr>
      <w:bookmarkStart w:id="46" w:name="_Toc534193087"/>
      <w:r w:rsidRPr="00CB2CB5">
        <w:t xml:space="preserve">Table </w:t>
      </w:r>
      <w:r w:rsidR="00492606">
        <w:rPr>
          <w:noProof/>
        </w:rPr>
        <w:t>8</w:t>
      </w:r>
      <w:r w:rsidRPr="00CB2CB5">
        <w:t xml:space="preserve"> - Native System Demand (MW) Historical Forecast Accuracy</w:t>
      </w:r>
      <w:bookmarkEnd w:id="46"/>
    </w:p>
    <w:p w14:paraId="6845B7B7" w14:textId="02632D37" w:rsidR="00676F49" w:rsidRDefault="00676F49" w:rsidP="00151C39">
      <w:pPr>
        <w:spacing w:line="240" w:lineRule="auto"/>
        <w:jc w:val="center"/>
      </w:pPr>
      <w:r>
        <w:rPr>
          <w:noProof/>
        </w:rPr>
        <w:drawing>
          <wp:inline distT="0" distB="0" distL="0" distR="0" wp14:anchorId="6497815C" wp14:editId="366440F8">
            <wp:extent cx="5867400" cy="2815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67400" cy="2815590"/>
                    </a:xfrm>
                    <a:prstGeom prst="rect">
                      <a:avLst/>
                    </a:prstGeom>
                  </pic:spPr>
                </pic:pic>
              </a:graphicData>
            </a:graphic>
          </wp:inline>
        </w:drawing>
      </w:r>
    </w:p>
    <w:p w14:paraId="022A749F" w14:textId="02F5DAE5" w:rsidR="007C34AF" w:rsidRPr="007C34AF" w:rsidRDefault="00676F49" w:rsidP="00AB4CBF">
      <w:pPr>
        <w:spacing w:line="240" w:lineRule="auto"/>
      </w:pPr>
      <w:r>
        <w:lastRenderedPageBreak/>
        <w:t xml:space="preserve">Note: </w:t>
      </w:r>
      <w:r w:rsidR="00590967">
        <w:t>The difference between the forecasted native system peak for 2020 and the actual 2020 native system peak are d</w:t>
      </w:r>
      <w:r w:rsidR="000C79FA">
        <w:t xml:space="preserve">ue to changes in consumption pattern as a result of COVID-19 and extreme summer weather, </w:t>
      </w:r>
      <w:r w:rsidR="00590967">
        <w:t>which led to a record native system demand growth of</w:t>
      </w:r>
      <w:r w:rsidR="009A08AA">
        <w:t xml:space="preserve"> </w:t>
      </w:r>
      <w:r w:rsidR="000C79FA">
        <w:t xml:space="preserve">188 MW. </w:t>
      </w:r>
    </w:p>
    <w:p w14:paraId="3FF0F5E9" w14:textId="77777777" w:rsidR="00B75CDC" w:rsidRPr="00CB2CB5" w:rsidRDefault="00B75CDC" w:rsidP="008759DE">
      <w:pPr>
        <w:spacing w:line="276" w:lineRule="auto"/>
        <w:ind w:left="540"/>
        <w:jc w:val="center"/>
      </w:pPr>
    </w:p>
    <w:p w14:paraId="7AACA293" w14:textId="33385D3D" w:rsidR="00A27CDD" w:rsidRDefault="00886EB1" w:rsidP="00AB4CBF">
      <w:pPr>
        <w:spacing w:line="240" w:lineRule="auto"/>
      </w:pPr>
      <w:r w:rsidRPr="00CB2CB5">
        <w:t>Table</w:t>
      </w:r>
      <w:r w:rsidR="00B75CDC" w:rsidRPr="00CB2CB5">
        <w:t> </w:t>
      </w:r>
      <w:r w:rsidR="00D53E41">
        <w:t>9</w:t>
      </w:r>
      <w:r w:rsidR="00D53E41" w:rsidRPr="00CB2CB5">
        <w:t xml:space="preserve"> </w:t>
      </w:r>
      <w:r w:rsidRPr="00CB2CB5">
        <w:t>below contains a comparison of the annual forecast of energy sales and system peak demand in EPE</w:t>
      </w:r>
      <w:r w:rsidR="00B81EE4" w:rsidRPr="00CB2CB5">
        <w:t>'</w:t>
      </w:r>
      <w:r w:rsidRPr="00CB2CB5">
        <w:t>s most recently filed resource plan (</w:t>
      </w:r>
      <w:r w:rsidR="007C34AF">
        <w:t>2018</w:t>
      </w:r>
      <w:r w:rsidRPr="00CB2CB5">
        <w:t>) to the annual forecasts in the current resource plan (</w:t>
      </w:r>
      <w:r w:rsidR="007C34AF">
        <w:t>2021</w:t>
      </w:r>
      <w:r w:rsidRPr="00CB2CB5">
        <w:t>).</w:t>
      </w:r>
    </w:p>
    <w:p w14:paraId="7F8B7E43" w14:textId="77777777" w:rsidR="007C34AF" w:rsidRDefault="007C34AF" w:rsidP="00E45D57">
      <w:pPr>
        <w:pStyle w:val="Caption"/>
        <w:spacing w:line="276" w:lineRule="auto"/>
        <w:jc w:val="center"/>
      </w:pPr>
      <w:bookmarkStart w:id="47" w:name="_Toc534193088"/>
    </w:p>
    <w:p w14:paraId="1D53FAE8" w14:textId="29843498" w:rsidR="00886EB1" w:rsidRDefault="006A735B" w:rsidP="00E45D57">
      <w:pPr>
        <w:pStyle w:val="Caption"/>
        <w:spacing w:line="276" w:lineRule="auto"/>
        <w:jc w:val="center"/>
      </w:pPr>
      <w:r w:rsidRPr="00CB2CB5">
        <w:t xml:space="preserve">Table </w:t>
      </w:r>
      <w:r w:rsidR="00492606">
        <w:rPr>
          <w:noProof/>
        </w:rPr>
        <w:t>9</w:t>
      </w:r>
      <w:r w:rsidRPr="00CB2CB5">
        <w:t xml:space="preserve"> - Annual Forecast Energy Sales Versus Peak Demand</w:t>
      </w:r>
      <w:bookmarkEnd w:id="47"/>
    </w:p>
    <w:p w14:paraId="28D1BEA2" w14:textId="5D085D1F" w:rsidR="007C34AF" w:rsidRPr="007C34AF" w:rsidRDefault="00407B4C" w:rsidP="007C34AF">
      <w:r>
        <w:rPr>
          <w:noProof/>
        </w:rPr>
        <w:drawing>
          <wp:anchor distT="0" distB="0" distL="114300" distR="114300" simplePos="0" relativeHeight="251676672" behindDoc="1" locked="0" layoutInCell="1" allowOverlap="1" wp14:anchorId="37846C7C" wp14:editId="6C657AC0">
            <wp:simplePos x="0" y="0"/>
            <wp:positionH relativeFrom="column">
              <wp:posOffset>-241300</wp:posOffset>
            </wp:positionH>
            <wp:positionV relativeFrom="paragraph">
              <wp:posOffset>0</wp:posOffset>
            </wp:positionV>
            <wp:extent cx="2895600" cy="4886325"/>
            <wp:effectExtent l="0" t="0" r="0" b="9525"/>
            <wp:wrapTight wrapText="bothSides">
              <wp:wrapPolygon edited="0">
                <wp:start x="0" y="0"/>
                <wp:lineTo x="0" y="21558"/>
                <wp:lineTo x="21458" y="21558"/>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95600" cy="4886325"/>
                    </a:xfrm>
                    <a:prstGeom prst="rect">
                      <a:avLst/>
                    </a:prstGeom>
                  </pic:spPr>
                </pic:pic>
              </a:graphicData>
            </a:graphic>
            <wp14:sizeRelH relativeFrom="page">
              <wp14:pctWidth>0</wp14:pctWidth>
            </wp14:sizeRelH>
            <wp14:sizeRelV relativeFrom="page">
              <wp14:pctHeight>0</wp14:pctHeight>
            </wp14:sizeRelV>
          </wp:anchor>
        </w:drawing>
      </w:r>
      <w:r w:rsidR="007C34AF">
        <w:rPr>
          <w:noProof/>
        </w:rPr>
        <w:drawing>
          <wp:inline distT="0" distB="0" distL="0" distR="0" wp14:anchorId="598C313E" wp14:editId="41CA23FF">
            <wp:extent cx="2840990" cy="4810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0990" cy="4810125"/>
                    </a:xfrm>
                    <a:prstGeom prst="rect">
                      <a:avLst/>
                    </a:prstGeom>
                    <a:noFill/>
                  </pic:spPr>
                </pic:pic>
              </a:graphicData>
            </a:graphic>
          </wp:inline>
        </w:drawing>
      </w:r>
    </w:p>
    <w:p w14:paraId="39CD5A3E" w14:textId="77777777" w:rsidR="003C0EF8" w:rsidRPr="00CB2CB5" w:rsidRDefault="003C0EF8" w:rsidP="008759DE">
      <w:pPr>
        <w:spacing w:line="276" w:lineRule="auto"/>
        <w:rPr>
          <w:rFonts w:eastAsia="Times New Roman"/>
        </w:rPr>
      </w:pPr>
    </w:p>
    <w:p w14:paraId="160BCCB3" w14:textId="77777777" w:rsidR="003C0EF8" w:rsidRPr="00CB2CB5" w:rsidRDefault="004506CB" w:rsidP="008759DE">
      <w:pPr>
        <w:pStyle w:val="Heading1"/>
        <w:keepNext/>
        <w:keepLines/>
        <w:widowControl/>
        <w:numPr>
          <w:ilvl w:val="0"/>
          <w:numId w:val="23"/>
        </w:numPr>
        <w:tabs>
          <w:tab w:val="left" w:pos="540"/>
        </w:tabs>
        <w:autoSpaceDE/>
        <w:autoSpaceDN/>
        <w:spacing w:before="0" w:line="276" w:lineRule="auto"/>
        <w:ind w:left="0" w:firstLine="0"/>
      </w:pPr>
      <w:bookmarkStart w:id="48" w:name="_Toc534190318"/>
      <w:r w:rsidRPr="00CB2CB5">
        <w:t>LOAD AND RESOURCES TABLE</w:t>
      </w:r>
      <w:bookmarkEnd w:id="48"/>
    </w:p>
    <w:p w14:paraId="5DB8B023" w14:textId="77777777" w:rsidR="003C0EF8" w:rsidRPr="00CB2CB5" w:rsidRDefault="003C0EF8" w:rsidP="008759DE">
      <w:pPr>
        <w:pStyle w:val="ListParagraph"/>
        <w:spacing w:after="0" w:line="276" w:lineRule="auto"/>
        <w:ind w:left="0"/>
        <w:rPr>
          <w:rFonts w:ascii="Times New Roman" w:eastAsia="Times New Roman" w:hAnsi="Times New Roman"/>
          <w:b/>
          <w:sz w:val="24"/>
        </w:rPr>
      </w:pPr>
    </w:p>
    <w:p w14:paraId="114A2900" w14:textId="145DC368" w:rsidR="00205EA5" w:rsidRPr="00CB2CB5" w:rsidRDefault="0090309F" w:rsidP="00205EA5">
      <w:pPr>
        <w:spacing w:line="276" w:lineRule="auto"/>
        <w:rPr>
          <w:rFonts w:eastAsia="Times New Roman"/>
        </w:rPr>
      </w:pPr>
      <w:r w:rsidRPr="00CB2CB5">
        <w:rPr>
          <w:rFonts w:eastAsia="Times New Roman"/>
        </w:rPr>
        <w:t xml:space="preserve">The </w:t>
      </w:r>
      <w:proofErr w:type="spellStart"/>
      <w:r w:rsidRPr="00CB2CB5">
        <w:rPr>
          <w:rFonts w:eastAsia="Times New Roman"/>
        </w:rPr>
        <w:t>L&amp;R</w:t>
      </w:r>
      <w:proofErr w:type="spellEnd"/>
      <w:r w:rsidRPr="00CB2CB5">
        <w:rPr>
          <w:rFonts w:eastAsia="Times New Roman"/>
        </w:rPr>
        <w:t xml:space="preserve"> illustrates the balance of EPE</w:t>
      </w:r>
      <w:r w:rsidR="00B81EE4" w:rsidRPr="00CB2CB5">
        <w:rPr>
          <w:rFonts w:eastAsia="Times New Roman"/>
        </w:rPr>
        <w:t>'</w:t>
      </w:r>
      <w:r w:rsidRPr="00CB2CB5">
        <w:rPr>
          <w:rFonts w:eastAsia="Times New Roman"/>
        </w:rPr>
        <w:t>s available resources versus the annual forecasted loads.  EPE</w:t>
      </w:r>
      <w:r w:rsidR="00B81EE4" w:rsidRPr="00CB2CB5">
        <w:rPr>
          <w:rFonts w:eastAsia="Times New Roman"/>
        </w:rPr>
        <w:t>'</w:t>
      </w:r>
      <w:r w:rsidRPr="00CB2CB5">
        <w:rPr>
          <w:rFonts w:eastAsia="Times New Roman"/>
        </w:rPr>
        <w:t xml:space="preserve">s long-term future resource needs are driven by unit retirement </w:t>
      </w:r>
      <w:r w:rsidR="00282AD7" w:rsidRPr="00CB2CB5">
        <w:rPr>
          <w:rFonts w:eastAsia="Times New Roman"/>
        </w:rPr>
        <w:t>and</w:t>
      </w:r>
      <w:r w:rsidRPr="00CB2CB5">
        <w:rPr>
          <w:rFonts w:eastAsia="Times New Roman"/>
        </w:rPr>
        <w:t xml:space="preserve"> system load growth.  Forecasted loads are based on the </w:t>
      </w:r>
      <w:r w:rsidR="00AB4CBF" w:rsidRPr="00CB2CB5">
        <w:rPr>
          <w:rFonts w:eastAsia="Times New Roman"/>
        </w:rPr>
        <w:t>20</w:t>
      </w:r>
      <w:r w:rsidR="00AB4CBF">
        <w:rPr>
          <w:rFonts w:eastAsia="Times New Roman"/>
        </w:rPr>
        <w:t>21</w:t>
      </w:r>
      <w:r w:rsidR="00AB4CBF" w:rsidRPr="00CB2CB5">
        <w:rPr>
          <w:rFonts w:eastAsia="Times New Roman"/>
        </w:rPr>
        <w:t xml:space="preserve"> </w:t>
      </w:r>
      <w:r w:rsidRPr="00CB2CB5">
        <w:rPr>
          <w:rFonts w:eastAsia="Times New Roman"/>
        </w:rPr>
        <w:t xml:space="preserve">Load Forecast for the </w:t>
      </w:r>
      <w:proofErr w:type="spellStart"/>
      <w:r w:rsidRPr="00CB2CB5">
        <w:rPr>
          <w:rFonts w:eastAsia="Times New Roman"/>
        </w:rPr>
        <w:t>L&amp;R</w:t>
      </w:r>
      <w:proofErr w:type="spellEnd"/>
      <w:r w:rsidR="00510044">
        <w:rPr>
          <w:rFonts w:eastAsia="Times New Roman"/>
        </w:rPr>
        <w:t xml:space="preserve"> and is shown in Table </w:t>
      </w:r>
      <w:r w:rsidR="00B415AA">
        <w:rPr>
          <w:rFonts w:eastAsia="Times New Roman"/>
        </w:rPr>
        <w:t xml:space="preserve">10 </w:t>
      </w:r>
      <w:r w:rsidR="00510044">
        <w:rPr>
          <w:rFonts w:eastAsia="Times New Roman"/>
        </w:rPr>
        <w:t>below</w:t>
      </w:r>
      <w:r w:rsidR="00C64D2E">
        <w:rPr>
          <w:rFonts w:eastAsia="Times New Roman"/>
        </w:rPr>
        <w:t xml:space="preserve">. </w:t>
      </w:r>
    </w:p>
    <w:p w14:paraId="6513A942" w14:textId="77777777" w:rsidR="00174E8B" w:rsidRPr="00CB2CB5" w:rsidRDefault="00174E8B" w:rsidP="008759DE">
      <w:pPr>
        <w:spacing w:line="276" w:lineRule="auto"/>
        <w:rPr>
          <w:rFonts w:eastAsia="Times New Roman"/>
        </w:rPr>
      </w:pPr>
      <w:r w:rsidRPr="00CB2CB5">
        <w:rPr>
          <w:rFonts w:eastAsia="Times New Roman"/>
        </w:rPr>
        <w:br w:type="page"/>
      </w:r>
    </w:p>
    <w:p w14:paraId="3E513506" w14:textId="59C47694" w:rsidR="006A735B" w:rsidRPr="00CB2CB5" w:rsidRDefault="006A735B" w:rsidP="008759DE">
      <w:pPr>
        <w:pStyle w:val="Caption"/>
        <w:spacing w:line="276" w:lineRule="auto"/>
        <w:jc w:val="center"/>
      </w:pPr>
      <w:bookmarkStart w:id="49" w:name="_Toc534193089"/>
      <w:r w:rsidRPr="00CB2CB5">
        <w:lastRenderedPageBreak/>
        <w:t xml:space="preserve">Table </w:t>
      </w:r>
      <w:r w:rsidR="00492606">
        <w:rPr>
          <w:noProof/>
        </w:rPr>
        <w:t>10</w:t>
      </w:r>
      <w:r w:rsidRPr="00CB2CB5">
        <w:t xml:space="preserve"> - Initial </w:t>
      </w:r>
      <w:proofErr w:type="spellStart"/>
      <w:r w:rsidRPr="00CB2CB5">
        <w:t>L&amp;R</w:t>
      </w:r>
      <w:bookmarkEnd w:id="49"/>
      <w:proofErr w:type="spellEnd"/>
    </w:p>
    <w:p w14:paraId="4C6BFE2C" w14:textId="2C308E2D" w:rsidR="006A735B" w:rsidRPr="00CB2CB5" w:rsidRDefault="00B82C0F" w:rsidP="008759DE">
      <w:pPr>
        <w:pStyle w:val="Caption"/>
        <w:spacing w:line="276" w:lineRule="auto"/>
      </w:pPr>
      <w:r w:rsidRPr="00B82C0F">
        <w:rPr>
          <w:noProof/>
        </w:rPr>
        <w:drawing>
          <wp:inline distT="0" distB="0" distL="0" distR="0" wp14:anchorId="214B0588" wp14:editId="6A19F08B">
            <wp:extent cx="7863205" cy="6382172"/>
            <wp:effectExtent l="0" t="2222" r="2222" b="222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868979" cy="6386858"/>
                    </a:xfrm>
                    <a:prstGeom prst="rect">
                      <a:avLst/>
                    </a:prstGeom>
                    <a:noFill/>
                    <a:ln>
                      <a:noFill/>
                    </a:ln>
                  </pic:spPr>
                </pic:pic>
              </a:graphicData>
            </a:graphic>
          </wp:inline>
        </w:drawing>
      </w:r>
    </w:p>
    <w:p w14:paraId="227E2E6E" w14:textId="77777777" w:rsidR="0090309F" w:rsidRPr="00CB2CB5" w:rsidRDefault="0090309F" w:rsidP="00210A84">
      <w:pPr>
        <w:pStyle w:val="ListParagraph"/>
        <w:spacing w:after="0" w:line="276" w:lineRule="auto"/>
        <w:ind w:left="0"/>
        <w:contextualSpacing w:val="0"/>
        <w:rPr>
          <w:rFonts w:ascii="Times New Roman" w:eastAsia="Times New Roman" w:hAnsi="Times New Roman"/>
          <w:sz w:val="24"/>
        </w:rPr>
      </w:pPr>
    </w:p>
    <w:p w14:paraId="5DC7E9B5" w14:textId="77777777" w:rsidR="003C0EF8" w:rsidRPr="00CB2CB5" w:rsidRDefault="004506CB" w:rsidP="00210A84">
      <w:pPr>
        <w:pStyle w:val="Heading1"/>
        <w:keepNext/>
        <w:keepLines/>
        <w:widowControl/>
        <w:numPr>
          <w:ilvl w:val="0"/>
          <w:numId w:val="23"/>
        </w:numPr>
        <w:tabs>
          <w:tab w:val="left" w:pos="540"/>
        </w:tabs>
        <w:autoSpaceDE/>
        <w:autoSpaceDN/>
        <w:spacing w:before="0" w:line="276" w:lineRule="auto"/>
        <w:ind w:left="540" w:hanging="540"/>
      </w:pPr>
      <w:bookmarkStart w:id="50" w:name="_Toc534190319"/>
      <w:r w:rsidRPr="00CB2CB5">
        <w:t>IDENTIFICATION OF RESOURCE OPTIONS (EXISTING CHARACTERISTICS AND INTERACTIONS)</w:t>
      </w:r>
      <w:bookmarkEnd w:id="50"/>
    </w:p>
    <w:p w14:paraId="595DA3FD" w14:textId="77777777" w:rsidR="000D30F0" w:rsidRPr="00CB2CB5" w:rsidRDefault="000D30F0" w:rsidP="008759DE">
      <w:pPr>
        <w:spacing w:line="276" w:lineRule="auto"/>
        <w:rPr>
          <w:rFonts w:eastAsia="Times New Roman"/>
        </w:rPr>
      </w:pPr>
    </w:p>
    <w:p w14:paraId="7868F593" w14:textId="77777777" w:rsidR="0090309F" w:rsidRPr="00CB2CB5" w:rsidRDefault="003C0EF8" w:rsidP="008759DE">
      <w:pPr>
        <w:pStyle w:val="Heading2"/>
        <w:numPr>
          <w:ilvl w:val="0"/>
          <w:numId w:val="29"/>
        </w:numPr>
        <w:spacing w:line="276" w:lineRule="auto"/>
        <w:ind w:left="1080" w:hanging="540"/>
        <w:rPr>
          <w:rFonts w:eastAsia="Times New Roman"/>
          <w:b w:val="0"/>
        </w:rPr>
      </w:pPr>
      <w:bookmarkStart w:id="51" w:name="_Toc534190320"/>
      <w:r w:rsidRPr="00CB2CB5">
        <w:rPr>
          <w:rFonts w:eastAsia="Times New Roman"/>
        </w:rPr>
        <w:t>Supply</w:t>
      </w:r>
      <w:r w:rsidRPr="00CB2CB5">
        <w:rPr>
          <w:rFonts w:eastAsia="Times New Roman"/>
          <w:b w:val="0"/>
        </w:rPr>
        <w:t xml:space="preserve"> </w:t>
      </w:r>
      <w:r w:rsidRPr="00CB2CB5">
        <w:rPr>
          <w:rFonts w:eastAsia="Times New Roman"/>
        </w:rPr>
        <w:t>Side Resources</w:t>
      </w:r>
      <w:bookmarkEnd w:id="51"/>
      <w:r w:rsidRPr="00CB2CB5">
        <w:rPr>
          <w:rFonts w:eastAsia="Times New Roman"/>
        </w:rPr>
        <w:t xml:space="preserve"> </w:t>
      </w:r>
    </w:p>
    <w:p w14:paraId="6DA21258" w14:textId="77777777" w:rsidR="000D30F0" w:rsidRPr="00CB2CB5" w:rsidRDefault="000D30F0" w:rsidP="008759DE">
      <w:pPr>
        <w:spacing w:line="276" w:lineRule="auto"/>
        <w:ind w:left="540"/>
        <w:rPr>
          <w:rFonts w:eastAsia="Times New Roman"/>
        </w:rPr>
      </w:pPr>
    </w:p>
    <w:p w14:paraId="07CCFC37" w14:textId="1595E6CF" w:rsidR="003A5ED4" w:rsidRPr="00CB2CB5" w:rsidRDefault="003A5ED4" w:rsidP="00E66F4D">
      <w:pPr>
        <w:spacing w:line="276" w:lineRule="auto"/>
        <w:ind w:left="540"/>
        <w:rPr>
          <w:rFonts w:eastAsia="Times New Roman"/>
        </w:rPr>
      </w:pPr>
      <w:r w:rsidRPr="00CB2CB5">
        <w:rPr>
          <w:rFonts w:eastAsia="Times New Roman"/>
        </w:rPr>
        <w:t xml:space="preserve">The Planning Process included a variety of resource options that are described within this section.  </w:t>
      </w:r>
      <w:r>
        <w:rPr>
          <w:rFonts w:eastAsia="Times New Roman"/>
        </w:rPr>
        <w:t>Supply side resources modeled in this 2021 IRP includes: Solar PV, Wind, Biomass, Geothermal, Battery, Combined Cycle and Gas Peaker.</w:t>
      </w:r>
      <w:r w:rsidRPr="00CB2CB5">
        <w:rPr>
          <w:rFonts w:eastAsia="Times New Roman"/>
        </w:rPr>
        <w:t xml:space="preserve"> </w:t>
      </w:r>
      <w:r>
        <w:rPr>
          <w:rFonts w:eastAsia="Times New Roman"/>
        </w:rPr>
        <w:t xml:space="preserve">Gas-fired combustion turbines are assumed to be Hydrogen fuel </w:t>
      </w:r>
      <w:r w:rsidR="00082035">
        <w:rPr>
          <w:rFonts w:eastAsia="Times New Roman"/>
        </w:rPr>
        <w:t>capable</w:t>
      </w:r>
      <w:r>
        <w:rPr>
          <w:rFonts w:eastAsia="Times New Roman"/>
        </w:rPr>
        <w:t xml:space="preserve">.  </w:t>
      </w:r>
      <w:r w:rsidRPr="00CB2CB5">
        <w:rPr>
          <w:rFonts w:eastAsia="Times New Roman"/>
        </w:rPr>
        <w:t>Given EPE's existing resource portfolio</w:t>
      </w:r>
      <w:r>
        <w:rPr>
          <w:rFonts w:eastAsia="Times New Roman"/>
        </w:rPr>
        <w:t xml:space="preserve"> and clean energy targets</w:t>
      </w:r>
      <w:r w:rsidRPr="00CB2CB5">
        <w:rPr>
          <w:rFonts w:eastAsia="Times New Roman"/>
        </w:rPr>
        <w:t xml:space="preserve">, </w:t>
      </w:r>
      <w:r>
        <w:rPr>
          <w:rFonts w:eastAsia="Times New Roman"/>
        </w:rPr>
        <w:t xml:space="preserve">no coal </w:t>
      </w:r>
      <w:r w:rsidRPr="00CB2CB5">
        <w:rPr>
          <w:rFonts w:eastAsia="Times New Roman"/>
        </w:rPr>
        <w:t xml:space="preserve">generation </w:t>
      </w:r>
      <w:r>
        <w:rPr>
          <w:rFonts w:eastAsia="Times New Roman"/>
        </w:rPr>
        <w:t>and/or new nuclear generation was modeled</w:t>
      </w:r>
      <w:r w:rsidRPr="00CB2CB5">
        <w:rPr>
          <w:rFonts w:eastAsia="Times New Roman"/>
        </w:rPr>
        <w:t>.    Additionally, given EPE's geographical location, hydro resources were also not considered</w:t>
      </w:r>
      <w:r>
        <w:rPr>
          <w:rFonts w:eastAsia="Times New Roman"/>
        </w:rPr>
        <w:t xml:space="preserve"> in this IRP.</w:t>
      </w:r>
      <w:r w:rsidRPr="00CB2CB5">
        <w:rPr>
          <w:rFonts w:eastAsia="Times New Roman"/>
        </w:rPr>
        <w:t xml:space="preserve">  </w:t>
      </w:r>
      <w:r>
        <w:rPr>
          <w:rFonts w:eastAsia="Times New Roman"/>
        </w:rPr>
        <w:t xml:space="preserve">The input assumptions for resource options are </w:t>
      </w:r>
      <w:r w:rsidR="00376C04">
        <w:rPr>
          <w:rFonts w:eastAsia="Times New Roman"/>
        </w:rPr>
        <w:t xml:space="preserve">given </w:t>
      </w:r>
      <w:r>
        <w:rPr>
          <w:rFonts w:eastAsia="Times New Roman"/>
        </w:rPr>
        <w:t xml:space="preserve">in Appendix </w:t>
      </w:r>
      <w:r w:rsidR="00B415AA">
        <w:rPr>
          <w:rFonts w:eastAsia="Times New Roman"/>
        </w:rPr>
        <w:t>A</w:t>
      </w:r>
      <w:r w:rsidR="00E66F4D">
        <w:rPr>
          <w:rFonts w:eastAsia="Times New Roman"/>
        </w:rPr>
        <w:t xml:space="preserve"> with</w:t>
      </w:r>
      <w:r w:rsidR="00A07538">
        <w:rPr>
          <w:rFonts w:eastAsia="Times New Roman"/>
        </w:rPr>
        <w:t xml:space="preserve"> sources </w:t>
      </w:r>
      <w:r w:rsidRPr="00CB2CB5">
        <w:rPr>
          <w:rFonts w:eastAsia="Times New Roman"/>
        </w:rPr>
        <w:t xml:space="preserve">for </w:t>
      </w:r>
      <w:r w:rsidR="00A07538">
        <w:rPr>
          <w:rFonts w:eastAsia="Times New Roman"/>
        </w:rPr>
        <w:t xml:space="preserve">the Technology Cost, Financing, and Transmission given in Appendix B. </w:t>
      </w:r>
    </w:p>
    <w:p w14:paraId="5DF474EA" w14:textId="77777777" w:rsidR="003A5ED4" w:rsidRPr="00CB2CB5" w:rsidRDefault="003A5ED4" w:rsidP="003A5ED4">
      <w:pPr>
        <w:spacing w:line="276" w:lineRule="auto"/>
        <w:ind w:left="1080"/>
        <w:rPr>
          <w:rFonts w:eastAsia="Times New Roman"/>
        </w:rPr>
      </w:pPr>
    </w:p>
    <w:p w14:paraId="063611EC" w14:textId="77777777" w:rsidR="003A5ED4" w:rsidRPr="00CB2CB5" w:rsidRDefault="003A5ED4" w:rsidP="003A5ED4">
      <w:pPr>
        <w:pStyle w:val="Heading3"/>
        <w:numPr>
          <w:ilvl w:val="1"/>
          <w:numId w:val="30"/>
        </w:numPr>
        <w:spacing w:line="276" w:lineRule="auto"/>
        <w:rPr>
          <w:rFonts w:eastAsia="Times New Roman"/>
          <w:b w:val="0"/>
        </w:rPr>
      </w:pPr>
      <w:bookmarkStart w:id="52" w:name="_Toc534190321"/>
      <w:r w:rsidRPr="00CB2CB5">
        <w:rPr>
          <w:rFonts w:eastAsia="Times New Roman"/>
          <w:b w:val="0"/>
        </w:rPr>
        <w:t>Solar Photovoltaic Resource Option</w:t>
      </w:r>
      <w:bookmarkEnd w:id="52"/>
    </w:p>
    <w:p w14:paraId="635A4733" w14:textId="77777777" w:rsidR="003A5ED4" w:rsidRPr="00CB2CB5" w:rsidRDefault="003A5ED4" w:rsidP="003A5ED4">
      <w:pPr>
        <w:keepNext/>
        <w:keepLines/>
        <w:spacing w:line="276" w:lineRule="auto"/>
        <w:ind w:left="1080"/>
        <w:rPr>
          <w:rFonts w:eastAsia="Times New Roman"/>
        </w:rPr>
      </w:pPr>
    </w:p>
    <w:p w14:paraId="196A5FC6" w14:textId="79CF2855" w:rsidR="003A5ED4" w:rsidRPr="00CB2CB5" w:rsidRDefault="003A5ED4" w:rsidP="003A5ED4">
      <w:pPr>
        <w:spacing w:line="276" w:lineRule="auto"/>
        <w:ind w:left="1080"/>
        <w:rPr>
          <w:rFonts w:eastAsia="Times New Roman"/>
        </w:rPr>
      </w:pPr>
      <w:r w:rsidRPr="00CB2CB5">
        <w:rPr>
          <w:rFonts w:eastAsia="Times New Roman"/>
        </w:rPr>
        <w:t>EPE included</w:t>
      </w:r>
      <w:r>
        <w:rPr>
          <w:rFonts w:eastAsia="Times New Roman"/>
        </w:rPr>
        <w:t xml:space="preserve"> </w:t>
      </w:r>
      <w:r w:rsidRPr="00CB2CB5">
        <w:rPr>
          <w:rFonts w:eastAsia="Times New Roman"/>
        </w:rPr>
        <w:t xml:space="preserve">utility scale solar PV resource option for </w:t>
      </w:r>
      <w:r>
        <w:rPr>
          <w:rFonts w:eastAsia="Times New Roman"/>
        </w:rPr>
        <w:t xml:space="preserve">model </w:t>
      </w:r>
      <w:r w:rsidRPr="00CB2CB5">
        <w:rPr>
          <w:rFonts w:eastAsia="Times New Roman"/>
        </w:rPr>
        <w:t xml:space="preserve">analysis.  The </w:t>
      </w:r>
      <w:r>
        <w:rPr>
          <w:rFonts w:eastAsia="Times New Roman"/>
        </w:rPr>
        <w:t xml:space="preserve">amount of </w:t>
      </w:r>
      <w:r w:rsidRPr="00CB2CB5">
        <w:rPr>
          <w:rFonts w:eastAsia="Times New Roman"/>
        </w:rPr>
        <w:t xml:space="preserve">solar PV option </w:t>
      </w:r>
      <w:r>
        <w:rPr>
          <w:rFonts w:eastAsia="Times New Roman"/>
        </w:rPr>
        <w:t>that was selected by the model was based on minimizing cost while achieving clean energy targets and maintaining reliability.</w:t>
      </w:r>
      <w:r w:rsidRPr="00CB2CB5">
        <w:rPr>
          <w:rFonts w:eastAsia="Times New Roman"/>
        </w:rPr>
        <w:t xml:space="preserve">  A generic hourly generation profile based on EPE's existing solar PV facilities was utilized to model the operational characteristics of </w:t>
      </w:r>
      <w:r>
        <w:rPr>
          <w:rFonts w:eastAsia="Times New Roman"/>
        </w:rPr>
        <w:t>the</w:t>
      </w:r>
      <w:r w:rsidRPr="00CB2CB5">
        <w:rPr>
          <w:rFonts w:eastAsia="Times New Roman"/>
        </w:rPr>
        <w:t xml:space="preserve"> solar resource in EPE's region.  Solar PV resources are non-dispatchable and dependent on solar irradiance, which is impacted by location and weather (cloud cover, rain, and/or overcast conditions).  These characteristics of solar PV lead to the resource creating variability in the electric utility system.  This variability requires additional consideration when planning and integrating this type of resource.  If a resource has an output that is variable, then contribution at peak, and firm backup capacity must be considered to plan for system reliability.  </w:t>
      </w:r>
    </w:p>
    <w:p w14:paraId="20E8E627" w14:textId="77777777" w:rsidR="003A5ED4" w:rsidRPr="00CB2CB5" w:rsidRDefault="003A5ED4" w:rsidP="003A5ED4">
      <w:pPr>
        <w:spacing w:line="276" w:lineRule="auto"/>
        <w:ind w:left="1080"/>
        <w:rPr>
          <w:rFonts w:eastAsia="Times New Roman"/>
        </w:rPr>
      </w:pPr>
    </w:p>
    <w:p w14:paraId="21D23AFD" w14:textId="77777777" w:rsidR="003A5ED4" w:rsidRPr="00CB2CB5" w:rsidRDefault="003A5ED4" w:rsidP="003A5ED4">
      <w:pPr>
        <w:pStyle w:val="Heading3"/>
        <w:numPr>
          <w:ilvl w:val="1"/>
          <w:numId w:val="30"/>
        </w:numPr>
        <w:spacing w:line="276" w:lineRule="auto"/>
        <w:rPr>
          <w:rFonts w:eastAsia="Times New Roman"/>
          <w:b w:val="0"/>
        </w:rPr>
      </w:pPr>
      <w:bookmarkStart w:id="53" w:name="_Toc534190323"/>
      <w:r w:rsidRPr="00CB2CB5">
        <w:rPr>
          <w:rFonts w:eastAsia="Times New Roman"/>
          <w:b w:val="0"/>
        </w:rPr>
        <w:t>Wind Resource Options</w:t>
      </w:r>
      <w:bookmarkEnd w:id="53"/>
    </w:p>
    <w:p w14:paraId="192DC711" w14:textId="77777777" w:rsidR="003A5ED4" w:rsidRPr="00CB2CB5" w:rsidRDefault="003A5ED4" w:rsidP="003A5ED4">
      <w:pPr>
        <w:spacing w:line="276" w:lineRule="auto"/>
        <w:ind w:left="1080"/>
        <w:rPr>
          <w:rFonts w:eastAsia="Times New Roman"/>
        </w:rPr>
      </w:pPr>
    </w:p>
    <w:p w14:paraId="0C3A91C6" w14:textId="538F7AD6" w:rsidR="003A5ED4" w:rsidRDefault="003A5ED4" w:rsidP="003A5ED4">
      <w:pPr>
        <w:spacing w:line="276" w:lineRule="auto"/>
        <w:ind w:left="1080"/>
        <w:rPr>
          <w:rFonts w:eastAsia="Times New Roman"/>
        </w:rPr>
      </w:pPr>
      <w:r w:rsidRPr="00CB2CB5">
        <w:rPr>
          <w:rFonts w:eastAsia="Times New Roman"/>
        </w:rPr>
        <w:t xml:space="preserve">EPE utilized </w:t>
      </w:r>
      <w:r>
        <w:rPr>
          <w:rFonts w:eastAsia="Times New Roman"/>
        </w:rPr>
        <w:t>an</w:t>
      </w:r>
      <w:r w:rsidRPr="00CB2CB5">
        <w:rPr>
          <w:rFonts w:eastAsia="Times New Roman"/>
        </w:rPr>
        <w:t xml:space="preserve"> hourly generation profile from National Renewable Energy Laboratory </w:t>
      </w:r>
      <w:r w:rsidR="00FF7F8C">
        <w:rPr>
          <w:rFonts w:eastAsia="Times New Roman"/>
        </w:rPr>
        <w:t>(“</w:t>
      </w:r>
      <w:proofErr w:type="spellStart"/>
      <w:r w:rsidR="00FF7F8C">
        <w:rPr>
          <w:rFonts w:eastAsia="Times New Roman"/>
        </w:rPr>
        <w:t>NREL</w:t>
      </w:r>
      <w:proofErr w:type="spellEnd"/>
      <w:r w:rsidR="00FF7F8C">
        <w:rPr>
          <w:rFonts w:eastAsia="Times New Roman"/>
        </w:rPr>
        <w:t xml:space="preserve">”) </w:t>
      </w:r>
      <w:r w:rsidRPr="00CB2CB5">
        <w:rPr>
          <w:rFonts w:eastAsia="Times New Roman"/>
        </w:rPr>
        <w:t>to model the operational characteristics of a wind resource in EPE's region.  Wind, much like solar PV, is also a variable resource that can be impacted by weather conditions.  Wind resources also require consideration for firm peak contribution, and firm back</w:t>
      </w:r>
      <w:r w:rsidRPr="00CB2CB5">
        <w:rPr>
          <w:rFonts w:eastAsia="Times New Roman"/>
        </w:rPr>
        <w:noBreakHyphen/>
        <w:t xml:space="preserve">up capacity for system reliability.  </w:t>
      </w:r>
    </w:p>
    <w:p w14:paraId="3DF70E0E" w14:textId="77777777" w:rsidR="003A5ED4" w:rsidRDefault="003A5ED4" w:rsidP="003A5ED4">
      <w:pPr>
        <w:spacing w:line="276" w:lineRule="auto"/>
        <w:ind w:left="1080"/>
        <w:rPr>
          <w:rFonts w:eastAsia="Times New Roman"/>
        </w:rPr>
      </w:pPr>
    </w:p>
    <w:p w14:paraId="49E3009C" w14:textId="77777777" w:rsidR="003A5ED4" w:rsidRPr="00240FBA" w:rsidRDefault="003A5ED4" w:rsidP="003A5ED4">
      <w:pPr>
        <w:pStyle w:val="ListParagraph"/>
        <w:numPr>
          <w:ilvl w:val="1"/>
          <w:numId w:val="30"/>
        </w:numPr>
        <w:spacing w:line="276" w:lineRule="auto"/>
        <w:rPr>
          <w:rFonts w:ascii="Times New Roman" w:eastAsia="Times New Roman" w:hAnsi="Times New Roman"/>
          <w:sz w:val="24"/>
        </w:rPr>
      </w:pPr>
      <w:r w:rsidRPr="00240FBA">
        <w:rPr>
          <w:rFonts w:ascii="Times New Roman" w:eastAsia="Times New Roman" w:hAnsi="Times New Roman"/>
          <w:sz w:val="24"/>
        </w:rPr>
        <w:t>Biomass Resource</w:t>
      </w:r>
    </w:p>
    <w:p w14:paraId="249B2C20" w14:textId="03C129E6" w:rsidR="003A5ED4" w:rsidRPr="00240FBA" w:rsidRDefault="003A5ED4" w:rsidP="003A5ED4">
      <w:pPr>
        <w:spacing w:line="276" w:lineRule="auto"/>
        <w:ind w:left="1080"/>
        <w:rPr>
          <w:rFonts w:eastAsia="Times New Roman"/>
        </w:rPr>
      </w:pPr>
      <w:r w:rsidRPr="00240FBA">
        <w:rPr>
          <w:rFonts w:eastAsia="Times New Roman"/>
        </w:rPr>
        <w:t xml:space="preserve">A Biomass resource burns renewable waste (solid waste and/or landfill gas) to generate electricity in a combustion turbine or reciprocating engine.  This type of resource is </w:t>
      </w:r>
      <w:r w:rsidRPr="00240FBA">
        <w:rPr>
          <w:rFonts w:eastAsia="Times New Roman"/>
        </w:rPr>
        <w:lastRenderedPageBreak/>
        <w:t xml:space="preserve">considered a base-load resource, usually with a high capacity factor.  Generally, biomass resources are dispatchable and typically not subject to much variability.  Resources with these types of characteristics are easier to integrate into the electric utility system because their generation is firm, predictable, and dispatchable.  </w:t>
      </w:r>
      <w:r w:rsidR="00A07538">
        <w:rPr>
          <w:rFonts w:eastAsia="Times New Roman"/>
        </w:rPr>
        <w:t xml:space="preserve">For the 2021 IRP </w:t>
      </w:r>
      <w:r w:rsidRPr="00240FBA">
        <w:rPr>
          <w:rFonts w:eastAsia="Times New Roman"/>
        </w:rPr>
        <w:t>EPE modeled a</w:t>
      </w:r>
      <w:r>
        <w:rPr>
          <w:rFonts w:eastAsia="Times New Roman"/>
        </w:rPr>
        <w:t xml:space="preserve"> generic </w:t>
      </w:r>
      <w:r w:rsidRPr="00240FBA">
        <w:rPr>
          <w:rFonts w:eastAsia="Times New Roman"/>
        </w:rPr>
        <w:t>Biomass resource</w:t>
      </w:r>
      <w:r w:rsidR="00A07538">
        <w:rPr>
          <w:rFonts w:eastAsia="Times New Roman"/>
        </w:rPr>
        <w:t>.</w:t>
      </w:r>
    </w:p>
    <w:p w14:paraId="6FF89E17" w14:textId="77777777" w:rsidR="003A5ED4" w:rsidRPr="00CB2CB5" w:rsidRDefault="003A5ED4" w:rsidP="003A5ED4">
      <w:pPr>
        <w:spacing w:line="276" w:lineRule="auto"/>
        <w:ind w:left="1080"/>
        <w:rPr>
          <w:rFonts w:eastAsia="Times New Roman"/>
        </w:rPr>
      </w:pPr>
    </w:p>
    <w:p w14:paraId="2FD5C9B9" w14:textId="77777777" w:rsidR="003A5ED4" w:rsidRPr="00CB2CB5" w:rsidRDefault="003A5ED4" w:rsidP="003A5ED4">
      <w:pPr>
        <w:pStyle w:val="Heading3"/>
        <w:numPr>
          <w:ilvl w:val="1"/>
          <w:numId w:val="30"/>
        </w:numPr>
        <w:spacing w:line="276" w:lineRule="auto"/>
        <w:rPr>
          <w:rFonts w:eastAsia="Times New Roman"/>
          <w:b w:val="0"/>
        </w:rPr>
      </w:pPr>
      <w:bookmarkStart w:id="54" w:name="_Toc534190325"/>
      <w:r w:rsidRPr="00CB2CB5">
        <w:rPr>
          <w:rFonts w:eastAsia="Times New Roman"/>
          <w:b w:val="0"/>
        </w:rPr>
        <w:t>Geothermal Resource Option</w:t>
      </w:r>
      <w:bookmarkEnd w:id="54"/>
    </w:p>
    <w:p w14:paraId="37A8914E" w14:textId="77777777" w:rsidR="003A5ED4" w:rsidRPr="00CB2CB5" w:rsidRDefault="003A5ED4" w:rsidP="003A5ED4">
      <w:pPr>
        <w:spacing w:line="276" w:lineRule="auto"/>
        <w:ind w:left="1080"/>
        <w:rPr>
          <w:rFonts w:eastAsia="Times New Roman"/>
        </w:rPr>
      </w:pPr>
    </w:p>
    <w:p w14:paraId="58DB21AB" w14:textId="77777777" w:rsidR="003A5ED4" w:rsidRPr="00CB2CB5" w:rsidRDefault="003A5ED4" w:rsidP="003A5ED4">
      <w:pPr>
        <w:spacing w:line="276" w:lineRule="auto"/>
        <w:ind w:left="1080"/>
        <w:rPr>
          <w:rFonts w:eastAsia="Times New Roman"/>
        </w:rPr>
      </w:pPr>
      <w:r w:rsidRPr="00CB2CB5">
        <w:rPr>
          <w:rFonts w:eastAsia="Times New Roman"/>
        </w:rPr>
        <w:t>Geothermal energy is a renewable resource type that uses heat from the Earth to generate electricity.  A geothermal resource is generally considered a base</w:t>
      </w:r>
      <w:r w:rsidRPr="00CB2CB5">
        <w:rPr>
          <w:rFonts w:eastAsia="Times New Roman"/>
        </w:rPr>
        <w:noBreakHyphen/>
        <w:t xml:space="preserve">load resource with a high capacity factor.  However, geothermal resources can be dispatchable.  EPE modeled a </w:t>
      </w:r>
      <w:r>
        <w:rPr>
          <w:rFonts w:eastAsia="Times New Roman"/>
        </w:rPr>
        <w:t>generic</w:t>
      </w:r>
      <w:r w:rsidRPr="00CB2CB5">
        <w:rPr>
          <w:rFonts w:eastAsia="Times New Roman"/>
        </w:rPr>
        <w:t xml:space="preserve"> geothermal resource for this IRP.  </w:t>
      </w:r>
    </w:p>
    <w:p w14:paraId="69A79022" w14:textId="77777777" w:rsidR="003A5ED4" w:rsidRPr="00CB2CB5" w:rsidRDefault="003A5ED4" w:rsidP="003A5ED4">
      <w:pPr>
        <w:spacing w:line="276" w:lineRule="auto"/>
        <w:ind w:left="1080"/>
        <w:rPr>
          <w:rFonts w:eastAsia="Times New Roman"/>
        </w:rPr>
      </w:pPr>
    </w:p>
    <w:p w14:paraId="5C516196" w14:textId="77777777" w:rsidR="003A5ED4" w:rsidRPr="00CB2CB5" w:rsidRDefault="003A5ED4" w:rsidP="003A5ED4">
      <w:pPr>
        <w:pStyle w:val="Heading3"/>
        <w:numPr>
          <w:ilvl w:val="1"/>
          <w:numId w:val="30"/>
        </w:numPr>
        <w:spacing w:line="276" w:lineRule="auto"/>
        <w:rPr>
          <w:rFonts w:eastAsia="Times New Roman"/>
          <w:b w:val="0"/>
        </w:rPr>
      </w:pPr>
      <w:bookmarkStart w:id="55" w:name="_Toc534190327"/>
      <w:r>
        <w:rPr>
          <w:rFonts w:eastAsia="Times New Roman"/>
          <w:b w:val="0"/>
        </w:rPr>
        <w:t>Gas- Fired</w:t>
      </w:r>
      <w:r w:rsidRPr="00CB2CB5">
        <w:rPr>
          <w:rFonts w:eastAsia="Times New Roman"/>
          <w:b w:val="0"/>
        </w:rPr>
        <w:t xml:space="preserve"> </w:t>
      </w:r>
      <w:r>
        <w:rPr>
          <w:rFonts w:eastAsia="Times New Roman"/>
          <w:b w:val="0"/>
        </w:rPr>
        <w:t>Thermal Power Plant</w:t>
      </w:r>
      <w:r w:rsidRPr="00CB2CB5">
        <w:rPr>
          <w:rFonts w:eastAsia="Times New Roman"/>
          <w:b w:val="0"/>
        </w:rPr>
        <w:t xml:space="preserve"> Option</w:t>
      </w:r>
      <w:bookmarkEnd w:id="55"/>
    </w:p>
    <w:p w14:paraId="39198D49" w14:textId="77777777" w:rsidR="003A5ED4" w:rsidRPr="00CB2CB5" w:rsidRDefault="003A5ED4" w:rsidP="003A5ED4">
      <w:pPr>
        <w:spacing w:line="276" w:lineRule="auto"/>
        <w:ind w:left="1080"/>
        <w:rPr>
          <w:rFonts w:eastAsia="Times New Roman"/>
        </w:rPr>
      </w:pPr>
    </w:p>
    <w:p w14:paraId="244E0289" w14:textId="2208D769" w:rsidR="003A5ED4" w:rsidRPr="00CB2CB5" w:rsidRDefault="003A5ED4" w:rsidP="003A5ED4">
      <w:pPr>
        <w:spacing w:line="276" w:lineRule="auto"/>
        <w:ind w:left="1080"/>
        <w:rPr>
          <w:rFonts w:eastAsia="Times New Roman"/>
        </w:rPr>
      </w:pPr>
      <w:r>
        <w:rPr>
          <w:rFonts w:eastAsia="Times New Roman"/>
        </w:rPr>
        <w:t xml:space="preserve">Gas-Fired Thermal </w:t>
      </w:r>
      <w:r w:rsidRPr="00CB2CB5">
        <w:rPr>
          <w:rFonts w:eastAsia="Times New Roman"/>
        </w:rPr>
        <w:t xml:space="preserve">power plants have had widespread use since the 1940s.  </w:t>
      </w:r>
      <w:r>
        <w:rPr>
          <w:rFonts w:eastAsia="Times New Roman"/>
        </w:rPr>
        <w:t>Gas-Fired Thermal power plants can include: Combustion Turbine (“CT”), Combined Cycle (“CC”), and Reciprocating Engine (“</w:t>
      </w:r>
      <w:proofErr w:type="spellStart"/>
      <w:r>
        <w:rPr>
          <w:rFonts w:eastAsia="Times New Roman"/>
        </w:rPr>
        <w:t>Recip</w:t>
      </w:r>
      <w:proofErr w:type="spellEnd"/>
      <w:r>
        <w:rPr>
          <w:rFonts w:eastAsia="Times New Roman"/>
        </w:rPr>
        <w:t xml:space="preserve">”) type power plants. </w:t>
      </w:r>
      <w:r w:rsidRPr="00CB2CB5">
        <w:rPr>
          <w:rFonts w:eastAsia="Times New Roman"/>
        </w:rPr>
        <w:t xml:space="preserve"> </w:t>
      </w:r>
      <w:r>
        <w:rPr>
          <w:rFonts w:eastAsia="Times New Roman"/>
        </w:rPr>
        <w:t xml:space="preserve">Modern Gas-Fired power plants </w:t>
      </w:r>
      <w:r w:rsidRPr="00CB2CB5">
        <w:rPr>
          <w:rFonts w:eastAsia="Times New Roman"/>
        </w:rPr>
        <w:t>have advanced due to technology improvements</w:t>
      </w:r>
      <w:r>
        <w:rPr>
          <w:rFonts w:eastAsia="Times New Roman"/>
        </w:rPr>
        <w:t xml:space="preserve"> resulting</w:t>
      </w:r>
      <w:r w:rsidRPr="00CB2CB5">
        <w:rPr>
          <w:rFonts w:eastAsia="Times New Roman"/>
        </w:rPr>
        <w:t xml:space="preserve"> </w:t>
      </w:r>
      <w:r>
        <w:rPr>
          <w:rFonts w:eastAsia="Times New Roman"/>
        </w:rPr>
        <w:t>in</w:t>
      </w:r>
      <w:r w:rsidRPr="00CB2CB5">
        <w:rPr>
          <w:rFonts w:eastAsia="Times New Roman"/>
        </w:rPr>
        <w:t xml:space="preserve"> lower capital cost</w:t>
      </w:r>
      <w:r>
        <w:rPr>
          <w:rFonts w:eastAsia="Times New Roman"/>
        </w:rPr>
        <w:t xml:space="preserve">, </w:t>
      </w:r>
      <w:r w:rsidRPr="00CB2CB5">
        <w:rPr>
          <w:rFonts w:eastAsia="Times New Roman"/>
        </w:rPr>
        <w:t>enhanced efficiency</w:t>
      </w:r>
      <w:r>
        <w:rPr>
          <w:rFonts w:eastAsia="Times New Roman"/>
        </w:rPr>
        <w:t>, lower water usage, and added capability to convert to hydrogen fuel to meet future statutory zero carbon goals and to provide firm dispatchable capacity</w:t>
      </w:r>
      <w:r w:rsidRPr="00CB2CB5">
        <w:rPr>
          <w:rFonts w:eastAsia="Times New Roman"/>
        </w:rPr>
        <w:t xml:space="preserve">. </w:t>
      </w:r>
      <w:r>
        <w:rPr>
          <w:rFonts w:eastAsia="Times New Roman"/>
        </w:rPr>
        <w:t xml:space="preserve">Also, modern </w:t>
      </w:r>
      <w:proofErr w:type="spellStart"/>
      <w:r>
        <w:rPr>
          <w:rFonts w:eastAsia="Times New Roman"/>
        </w:rPr>
        <w:t>CTs</w:t>
      </w:r>
      <w:proofErr w:type="spellEnd"/>
      <w:r>
        <w:rPr>
          <w:rFonts w:eastAsia="Times New Roman"/>
        </w:rPr>
        <w:t xml:space="preserve">’ and </w:t>
      </w:r>
      <w:proofErr w:type="spellStart"/>
      <w:r>
        <w:rPr>
          <w:rFonts w:eastAsia="Times New Roman"/>
        </w:rPr>
        <w:t>Recips</w:t>
      </w:r>
      <w:proofErr w:type="spellEnd"/>
      <w:r>
        <w:rPr>
          <w:rFonts w:eastAsia="Times New Roman"/>
        </w:rPr>
        <w:t xml:space="preserve">’ have </w:t>
      </w:r>
      <w:r w:rsidRPr="00CB2CB5">
        <w:rPr>
          <w:rFonts w:eastAsia="Times New Roman"/>
        </w:rPr>
        <w:t>flexibl</w:t>
      </w:r>
      <w:r>
        <w:rPr>
          <w:rFonts w:eastAsia="Times New Roman"/>
        </w:rPr>
        <w:t xml:space="preserve">e </w:t>
      </w:r>
      <w:r w:rsidRPr="00CB2CB5">
        <w:rPr>
          <w:rFonts w:eastAsia="Times New Roman"/>
        </w:rPr>
        <w:t>fast start ramping capabilities</w:t>
      </w:r>
      <w:r>
        <w:rPr>
          <w:rFonts w:eastAsia="Times New Roman"/>
        </w:rPr>
        <w:t xml:space="preserve"> which increases the flexibility and resilience of the electrical system needed for greater integration of renewable resources. </w:t>
      </w:r>
      <w:r w:rsidRPr="00CB2CB5">
        <w:rPr>
          <w:rFonts w:eastAsia="Times New Roman"/>
        </w:rPr>
        <w:t xml:space="preserve">For this </w:t>
      </w:r>
      <w:r>
        <w:rPr>
          <w:rFonts w:eastAsia="Times New Roman"/>
        </w:rPr>
        <w:t xml:space="preserve">2021 </w:t>
      </w:r>
      <w:r w:rsidRPr="00CB2CB5">
        <w:rPr>
          <w:rFonts w:eastAsia="Times New Roman"/>
        </w:rPr>
        <w:t xml:space="preserve">IRP, EPE modeled </w:t>
      </w:r>
      <w:r>
        <w:rPr>
          <w:rFonts w:eastAsia="Times New Roman"/>
        </w:rPr>
        <w:t xml:space="preserve">the CT and the </w:t>
      </w:r>
      <w:proofErr w:type="spellStart"/>
      <w:r>
        <w:rPr>
          <w:rFonts w:eastAsia="Times New Roman"/>
        </w:rPr>
        <w:t>Recip</w:t>
      </w:r>
      <w:proofErr w:type="spellEnd"/>
      <w:r>
        <w:rPr>
          <w:rFonts w:eastAsia="Times New Roman"/>
        </w:rPr>
        <w:t xml:space="preserve"> engine as a single generic hydrogen fuel </w:t>
      </w:r>
      <w:r w:rsidR="00082035">
        <w:rPr>
          <w:rFonts w:eastAsia="Times New Roman"/>
        </w:rPr>
        <w:t>capable</w:t>
      </w:r>
      <w:r>
        <w:rPr>
          <w:rFonts w:eastAsia="Times New Roman"/>
        </w:rPr>
        <w:t xml:space="preserve"> Gas Peaker since both types of gas-fired units have similar characteristics.  </w:t>
      </w:r>
    </w:p>
    <w:p w14:paraId="5FC41384" w14:textId="77777777" w:rsidR="003A5ED4" w:rsidRDefault="003A5ED4" w:rsidP="003A5ED4">
      <w:pPr>
        <w:spacing w:line="276" w:lineRule="auto"/>
        <w:ind w:left="1080"/>
        <w:rPr>
          <w:rFonts w:eastAsia="Times New Roman"/>
        </w:rPr>
      </w:pPr>
    </w:p>
    <w:p w14:paraId="002D8F51" w14:textId="77777777" w:rsidR="003A5ED4" w:rsidRPr="0055759F" w:rsidRDefault="003A5ED4" w:rsidP="003A5ED4">
      <w:pPr>
        <w:pStyle w:val="Heading3"/>
        <w:numPr>
          <w:ilvl w:val="1"/>
          <w:numId w:val="30"/>
        </w:numPr>
        <w:spacing w:line="276" w:lineRule="auto"/>
        <w:rPr>
          <w:rFonts w:eastAsia="Times New Roman"/>
          <w:b w:val="0"/>
        </w:rPr>
      </w:pPr>
      <w:r w:rsidRPr="0055759F">
        <w:rPr>
          <w:rFonts w:eastAsia="Times New Roman"/>
          <w:b w:val="0"/>
        </w:rPr>
        <w:t>Hydrogen Fuel in Gas Turbines</w:t>
      </w:r>
    </w:p>
    <w:p w14:paraId="6EDFBA2A" w14:textId="77777777" w:rsidR="003A5ED4" w:rsidRDefault="003A5ED4" w:rsidP="003A5ED4">
      <w:pPr>
        <w:spacing w:line="276" w:lineRule="auto"/>
        <w:rPr>
          <w:rFonts w:eastAsia="Times New Roman"/>
        </w:rPr>
      </w:pPr>
    </w:p>
    <w:p w14:paraId="17F5CFC1" w14:textId="77777777" w:rsidR="003A5ED4" w:rsidRDefault="003A5ED4" w:rsidP="003A5ED4">
      <w:pPr>
        <w:spacing w:line="276" w:lineRule="auto"/>
        <w:ind w:left="1080"/>
      </w:pPr>
      <w:r>
        <w:rPr>
          <w:rFonts w:eastAsia="Times New Roman"/>
        </w:rPr>
        <w:t>As the power utility sector shifts toward decarbonization, utilizing hydrogen fuel in gas turbines has become a potential option for utilities.</w:t>
      </w:r>
      <w:r>
        <w:t xml:space="preserve">  Most gas turbines burn natural gas or methane to release energy which ultimately produces the electricity we use at home and for industry. An advantage of gas turbines is that they can operate on many other fuels besides natural gas. Some of these fuels, such as hydrogen, do not contain carbon in the first place, and will therefore not emit carbon dioxide when combusted.  Furthermore, hydrogen can be introduced to new gas turbines and existing gas turbines alike, reinforcing the concept that solutions are available today to decarbonize assets already in the field and those waiting to be installed.  Natural gas turbines can be fully converted or partially converted to utilize hydrogen as a fuel. Using 100% hydrogen fuel for a gas turbine will lead to a significant reduction in carbon dioxide emissions </w:t>
      </w:r>
      <w:r>
        <w:lastRenderedPageBreak/>
        <w:t>relative to operation on natural gas or other hydrocarbon fuels.  As a near-term alternative, partial conversions are being considered rather than using 100% hydrogen fuel.  For example, hydrogen blending with natural gas is being considered to reduce carbon dioxide emissions.  In the case of hydrogen blending, the amount of carbon dioxide reduction will be a function of the percentage of hydrogen in the fuel.</w:t>
      </w:r>
    </w:p>
    <w:p w14:paraId="4C2FCF97" w14:textId="77777777" w:rsidR="003A5ED4" w:rsidRDefault="003A5ED4" w:rsidP="003A5ED4">
      <w:pPr>
        <w:spacing w:line="276" w:lineRule="auto"/>
        <w:ind w:left="1080"/>
      </w:pPr>
    </w:p>
    <w:p w14:paraId="613BC1B3" w14:textId="77777777" w:rsidR="003A5ED4" w:rsidRPr="00AF4CC2" w:rsidRDefault="003A5ED4" w:rsidP="003A5ED4">
      <w:pPr>
        <w:spacing w:line="276" w:lineRule="auto"/>
        <w:ind w:left="1080"/>
      </w:pPr>
      <w:r>
        <w:t>Although hydrogen is a promising fuel alternative to reduce carbon dioxide, it is currently not the preferred choice for many utilities since needed storage and transportation infrastructure for the hydrogen fuel is not yet widely available.  Furthermore, electrolysis and steam reforming from natural gas, which are the two main processes of hydrogen extraction, are relatively expensive and not yet cost effective.  Another reason why hydrogen is not widely used today is due to its storage complications.  Since hydrogen has a lower density, it must be compressed and stored at lower temperatures to guarantee its effectiveness and efficiency as an energy source.  From a safety perspective, hydrogen gas at high concentrations is highly flammable and volatile and requires equipment upgrades to minimize risk.</w:t>
      </w:r>
    </w:p>
    <w:p w14:paraId="4C82D4CE" w14:textId="77777777" w:rsidR="003A5ED4" w:rsidRPr="00CB2CB5" w:rsidRDefault="003A5ED4" w:rsidP="003A5ED4">
      <w:pPr>
        <w:spacing w:line="276" w:lineRule="auto"/>
        <w:ind w:left="1080"/>
        <w:rPr>
          <w:rFonts w:eastAsia="Times New Roman"/>
        </w:rPr>
      </w:pPr>
    </w:p>
    <w:p w14:paraId="522AC870" w14:textId="77777777" w:rsidR="003A5ED4" w:rsidRPr="00CB2CB5" w:rsidRDefault="003A5ED4" w:rsidP="003A5ED4">
      <w:pPr>
        <w:pStyle w:val="Heading2"/>
        <w:numPr>
          <w:ilvl w:val="0"/>
          <w:numId w:val="29"/>
        </w:numPr>
        <w:spacing w:line="276" w:lineRule="auto"/>
        <w:ind w:left="1080" w:hanging="540"/>
        <w:rPr>
          <w:rFonts w:eastAsia="Times New Roman"/>
          <w:b w:val="0"/>
        </w:rPr>
      </w:pPr>
      <w:bookmarkStart w:id="56" w:name="_Toc534190329"/>
      <w:r w:rsidRPr="00CB2CB5">
        <w:rPr>
          <w:rFonts w:eastAsia="Times New Roman"/>
        </w:rPr>
        <w:t>Energy Storage</w:t>
      </w:r>
      <w:bookmarkEnd w:id="56"/>
      <w:r w:rsidRPr="00CB2CB5">
        <w:rPr>
          <w:rFonts w:eastAsia="Times New Roman"/>
          <w:b w:val="0"/>
        </w:rPr>
        <w:t xml:space="preserve"> </w:t>
      </w:r>
    </w:p>
    <w:p w14:paraId="4E585637" w14:textId="77777777" w:rsidR="003A5ED4" w:rsidRPr="00CB2CB5" w:rsidRDefault="003A5ED4" w:rsidP="003A5ED4">
      <w:pPr>
        <w:spacing w:line="276" w:lineRule="auto"/>
        <w:ind w:left="540"/>
        <w:rPr>
          <w:rFonts w:eastAsia="Times New Roman"/>
        </w:rPr>
      </w:pPr>
    </w:p>
    <w:p w14:paraId="2DF05A8B" w14:textId="77777777" w:rsidR="003A5ED4" w:rsidRPr="00CB2CB5" w:rsidRDefault="003A5ED4" w:rsidP="003A5ED4">
      <w:pPr>
        <w:spacing w:line="276" w:lineRule="auto"/>
        <w:ind w:left="540"/>
        <w:rPr>
          <w:rFonts w:eastAsia="Times New Roman"/>
        </w:rPr>
      </w:pPr>
      <w:r w:rsidRPr="00CB2CB5">
        <w:rPr>
          <w:rFonts w:eastAsia="Times New Roman"/>
        </w:rPr>
        <w:t xml:space="preserve">BATTERY RESOURCE OPTION </w:t>
      </w:r>
    </w:p>
    <w:p w14:paraId="78CE42CF" w14:textId="77777777" w:rsidR="003A5ED4" w:rsidRPr="00CB2CB5" w:rsidRDefault="003A5ED4" w:rsidP="003A5ED4">
      <w:pPr>
        <w:spacing w:line="276" w:lineRule="auto"/>
        <w:ind w:left="540"/>
        <w:rPr>
          <w:rFonts w:eastAsia="Times New Roman"/>
        </w:rPr>
      </w:pPr>
    </w:p>
    <w:p w14:paraId="1BE607DF" w14:textId="77777777" w:rsidR="003A5ED4" w:rsidRPr="00CB2CB5" w:rsidRDefault="003A5ED4" w:rsidP="003A5ED4">
      <w:pPr>
        <w:spacing w:line="276" w:lineRule="auto"/>
        <w:ind w:left="540"/>
        <w:rPr>
          <w:rFonts w:eastAsia="Times New Roman"/>
          <w:spacing w:val="-2"/>
        </w:rPr>
      </w:pPr>
      <w:r w:rsidRPr="00CB2CB5">
        <w:rPr>
          <w:rFonts w:eastAsia="Times New Roman"/>
          <w:spacing w:val="-2"/>
        </w:rPr>
        <w:t xml:space="preserve">Energy Storage, specifically Lithium-Ion Battery Storage, is </w:t>
      </w:r>
      <w:r>
        <w:rPr>
          <w:rFonts w:eastAsia="Times New Roman"/>
          <w:spacing w:val="-2"/>
        </w:rPr>
        <w:t>an accredited energy storage</w:t>
      </w:r>
      <w:r w:rsidRPr="00CB2CB5">
        <w:rPr>
          <w:rFonts w:eastAsia="Times New Roman"/>
          <w:spacing w:val="-2"/>
        </w:rPr>
        <w:t xml:space="preserve"> technology</w:t>
      </w:r>
      <w:r>
        <w:rPr>
          <w:rFonts w:eastAsia="Times New Roman"/>
          <w:spacing w:val="-2"/>
        </w:rPr>
        <w:t xml:space="preserve"> that allows for greater integration of renewable resources</w:t>
      </w:r>
      <w:r w:rsidRPr="00CB2CB5">
        <w:rPr>
          <w:rFonts w:eastAsia="Times New Roman"/>
          <w:spacing w:val="-2"/>
        </w:rPr>
        <w:t>.  Battery storage offers many benefits that complement renewable resources as well as load shifting or load following during peak hours.  However, it is important to note that the round-trip efficiencies of batteries may be between 80 to 85 percent.  Batteries are dispatchable and offer capacity that is very similar to traditional peaking units when dispatched to meet daily peak loads.  These characteristics complement renewables</w:t>
      </w:r>
      <w:r>
        <w:rPr>
          <w:rFonts w:eastAsia="Times New Roman"/>
          <w:spacing w:val="-2"/>
        </w:rPr>
        <w:t xml:space="preserve"> </w:t>
      </w:r>
      <w:r w:rsidRPr="00CB2CB5">
        <w:rPr>
          <w:rFonts w:eastAsia="Times New Roman"/>
          <w:spacing w:val="-2"/>
        </w:rPr>
        <w:t>like solar</w:t>
      </w:r>
      <w:r>
        <w:rPr>
          <w:rFonts w:eastAsia="Times New Roman"/>
          <w:spacing w:val="-2"/>
        </w:rPr>
        <w:t xml:space="preserve"> and wind</w:t>
      </w:r>
      <w:r w:rsidRPr="00CB2CB5">
        <w:rPr>
          <w:rFonts w:eastAsia="Times New Roman"/>
          <w:spacing w:val="-2"/>
        </w:rPr>
        <w:t xml:space="preserve">, by </w:t>
      </w:r>
      <w:r>
        <w:rPr>
          <w:rFonts w:eastAsia="Times New Roman"/>
          <w:spacing w:val="-2"/>
        </w:rPr>
        <w:t xml:space="preserve">charging during low load hours and </w:t>
      </w:r>
      <w:r w:rsidRPr="00CB2CB5">
        <w:rPr>
          <w:rFonts w:eastAsia="Times New Roman"/>
          <w:spacing w:val="-2"/>
        </w:rPr>
        <w:t xml:space="preserve">firming up capacity during peak conditions offsetting </w:t>
      </w:r>
      <w:r>
        <w:rPr>
          <w:rFonts w:eastAsia="Times New Roman"/>
          <w:spacing w:val="-2"/>
        </w:rPr>
        <w:t xml:space="preserve">the inherent </w:t>
      </w:r>
      <w:r w:rsidRPr="00CB2CB5">
        <w:rPr>
          <w:rFonts w:eastAsia="Times New Roman"/>
          <w:spacing w:val="-2"/>
        </w:rPr>
        <w:t>variab</w:t>
      </w:r>
      <w:r>
        <w:rPr>
          <w:rFonts w:eastAsia="Times New Roman"/>
          <w:spacing w:val="-2"/>
        </w:rPr>
        <w:t>le and intermittent characteristics of renewable resources.</w:t>
      </w:r>
      <w:r w:rsidRPr="00CB2CB5">
        <w:rPr>
          <w:rFonts w:eastAsia="Times New Roman"/>
          <w:spacing w:val="-2"/>
        </w:rPr>
        <w:t xml:space="preserve">  The capital cost of batteries has </w:t>
      </w:r>
      <w:r>
        <w:rPr>
          <w:rFonts w:eastAsia="Times New Roman"/>
          <w:spacing w:val="-2"/>
        </w:rPr>
        <w:t>continued to trend</w:t>
      </w:r>
      <w:r w:rsidRPr="00CB2CB5">
        <w:rPr>
          <w:rFonts w:eastAsia="Times New Roman"/>
          <w:spacing w:val="-2"/>
        </w:rPr>
        <w:t xml:space="preserve"> downward as technology and production has improved.  </w:t>
      </w:r>
    </w:p>
    <w:p w14:paraId="62C8B579" w14:textId="77777777" w:rsidR="003A5ED4" w:rsidRPr="00CB2CB5" w:rsidRDefault="003A5ED4" w:rsidP="003A5ED4">
      <w:pPr>
        <w:spacing w:line="276" w:lineRule="auto"/>
        <w:ind w:left="540"/>
        <w:rPr>
          <w:rFonts w:eastAsia="Times New Roman"/>
        </w:rPr>
      </w:pPr>
    </w:p>
    <w:p w14:paraId="48E6DD64" w14:textId="40102AEB" w:rsidR="003A5ED4" w:rsidRPr="00CB2CB5" w:rsidRDefault="003A5ED4" w:rsidP="003A5ED4">
      <w:pPr>
        <w:spacing w:line="276" w:lineRule="auto"/>
        <w:ind w:left="540"/>
      </w:pPr>
      <w:r w:rsidRPr="00CB2CB5">
        <w:t xml:space="preserve">Several inherent characteristics of this technology are important when considering Battery Storage as a resource.  First, battery nameplate capacity, or MW available to serve demand which are stored in the battery.  Secondly, battery duration, which is the length of time (typically in hours) that the storage system can provide output to the electrical grid system.  Lastly, total energy stored in the battery, MWh, typically this is the nameplate capacity times the hours of duration.  </w:t>
      </w:r>
      <w:r>
        <w:t xml:space="preserve">For example, a 50 MW nameplate battery with a four-hour duration would have a total energy level available for dispatch of 200 MWh.  </w:t>
      </w:r>
      <w:r w:rsidRPr="00CB2CB5">
        <w:t>The battery Storage resource modeled in the 20</w:t>
      </w:r>
      <w:r>
        <w:t>21</w:t>
      </w:r>
      <w:r w:rsidRPr="00CB2CB5">
        <w:t xml:space="preserve"> IRP is a </w:t>
      </w:r>
      <w:r>
        <w:t>generic battery</w:t>
      </w:r>
      <w:r w:rsidRPr="00CB2CB5">
        <w:t xml:space="preserve">.  </w:t>
      </w:r>
    </w:p>
    <w:p w14:paraId="5BC81786" w14:textId="77777777" w:rsidR="003A5ED4" w:rsidRPr="00CB2CB5" w:rsidRDefault="003A5ED4" w:rsidP="003A5ED4">
      <w:pPr>
        <w:spacing w:line="276" w:lineRule="auto"/>
        <w:ind w:left="540"/>
        <w:rPr>
          <w:rFonts w:eastAsia="Times New Roman"/>
        </w:rPr>
      </w:pPr>
    </w:p>
    <w:p w14:paraId="263B537C" w14:textId="77777777" w:rsidR="003A5ED4" w:rsidRPr="00CB2CB5" w:rsidRDefault="003A5ED4" w:rsidP="003A5ED4">
      <w:pPr>
        <w:spacing w:line="276" w:lineRule="auto"/>
        <w:ind w:left="540"/>
        <w:rPr>
          <w:rFonts w:eastAsia="Times New Roman"/>
        </w:rPr>
      </w:pPr>
      <w:r w:rsidRPr="00CB2CB5">
        <w:rPr>
          <w:rFonts w:eastAsia="Times New Roman"/>
        </w:rPr>
        <w:t xml:space="preserve">As battery costs continue to decrease, they will become a more viable resource option in expansion planning and will be further incorporated into future optimal resource portfolios, specifically due to their interaction with renewables and load shifting.  </w:t>
      </w:r>
    </w:p>
    <w:p w14:paraId="4CFE93CA" w14:textId="77777777" w:rsidR="003A5ED4" w:rsidRPr="00CB2CB5" w:rsidRDefault="003A5ED4" w:rsidP="003A5ED4">
      <w:pPr>
        <w:pStyle w:val="ListParagraph"/>
        <w:spacing w:after="0" w:line="276" w:lineRule="auto"/>
        <w:ind w:left="1080"/>
        <w:contextualSpacing w:val="0"/>
        <w:rPr>
          <w:rFonts w:ascii="Times New Roman" w:eastAsia="Times New Roman" w:hAnsi="Times New Roman"/>
          <w:b/>
          <w:sz w:val="24"/>
        </w:rPr>
      </w:pPr>
    </w:p>
    <w:p w14:paraId="5D787AC2" w14:textId="77777777" w:rsidR="003A5ED4" w:rsidRPr="00CB2CB5" w:rsidRDefault="003A5ED4" w:rsidP="003A5ED4">
      <w:pPr>
        <w:pStyle w:val="Heading2"/>
        <w:numPr>
          <w:ilvl w:val="0"/>
          <w:numId w:val="29"/>
        </w:numPr>
        <w:spacing w:line="276" w:lineRule="auto"/>
        <w:ind w:left="1080" w:hanging="540"/>
        <w:rPr>
          <w:rFonts w:eastAsia="Times New Roman"/>
          <w:b w:val="0"/>
        </w:rPr>
      </w:pPr>
      <w:bookmarkStart w:id="57" w:name="_Toc534190330"/>
      <w:r w:rsidRPr="00CB2CB5">
        <w:rPr>
          <w:rFonts w:eastAsia="Times New Roman"/>
        </w:rPr>
        <w:t>Demand Side</w:t>
      </w:r>
      <w:r w:rsidRPr="00CB2CB5">
        <w:rPr>
          <w:rFonts w:eastAsia="Times New Roman"/>
          <w:b w:val="0"/>
        </w:rPr>
        <w:t xml:space="preserve"> </w:t>
      </w:r>
      <w:r w:rsidRPr="00CB2CB5">
        <w:rPr>
          <w:rFonts w:eastAsia="Times New Roman"/>
        </w:rPr>
        <w:t>Resources</w:t>
      </w:r>
      <w:bookmarkEnd w:id="57"/>
      <w:r w:rsidRPr="00CB2CB5">
        <w:rPr>
          <w:rFonts w:eastAsia="Times New Roman"/>
          <w:b w:val="0"/>
        </w:rPr>
        <w:t xml:space="preserve"> </w:t>
      </w:r>
    </w:p>
    <w:p w14:paraId="720A3E2A" w14:textId="77777777" w:rsidR="003A5ED4" w:rsidRPr="00CB2CB5" w:rsidRDefault="003A5ED4" w:rsidP="003A5ED4">
      <w:pPr>
        <w:spacing w:line="276" w:lineRule="auto"/>
        <w:ind w:left="540"/>
        <w:rPr>
          <w:rFonts w:eastAsia="Times New Roman"/>
        </w:rPr>
      </w:pPr>
    </w:p>
    <w:p w14:paraId="0DFFBB5C" w14:textId="77777777" w:rsidR="003A5ED4" w:rsidRPr="00CB2CB5" w:rsidRDefault="003A5ED4" w:rsidP="003A5ED4">
      <w:pPr>
        <w:spacing w:line="276" w:lineRule="auto"/>
        <w:ind w:left="540"/>
        <w:rPr>
          <w:rFonts w:eastAsia="Times New Roman"/>
        </w:rPr>
      </w:pPr>
      <w:r w:rsidRPr="00CB2CB5">
        <w:rPr>
          <w:rFonts w:eastAsia="Times New Roman"/>
        </w:rPr>
        <w:t xml:space="preserve">ENERGY EFFICIENCY RESOURCE OPTION </w:t>
      </w:r>
    </w:p>
    <w:p w14:paraId="26C373B1" w14:textId="77777777" w:rsidR="003A5ED4" w:rsidRPr="00CB2CB5" w:rsidRDefault="003A5ED4" w:rsidP="003A5ED4">
      <w:pPr>
        <w:spacing w:line="276" w:lineRule="auto"/>
        <w:ind w:left="540"/>
        <w:rPr>
          <w:rFonts w:eastAsia="Times New Roman"/>
        </w:rPr>
      </w:pPr>
    </w:p>
    <w:p w14:paraId="333A1AC7" w14:textId="51DDE77D" w:rsidR="003A5ED4" w:rsidRDefault="003A5ED4" w:rsidP="003A5ED4">
      <w:pPr>
        <w:spacing w:line="276" w:lineRule="auto"/>
        <w:ind w:left="540"/>
        <w:rPr>
          <w:rFonts w:eastAsia="Times New Roman"/>
          <w:spacing w:val="-2"/>
        </w:rPr>
      </w:pPr>
      <w:r w:rsidRPr="00CB2CB5">
        <w:rPr>
          <w:rFonts w:eastAsia="Times New Roman"/>
          <w:spacing w:val="-2"/>
        </w:rPr>
        <w:t>In addition to EPE's current EE</w:t>
      </w:r>
      <w:r w:rsidRPr="00CB2CB5">
        <w:rPr>
          <w:rFonts w:eastAsia="Times New Roman"/>
          <w:strike/>
          <w:spacing w:val="-2"/>
        </w:rPr>
        <w:t xml:space="preserve"> </w:t>
      </w:r>
      <w:r w:rsidRPr="00CB2CB5">
        <w:rPr>
          <w:rFonts w:eastAsia="Times New Roman"/>
          <w:spacing w:val="-2"/>
        </w:rPr>
        <w:t>programs, EPE</w:t>
      </w:r>
      <w:r>
        <w:rPr>
          <w:rFonts w:eastAsia="Times New Roman"/>
          <w:spacing w:val="-2"/>
        </w:rPr>
        <w:t xml:space="preserve"> opted to model a high EE case without identifying specific programs, but rather to assess portfolio impact.  For the reference case, EPE modeled 6.5% of native system load in 2040 based on the EPE 2021 Energy and Demand Forecast.  For the high EE sensitivity case, EPE doubled the incremental amount from the reference case resulting in 13% of native system load in 2040.  These amounts are consistent with neighboring utility </w:t>
      </w:r>
      <w:r w:rsidR="00A6105A">
        <w:rPr>
          <w:rFonts w:eastAsia="Times New Roman"/>
          <w:spacing w:val="-2"/>
        </w:rPr>
        <w:t>Arizona Public Service (“</w:t>
      </w:r>
      <w:r>
        <w:rPr>
          <w:rFonts w:eastAsia="Times New Roman"/>
          <w:spacing w:val="-2"/>
        </w:rPr>
        <w:t>APS</w:t>
      </w:r>
      <w:r w:rsidR="00A6105A">
        <w:rPr>
          <w:rFonts w:eastAsia="Times New Roman"/>
          <w:spacing w:val="-2"/>
        </w:rPr>
        <w:t>”)</w:t>
      </w:r>
      <w:r>
        <w:rPr>
          <w:rFonts w:eastAsia="Times New Roman"/>
          <w:spacing w:val="-2"/>
        </w:rPr>
        <w:t xml:space="preserve"> </w:t>
      </w:r>
      <w:r w:rsidR="00A6105A">
        <w:rPr>
          <w:rFonts w:eastAsia="Times New Roman"/>
          <w:spacing w:val="-2"/>
        </w:rPr>
        <w:t>2020 IRP filing which includes</w:t>
      </w:r>
      <w:r>
        <w:rPr>
          <w:rFonts w:eastAsia="Times New Roman"/>
          <w:spacing w:val="-2"/>
        </w:rPr>
        <w:t xml:space="preserve"> approximately 1</w:t>
      </w:r>
      <w:r w:rsidR="00A6105A">
        <w:rPr>
          <w:rFonts w:eastAsia="Times New Roman"/>
          <w:spacing w:val="-2"/>
        </w:rPr>
        <w:t>5</w:t>
      </w:r>
      <w:r>
        <w:rPr>
          <w:rFonts w:eastAsia="Times New Roman"/>
          <w:spacing w:val="-2"/>
        </w:rPr>
        <w:t xml:space="preserve">% EE on an energy basis. </w:t>
      </w:r>
    </w:p>
    <w:p w14:paraId="17606DD9" w14:textId="77777777" w:rsidR="003A5ED4" w:rsidRPr="00CB2CB5" w:rsidRDefault="003A5ED4" w:rsidP="003A5ED4">
      <w:pPr>
        <w:spacing w:line="276" w:lineRule="auto"/>
        <w:ind w:left="540"/>
        <w:rPr>
          <w:rFonts w:eastAsia="Times New Roman"/>
        </w:rPr>
      </w:pPr>
    </w:p>
    <w:p w14:paraId="6962EF34" w14:textId="77777777" w:rsidR="003A5ED4" w:rsidRPr="00CB2CB5" w:rsidRDefault="003A5ED4" w:rsidP="003A5ED4">
      <w:pPr>
        <w:spacing w:line="276" w:lineRule="auto"/>
        <w:ind w:left="540"/>
        <w:rPr>
          <w:rFonts w:eastAsia="Times New Roman"/>
        </w:rPr>
      </w:pPr>
      <w:r w:rsidRPr="00CB2CB5">
        <w:rPr>
          <w:rFonts w:eastAsia="Times New Roman"/>
        </w:rPr>
        <w:t xml:space="preserve">DEMAND RESPONSE RESOURCE OPTION </w:t>
      </w:r>
    </w:p>
    <w:p w14:paraId="137F81C6" w14:textId="77777777" w:rsidR="003A5ED4" w:rsidRPr="00CB2CB5" w:rsidRDefault="003A5ED4" w:rsidP="003A5ED4">
      <w:pPr>
        <w:spacing w:line="276" w:lineRule="auto"/>
        <w:ind w:left="540"/>
        <w:rPr>
          <w:rFonts w:eastAsia="Times New Roman"/>
        </w:rPr>
      </w:pPr>
    </w:p>
    <w:p w14:paraId="1DA24147" w14:textId="1B7CB533" w:rsidR="003A5ED4" w:rsidRPr="00CB2CB5" w:rsidRDefault="003A5ED4" w:rsidP="003A5ED4">
      <w:pPr>
        <w:spacing w:line="276" w:lineRule="auto"/>
        <w:ind w:left="540"/>
        <w:rPr>
          <w:rFonts w:eastAsia="Times New Roman"/>
        </w:rPr>
      </w:pPr>
      <w:r w:rsidRPr="00CB2CB5">
        <w:rPr>
          <w:rFonts w:eastAsia="Times New Roman"/>
        </w:rPr>
        <w:t>EPE also include</w:t>
      </w:r>
      <w:r>
        <w:rPr>
          <w:rFonts w:eastAsia="Times New Roman"/>
        </w:rPr>
        <w:t>s Load Management (“LM”) Programs as a resource option</w:t>
      </w:r>
      <w:r w:rsidRPr="00CB2CB5">
        <w:rPr>
          <w:rFonts w:eastAsia="Times New Roman"/>
        </w:rPr>
        <w:t xml:space="preserve">.  When considering </w:t>
      </w:r>
      <w:r>
        <w:rPr>
          <w:rFonts w:eastAsia="Times New Roman"/>
        </w:rPr>
        <w:t>LM</w:t>
      </w:r>
      <w:r w:rsidRPr="00CB2CB5">
        <w:rPr>
          <w:rFonts w:eastAsia="Times New Roman"/>
        </w:rPr>
        <w:t xml:space="preserve"> as a resource, it is important </w:t>
      </w:r>
      <w:r w:rsidR="00C30483">
        <w:rPr>
          <w:rFonts w:eastAsia="Times New Roman"/>
        </w:rPr>
        <w:t xml:space="preserve">to understand </w:t>
      </w:r>
      <w:r w:rsidRPr="00CB2CB5">
        <w:rPr>
          <w:rFonts w:eastAsia="Times New Roman"/>
        </w:rPr>
        <w:t xml:space="preserve">that events are limited and subject to customer acceptance.  When a </w:t>
      </w:r>
      <w:r>
        <w:rPr>
          <w:rFonts w:eastAsia="Times New Roman"/>
        </w:rPr>
        <w:t>LM</w:t>
      </w:r>
      <w:r w:rsidRPr="00CB2CB5">
        <w:rPr>
          <w:rFonts w:eastAsia="Times New Roman"/>
        </w:rPr>
        <w:t xml:space="preserve"> event is called, customers have the choice to allow for the interruption or to opt out.  If customers decide to opt out, the resource's contribution to peak will be limited.  Furthermore, if a </w:t>
      </w:r>
      <w:r>
        <w:rPr>
          <w:rFonts w:eastAsia="Times New Roman"/>
        </w:rPr>
        <w:t>LM</w:t>
      </w:r>
      <w:r w:rsidRPr="00CB2CB5">
        <w:rPr>
          <w:rFonts w:eastAsia="Times New Roman"/>
        </w:rPr>
        <w:t xml:space="preserve"> event were to last multiple hours, customers who did not opt out may start using energy before the event ends, which would increase system load.  </w:t>
      </w:r>
    </w:p>
    <w:p w14:paraId="74AF0B0B" w14:textId="77777777" w:rsidR="003A5ED4" w:rsidRPr="00CB2CB5" w:rsidRDefault="003A5ED4" w:rsidP="003A5ED4">
      <w:pPr>
        <w:spacing w:line="276" w:lineRule="auto"/>
        <w:ind w:left="540"/>
        <w:rPr>
          <w:rFonts w:eastAsia="Times New Roman"/>
        </w:rPr>
      </w:pPr>
    </w:p>
    <w:p w14:paraId="7A47A56C" w14:textId="494F625F" w:rsidR="003A5ED4" w:rsidRDefault="003A5ED4" w:rsidP="003A5ED4">
      <w:pPr>
        <w:spacing w:line="276" w:lineRule="auto"/>
        <w:ind w:left="540"/>
        <w:rPr>
          <w:rFonts w:eastAsia="Times New Roman"/>
        </w:rPr>
      </w:pPr>
      <w:r w:rsidRPr="00CB2CB5">
        <w:rPr>
          <w:rFonts w:eastAsia="Times New Roman"/>
        </w:rPr>
        <w:t xml:space="preserve">EPE </w:t>
      </w:r>
      <w:r>
        <w:rPr>
          <w:rFonts w:eastAsia="Times New Roman"/>
        </w:rPr>
        <w:t xml:space="preserve">reviewed the </w:t>
      </w:r>
      <w:r w:rsidR="00202A9C">
        <w:rPr>
          <w:rFonts w:eastAsia="Times New Roman"/>
        </w:rPr>
        <w:t xml:space="preserve">EPE </w:t>
      </w:r>
      <w:r>
        <w:rPr>
          <w:rFonts w:eastAsia="Times New Roman"/>
        </w:rPr>
        <w:t xml:space="preserve">2019 </w:t>
      </w:r>
      <w:r w:rsidR="00202A9C">
        <w:rPr>
          <w:rFonts w:eastAsia="Times New Roman"/>
        </w:rPr>
        <w:t>Residential Appliance Saturation Survey (“RASS”)</w:t>
      </w:r>
      <w:r w:rsidRPr="00CB2CB5">
        <w:rPr>
          <w:rFonts w:eastAsia="Times New Roman"/>
        </w:rPr>
        <w:t xml:space="preserve"> for viable </w:t>
      </w:r>
      <w:r>
        <w:rPr>
          <w:rFonts w:eastAsia="Times New Roman"/>
        </w:rPr>
        <w:t>D</w:t>
      </w:r>
      <w:r w:rsidRPr="00CB2CB5">
        <w:rPr>
          <w:rFonts w:eastAsia="Times New Roman"/>
        </w:rPr>
        <w:t xml:space="preserve">emand </w:t>
      </w:r>
      <w:r>
        <w:rPr>
          <w:rFonts w:eastAsia="Times New Roman"/>
        </w:rPr>
        <w:t>R</w:t>
      </w:r>
      <w:r w:rsidRPr="00CB2CB5">
        <w:rPr>
          <w:rFonts w:eastAsia="Times New Roman"/>
        </w:rPr>
        <w:t>esponse</w:t>
      </w:r>
      <w:r>
        <w:rPr>
          <w:rFonts w:eastAsia="Times New Roman"/>
        </w:rPr>
        <w:t xml:space="preserve"> </w:t>
      </w:r>
      <w:r w:rsidRPr="00CB2CB5">
        <w:rPr>
          <w:rFonts w:eastAsia="Times New Roman"/>
        </w:rPr>
        <w:t xml:space="preserve">programs </w:t>
      </w:r>
      <w:r>
        <w:rPr>
          <w:rFonts w:eastAsia="Times New Roman"/>
        </w:rPr>
        <w:t xml:space="preserve">based on appliance saturation rates and on benchmarking of neighboring utilities.  EPE identified the Smart Thermostat Program as the option with greatest potential with a Refrigerated Air saturation rate of 50.9% within the EPE territory.  For 2021 IRP, EPE modeled 50MW by 2040 for the reference case and 60 MW by 2040 for the high DR sensitivity case.  These DR amounts are comparable </w:t>
      </w:r>
      <w:r w:rsidR="00CD201A">
        <w:rPr>
          <w:rFonts w:eastAsia="Times New Roman"/>
        </w:rPr>
        <w:t xml:space="preserve">to the </w:t>
      </w:r>
      <w:r>
        <w:rPr>
          <w:rFonts w:eastAsia="Times New Roman"/>
        </w:rPr>
        <w:t>regional utility</w:t>
      </w:r>
      <w:r w:rsidR="00E66F4D">
        <w:rPr>
          <w:rFonts w:eastAsia="Times New Roman"/>
        </w:rPr>
        <w:t>,</w:t>
      </w:r>
      <w:r>
        <w:rPr>
          <w:rFonts w:eastAsia="Times New Roman"/>
        </w:rPr>
        <w:t xml:space="preserve"> PNM, which in a 2017 potential study </w:t>
      </w:r>
      <w:r w:rsidR="00E66F4D">
        <w:rPr>
          <w:rFonts w:eastAsia="Times New Roman"/>
        </w:rPr>
        <w:t>found that demand response potential in the range of 60</w:t>
      </w:r>
      <w:r w:rsidR="00CD201A">
        <w:rPr>
          <w:rFonts w:eastAsia="Times New Roman"/>
        </w:rPr>
        <w:t xml:space="preserve"> MW</w:t>
      </w:r>
      <w:r w:rsidR="00E66F4D">
        <w:rPr>
          <w:rFonts w:eastAsia="Times New Roman"/>
        </w:rPr>
        <w:t xml:space="preserve"> to 80 MW </w:t>
      </w:r>
      <w:r w:rsidR="00CD201A">
        <w:rPr>
          <w:rFonts w:eastAsia="Times New Roman"/>
        </w:rPr>
        <w:t xml:space="preserve">was </w:t>
      </w:r>
      <w:r w:rsidR="00E66F4D">
        <w:rPr>
          <w:rFonts w:eastAsia="Times New Roman"/>
        </w:rPr>
        <w:t>available</w:t>
      </w:r>
      <w:r w:rsidR="00CD201A">
        <w:rPr>
          <w:rFonts w:eastAsia="Times New Roman"/>
        </w:rPr>
        <w:t>, (PNM 2017-2036 IRP Plan).</w:t>
      </w:r>
      <w:r>
        <w:rPr>
          <w:rFonts w:eastAsia="Times New Roman"/>
        </w:rPr>
        <w:t xml:space="preserve">    </w:t>
      </w:r>
      <w:r w:rsidRPr="00CB2CB5">
        <w:rPr>
          <w:rFonts w:eastAsia="Times New Roman"/>
        </w:rPr>
        <w:t xml:space="preserve"> </w:t>
      </w:r>
    </w:p>
    <w:p w14:paraId="29A206F6" w14:textId="77777777" w:rsidR="003A5ED4" w:rsidRDefault="003A5ED4" w:rsidP="003A5ED4">
      <w:pPr>
        <w:spacing w:line="276" w:lineRule="auto"/>
        <w:ind w:left="540"/>
        <w:rPr>
          <w:rFonts w:eastAsia="Times New Roman"/>
        </w:rPr>
      </w:pPr>
    </w:p>
    <w:p w14:paraId="47F1E668" w14:textId="77777777" w:rsidR="003A5ED4" w:rsidRDefault="003A5ED4" w:rsidP="003A5ED4">
      <w:pPr>
        <w:spacing w:line="276" w:lineRule="auto"/>
        <w:ind w:left="540"/>
        <w:rPr>
          <w:rFonts w:eastAsia="Times New Roman"/>
        </w:rPr>
      </w:pPr>
      <w:r>
        <w:rPr>
          <w:rFonts w:eastAsia="Times New Roman"/>
        </w:rPr>
        <w:t>To identify future DSM programs, EPE is planning to work with a third party to conduct a Potential study as a follow up to the 2021 IRP.  EPE will be looking to include the following three elements in the study:</w:t>
      </w:r>
    </w:p>
    <w:p w14:paraId="2620F1DC" w14:textId="77777777" w:rsidR="003A5ED4" w:rsidRDefault="003A5ED4" w:rsidP="003A5ED4">
      <w:pPr>
        <w:spacing w:line="276" w:lineRule="auto"/>
        <w:ind w:left="540"/>
        <w:rPr>
          <w:rFonts w:eastAsia="Times New Roman"/>
        </w:rPr>
      </w:pPr>
    </w:p>
    <w:p w14:paraId="58EB42BD" w14:textId="77777777" w:rsidR="003A5ED4" w:rsidRPr="009A08AA" w:rsidRDefault="003A5ED4" w:rsidP="003A5ED4">
      <w:pPr>
        <w:pStyle w:val="ListParagraph"/>
        <w:numPr>
          <w:ilvl w:val="0"/>
          <w:numId w:val="142"/>
        </w:numPr>
        <w:spacing w:line="276" w:lineRule="auto"/>
        <w:rPr>
          <w:rFonts w:ascii="Times New Roman" w:eastAsia="Times New Roman" w:hAnsi="Times New Roman"/>
          <w:sz w:val="24"/>
          <w:szCs w:val="28"/>
        </w:rPr>
      </w:pPr>
      <w:r w:rsidRPr="009A08AA">
        <w:rPr>
          <w:rFonts w:ascii="Times New Roman" w:eastAsia="Times New Roman" w:hAnsi="Times New Roman"/>
          <w:sz w:val="24"/>
          <w:szCs w:val="28"/>
        </w:rPr>
        <w:lastRenderedPageBreak/>
        <w:t>Potential – How much DSM is there within the EPE territory?</w:t>
      </w:r>
    </w:p>
    <w:p w14:paraId="546C20E1" w14:textId="77777777" w:rsidR="003A5ED4" w:rsidRPr="009A08AA" w:rsidRDefault="003A5ED4" w:rsidP="003A5ED4">
      <w:pPr>
        <w:pStyle w:val="ListParagraph"/>
        <w:numPr>
          <w:ilvl w:val="0"/>
          <w:numId w:val="142"/>
        </w:numPr>
        <w:spacing w:line="276" w:lineRule="auto"/>
        <w:rPr>
          <w:rFonts w:ascii="Times New Roman" w:eastAsia="Times New Roman" w:hAnsi="Times New Roman"/>
          <w:sz w:val="24"/>
          <w:szCs w:val="28"/>
        </w:rPr>
      </w:pPr>
      <w:r w:rsidRPr="009A08AA">
        <w:rPr>
          <w:rFonts w:ascii="Times New Roman" w:eastAsia="Times New Roman" w:hAnsi="Times New Roman"/>
          <w:sz w:val="24"/>
          <w:szCs w:val="28"/>
        </w:rPr>
        <w:t>Economic – What is economically feasible?</w:t>
      </w:r>
    </w:p>
    <w:p w14:paraId="533637DF" w14:textId="690C97F2" w:rsidR="003A5ED4" w:rsidRPr="009A08AA" w:rsidRDefault="003A5ED4" w:rsidP="003A5ED4">
      <w:pPr>
        <w:pStyle w:val="ListParagraph"/>
        <w:numPr>
          <w:ilvl w:val="0"/>
          <w:numId w:val="142"/>
        </w:numPr>
        <w:spacing w:line="276" w:lineRule="auto"/>
        <w:rPr>
          <w:rFonts w:ascii="Times New Roman" w:eastAsia="Times New Roman" w:hAnsi="Times New Roman"/>
          <w:sz w:val="24"/>
          <w:szCs w:val="28"/>
        </w:rPr>
      </w:pPr>
      <w:r w:rsidRPr="009A08AA">
        <w:rPr>
          <w:rFonts w:ascii="Times New Roman" w:eastAsia="Times New Roman" w:hAnsi="Times New Roman"/>
          <w:sz w:val="24"/>
          <w:szCs w:val="28"/>
        </w:rPr>
        <w:t>Achievable- Given real world conditions, how much is achievable?</w:t>
      </w:r>
    </w:p>
    <w:p w14:paraId="620A4193" w14:textId="77777777" w:rsidR="003A5ED4" w:rsidRDefault="003A5ED4" w:rsidP="003A5ED4">
      <w:pPr>
        <w:spacing w:line="276" w:lineRule="auto"/>
        <w:ind w:left="540"/>
        <w:rPr>
          <w:rFonts w:eastAsia="Times New Roman"/>
        </w:rPr>
      </w:pPr>
    </w:p>
    <w:p w14:paraId="1A2B8C16" w14:textId="19284D63" w:rsidR="003C0EF8" w:rsidRDefault="003C0EF8" w:rsidP="00286B74">
      <w:pPr>
        <w:spacing w:line="276" w:lineRule="auto"/>
        <w:ind w:left="540"/>
        <w:rPr>
          <w:rFonts w:eastAsia="Times New Roman"/>
          <w:bCs/>
          <w:caps/>
        </w:rPr>
      </w:pPr>
      <w:r w:rsidRPr="00CF2019">
        <w:rPr>
          <w:rFonts w:eastAsia="Times New Roman"/>
          <w:bCs/>
          <w:caps/>
        </w:rPr>
        <w:t>rates and tariffs that incor</w:t>
      </w:r>
      <w:r w:rsidR="00D01B09" w:rsidRPr="00CF2019">
        <w:rPr>
          <w:rFonts w:eastAsia="Times New Roman"/>
          <w:bCs/>
          <w:caps/>
        </w:rPr>
        <w:t>porate load management concepts</w:t>
      </w:r>
    </w:p>
    <w:p w14:paraId="3A2D7C86" w14:textId="77777777" w:rsidR="00CF2019" w:rsidRPr="00CF2019" w:rsidRDefault="00CF2019" w:rsidP="00286B74">
      <w:pPr>
        <w:spacing w:line="276" w:lineRule="auto"/>
        <w:ind w:left="540"/>
        <w:rPr>
          <w:rFonts w:eastAsia="Times New Roman"/>
          <w:bCs/>
          <w:caps/>
        </w:rPr>
      </w:pPr>
    </w:p>
    <w:p w14:paraId="13A9D746" w14:textId="5ACE4B80" w:rsidR="008C25BD" w:rsidRPr="00CB2CB5" w:rsidRDefault="008C25BD" w:rsidP="00532A03">
      <w:pPr>
        <w:spacing w:line="276" w:lineRule="auto"/>
        <w:ind w:left="547"/>
      </w:pPr>
      <w:r w:rsidRPr="00CB2CB5">
        <w:t xml:space="preserve">17.7.3.9.F(3) NMAC requires that EPE describe in its </w:t>
      </w:r>
      <w:r w:rsidR="007E0297" w:rsidRPr="00CB2CB5">
        <w:t>Plan</w:t>
      </w:r>
      <w:r w:rsidRPr="00CB2CB5">
        <w:t xml:space="preserve"> </w:t>
      </w:r>
      <w:r w:rsidR="00B81EE4" w:rsidRPr="00CB2CB5">
        <w:t>"</w:t>
      </w:r>
      <w:r w:rsidRPr="00CB2CB5">
        <w:t>existing rates and tariffs that incorporate load management or load shifting concepts</w:t>
      </w:r>
      <w:r w:rsidR="00B81EE4" w:rsidRPr="00CB2CB5">
        <w:t>"</w:t>
      </w:r>
      <w:r w:rsidRPr="00CB2CB5">
        <w:t xml:space="preserve"> as well as </w:t>
      </w:r>
      <w:r w:rsidR="00B81EE4" w:rsidRPr="00CB2CB5">
        <w:t>"</w:t>
      </w:r>
      <w:r w:rsidRPr="00CB2CB5">
        <w:t>how changes in the rate design might assist in meeting, delaying or avoiding the need for new capacity</w:t>
      </w:r>
      <w:r w:rsidR="00B81EE4" w:rsidRPr="00CB2CB5">
        <w:t>"</w:t>
      </w:r>
      <w:r w:rsidRPr="00CB2CB5">
        <w:t>.  This section includes the information required by the Rule for EPE</w:t>
      </w:r>
      <w:r w:rsidR="00B81EE4" w:rsidRPr="00CB2CB5">
        <w:t>'</w:t>
      </w:r>
      <w:r w:rsidRPr="00CB2CB5">
        <w:t xml:space="preserve">s service territory generally, with more specific information included where rate and rate structure differences exist across jurisdictions.  </w:t>
      </w:r>
      <w:r w:rsidR="0047072A" w:rsidRPr="00CB2CB5">
        <w:t>EPE also addresses evaluation of the impact of rate design on peak demand and energy consumption reflected in EPE</w:t>
      </w:r>
      <w:r w:rsidR="00B81EE4" w:rsidRPr="00CB2CB5">
        <w:t>'</w:t>
      </w:r>
      <w:r w:rsidR="0047072A" w:rsidRPr="00CB2CB5">
        <w:t xml:space="preserve">s load forecast.  </w:t>
      </w:r>
      <w:r w:rsidRPr="00CB2CB5">
        <w:t>EPE attempts to provide rates and rate structures consistently across its entire jurisdiction, especially as those rates and rate structures are intended to provide pricing and options designed to enable and incentivize economic decisions by customers with implications for the entire EPE system.</w:t>
      </w:r>
    </w:p>
    <w:p w14:paraId="75B46381" w14:textId="77777777" w:rsidR="00532A03" w:rsidRPr="00CB2CB5" w:rsidRDefault="00532A03" w:rsidP="00532A03">
      <w:pPr>
        <w:spacing w:line="276" w:lineRule="auto"/>
        <w:ind w:left="547"/>
      </w:pPr>
    </w:p>
    <w:p w14:paraId="245A4C38" w14:textId="1DAB4F7D" w:rsidR="008C25BD" w:rsidRDefault="008C25BD" w:rsidP="00532A03">
      <w:pPr>
        <w:spacing w:line="276" w:lineRule="auto"/>
        <w:ind w:left="547"/>
      </w:pPr>
      <w:r w:rsidRPr="00CB2CB5">
        <w:t xml:space="preserve">EPE's base rates are designed to recover the cost of providing electric service, including generation, transmission and distribution costs and associated </w:t>
      </w:r>
      <w:proofErr w:type="spellStart"/>
      <w:r w:rsidRPr="00CB2CB5">
        <w:t>O&amp;M</w:t>
      </w:r>
      <w:proofErr w:type="spellEnd"/>
      <w:r w:rsidRPr="00CB2CB5">
        <w:t xml:space="preserve"> expenses; general and administrative expenses; depreciation expense; taxes and an allowed rate of return on rate base. </w:t>
      </w:r>
      <w:r w:rsidR="00E0061F" w:rsidRPr="00CB2CB5">
        <w:t xml:space="preserve"> </w:t>
      </w:r>
      <w:r w:rsidRPr="00CB2CB5">
        <w:t xml:space="preserve">In New Mexico, fuel and purchased power costs are </w:t>
      </w:r>
      <w:r w:rsidR="007E0297" w:rsidRPr="00CB2CB5">
        <w:t>recovered</w:t>
      </w:r>
      <w:r w:rsidRPr="00CB2CB5">
        <w:t xml:space="preserve"> through a Fuel and Purchased Power Cost Adjustment Clause </w:t>
      </w:r>
      <w:r w:rsidR="00282AD7" w:rsidRPr="00CB2CB5">
        <w:t>monthly</w:t>
      </w:r>
      <w:r w:rsidRPr="00CB2CB5">
        <w:t xml:space="preserve">, in accordance with </w:t>
      </w:r>
      <w:r w:rsidR="007E0297" w:rsidRPr="00CB2CB5">
        <w:t>1</w:t>
      </w:r>
      <w:r w:rsidR="00E42752" w:rsidRPr="00CB2CB5">
        <w:t>7</w:t>
      </w:r>
      <w:r w:rsidR="007E0297" w:rsidRPr="00CB2CB5">
        <w:t>.9.550</w:t>
      </w:r>
      <w:r w:rsidR="00532A03" w:rsidRPr="00CB2CB5">
        <w:t> </w:t>
      </w:r>
      <w:r w:rsidR="007E0297" w:rsidRPr="00CB2CB5">
        <w:t>NMAC</w:t>
      </w:r>
      <w:r w:rsidRPr="00CB2CB5">
        <w:t xml:space="preserve"> requirements.  In Texas, fuel costs are recovered through a Fixed Fuel Factor </w:t>
      </w:r>
      <w:r w:rsidR="007E0297" w:rsidRPr="00CB2CB5">
        <w:t>in accordance with regulatory requirements</w:t>
      </w:r>
      <w:r w:rsidRPr="00CB2CB5">
        <w:t>.  EPE's approved tariff schedules offer options to customers, including time-of-</w:t>
      </w:r>
      <w:r w:rsidR="0091238C">
        <w:t>day</w:t>
      </w:r>
      <w:r w:rsidRPr="00CB2CB5">
        <w:t xml:space="preserve"> ("TO</w:t>
      </w:r>
      <w:r w:rsidR="0091238C">
        <w:t>D</w:t>
      </w:r>
      <w:r w:rsidRPr="00CB2CB5">
        <w:t xml:space="preserve">") alternatives that provide pricing intended to communicate differentials in the cost of providing electric service and </w:t>
      </w:r>
      <w:r w:rsidR="007E0297" w:rsidRPr="00CB2CB5">
        <w:t xml:space="preserve">to </w:t>
      </w:r>
      <w:r w:rsidRPr="00CB2CB5">
        <w:t>encourage customers to shift energy use to off-peak periods.  These pricing differentials reflect, to the extent practical and contingent on regulatory approval, the differences in cost associated with serving load at different times of the year (seasonal) and day.</w:t>
      </w:r>
    </w:p>
    <w:p w14:paraId="372AB9AA" w14:textId="77777777" w:rsidR="00532A03" w:rsidRPr="00CB2CB5" w:rsidRDefault="00532A03" w:rsidP="00532A03">
      <w:pPr>
        <w:spacing w:line="276" w:lineRule="auto"/>
        <w:ind w:left="547"/>
      </w:pPr>
    </w:p>
    <w:p w14:paraId="02B022E8" w14:textId="77777777" w:rsidR="005B0D5F" w:rsidRPr="00CB2CB5" w:rsidRDefault="005B0D5F" w:rsidP="005B0D5F">
      <w:pPr>
        <w:spacing w:line="276" w:lineRule="auto"/>
        <w:ind w:left="540"/>
        <w:rPr>
          <w:b/>
          <w:u w:val="single"/>
        </w:rPr>
      </w:pPr>
      <w:r w:rsidRPr="00CB2CB5">
        <w:rPr>
          <w:b/>
          <w:u w:val="single"/>
        </w:rPr>
        <w:t>Advanced Metering Initiatives (AMI) and Customer Options</w:t>
      </w:r>
    </w:p>
    <w:p w14:paraId="3A37CEE9" w14:textId="77777777" w:rsidR="005B0D5F" w:rsidRPr="00CB2CB5" w:rsidRDefault="005B0D5F" w:rsidP="005B0D5F">
      <w:pPr>
        <w:spacing w:line="276" w:lineRule="auto"/>
      </w:pPr>
    </w:p>
    <w:p w14:paraId="0A099612" w14:textId="647443E5" w:rsidR="005B0D5F" w:rsidRPr="005B0D5F" w:rsidRDefault="005B0D5F" w:rsidP="005B0D5F">
      <w:pPr>
        <w:spacing w:line="276" w:lineRule="auto"/>
        <w:ind w:left="540"/>
      </w:pPr>
      <w:r w:rsidRPr="00CB2CB5">
        <w:t xml:space="preserve">System-wide advanced metering enables the maximum availability of pricing options and customer programs designed to provide benefits to customers and the overall system.  For purposes of this discussion system-wide "advanced metering" means retail metering capable of providing interval metering data accessible to EPE for analysis and billing purposes on at least a monthly basis, and the data processing systems capable of managing the data and computing bills under complicated pricing programs.  Implicit in this definition is EPE's ability to access and process data on an accelerated basis; from acquiring the data from meters, communicating that data to databases, and accessing the data for analysis and billing </w:t>
      </w:r>
      <w:r w:rsidRPr="00CB2CB5">
        <w:lastRenderedPageBreak/>
        <w:t>purposes.</w:t>
      </w:r>
      <w:r>
        <w:t xml:space="preserve">  On April 19, 2021, EPE filed its Automated Metering System</w:t>
      </w:r>
      <w:r w:rsidR="0098265E">
        <w:t xml:space="preserve"> (“AMS”)</w:t>
      </w:r>
      <w:r>
        <w:t xml:space="preserve"> plan in </w:t>
      </w:r>
      <w:r w:rsidR="009B03FC">
        <w:t xml:space="preserve">Texas </w:t>
      </w:r>
      <w:r>
        <w:t>Docket No. 52040-</w:t>
      </w:r>
      <w:r w:rsidR="009B03FC">
        <w:rPr>
          <w:i/>
          <w:iCs/>
        </w:rPr>
        <w:t>Application of</w:t>
      </w:r>
      <w:r w:rsidRPr="009B03FC">
        <w:rPr>
          <w:i/>
          <w:iCs/>
        </w:rPr>
        <w:t xml:space="preserve"> E</w:t>
      </w:r>
      <w:r w:rsidR="009B03FC">
        <w:rPr>
          <w:i/>
          <w:iCs/>
        </w:rPr>
        <w:t>l</w:t>
      </w:r>
      <w:r w:rsidRPr="009B03FC">
        <w:rPr>
          <w:i/>
          <w:iCs/>
        </w:rPr>
        <w:t xml:space="preserve"> P</w:t>
      </w:r>
      <w:r w:rsidR="009B03FC">
        <w:rPr>
          <w:i/>
          <w:iCs/>
        </w:rPr>
        <w:t>aso</w:t>
      </w:r>
      <w:r w:rsidRPr="009B03FC">
        <w:rPr>
          <w:i/>
          <w:iCs/>
        </w:rPr>
        <w:t xml:space="preserve"> E</w:t>
      </w:r>
      <w:r w:rsidR="009B03FC">
        <w:rPr>
          <w:i/>
          <w:iCs/>
        </w:rPr>
        <w:t>lectric</w:t>
      </w:r>
      <w:r w:rsidRPr="009B03FC">
        <w:rPr>
          <w:i/>
          <w:iCs/>
        </w:rPr>
        <w:t xml:space="preserve"> C</w:t>
      </w:r>
      <w:r w:rsidR="009B03FC">
        <w:rPr>
          <w:i/>
          <w:iCs/>
        </w:rPr>
        <w:t>ompany for Advanced Metering System</w:t>
      </w:r>
      <w:r w:rsidRPr="009B03FC">
        <w:rPr>
          <w:i/>
          <w:iCs/>
        </w:rPr>
        <w:t xml:space="preserve"> (AMS) </w:t>
      </w:r>
      <w:r w:rsidR="009B03FC">
        <w:rPr>
          <w:i/>
          <w:iCs/>
        </w:rPr>
        <w:t>Deployment</w:t>
      </w:r>
      <w:r w:rsidRPr="009B03FC">
        <w:rPr>
          <w:i/>
          <w:iCs/>
        </w:rPr>
        <w:t xml:space="preserve"> P</w:t>
      </w:r>
      <w:r w:rsidR="009B03FC">
        <w:rPr>
          <w:i/>
          <w:iCs/>
        </w:rPr>
        <w:t>lan</w:t>
      </w:r>
      <w:r w:rsidRPr="009B03FC">
        <w:rPr>
          <w:i/>
          <w:iCs/>
        </w:rPr>
        <w:t>, AMS S</w:t>
      </w:r>
      <w:r w:rsidR="009B03FC">
        <w:rPr>
          <w:i/>
          <w:iCs/>
        </w:rPr>
        <w:t>urcharge</w:t>
      </w:r>
      <w:r w:rsidRPr="009B03FC">
        <w:rPr>
          <w:i/>
          <w:iCs/>
        </w:rPr>
        <w:t xml:space="preserve">, </w:t>
      </w:r>
      <w:r w:rsidR="009B03FC">
        <w:rPr>
          <w:i/>
          <w:iCs/>
        </w:rPr>
        <w:t>and</w:t>
      </w:r>
      <w:r w:rsidRPr="009B03FC">
        <w:rPr>
          <w:i/>
          <w:iCs/>
        </w:rPr>
        <w:t xml:space="preserve"> N</w:t>
      </w:r>
      <w:r w:rsidR="009B03FC">
        <w:rPr>
          <w:i/>
          <w:iCs/>
        </w:rPr>
        <w:t>on</w:t>
      </w:r>
      <w:r w:rsidRPr="009B03FC">
        <w:rPr>
          <w:i/>
          <w:iCs/>
        </w:rPr>
        <w:t>-S</w:t>
      </w:r>
      <w:r w:rsidR="009B03FC">
        <w:rPr>
          <w:i/>
          <w:iCs/>
        </w:rPr>
        <w:t>tandard</w:t>
      </w:r>
      <w:r w:rsidRPr="009B03FC">
        <w:rPr>
          <w:i/>
          <w:iCs/>
        </w:rPr>
        <w:t xml:space="preserve"> M</w:t>
      </w:r>
      <w:r w:rsidR="009B03FC">
        <w:rPr>
          <w:i/>
          <w:iCs/>
        </w:rPr>
        <w:t>etering</w:t>
      </w:r>
      <w:r w:rsidRPr="009B03FC">
        <w:rPr>
          <w:i/>
          <w:iCs/>
        </w:rPr>
        <w:t xml:space="preserve"> S</w:t>
      </w:r>
      <w:r w:rsidR="009B03FC">
        <w:rPr>
          <w:i/>
          <w:iCs/>
        </w:rPr>
        <w:t>ervice</w:t>
      </w:r>
      <w:r w:rsidRPr="009B03FC">
        <w:rPr>
          <w:i/>
          <w:iCs/>
        </w:rPr>
        <w:t xml:space="preserve"> F</w:t>
      </w:r>
      <w:r w:rsidR="009B03FC">
        <w:rPr>
          <w:i/>
          <w:iCs/>
        </w:rPr>
        <w:t>ees</w:t>
      </w:r>
      <w:r>
        <w:rPr>
          <w:i/>
          <w:iCs/>
        </w:rPr>
        <w:t xml:space="preserve">. </w:t>
      </w:r>
      <w:r>
        <w:t xml:space="preserve"> EPE plans to file its grid modernization</w:t>
      </w:r>
      <w:r w:rsidR="0098265E">
        <w:t xml:space="preserve"> </w:t>
      </w:r>
      <w:r w:rsidR="009B03FC">
        <w:t xml:space="preserve">plan </w:t>
      </w:r>
      <w:r w:rsidR="0098265E">
        <w:t>this year that will include EPE’s AMS for New Mexico.</w:t>
      </w:r>
      <w:r>
        <w:t xml:space="preserve"> </w:t>
      </w:r>
    </w:p>
    <w:p w14:paraId="291CA07E" w14:textId="77777777" w:rsidR="005B0D5F" w:rsidRPr="00CB2CB5" w:rsidRDefault="005B0D5F" w:rsidP="005B0D5F">
      <w:pPr>
        <w:spacing w:line="276" w:lineRule="auto"/>
        <w:ind w:left="540"/>
      </w:pPr>
    </w:p>
    <w:p w14:paraId="7D2186DF" w14:textId="77777777" w:rsidR="008C25BD" w:rsidRPr="00CB2CB5" w:rsidRDefault="008C25BD" w:rsidP="00532A03">
      <w:pPr>
        <w:spacing w:line="276" w:lineRule="auto"/>
        <w:ind w:left="547"/>
        <w:jc w:val="left"/>
        <w:rPr>
          <w:b/>
          <w:u w:val="single"/>
        </w:rPr>
      </w:pPr>
      <w:r w:rsidRPr="00CB2CB5">
        <w:rPr>
          <w:b/>
          <w:u w:val="single"/>
        </w:rPr>
        <w:t xml:space="preserve">Rate Structures Incorporating Load Management or Load Shifting Concepts </w:t>
      </w:r>
    </w:p>
    <w:p w14:paraId="0A400A3B" w14:textId="77777777" w:rsidR="00532A03" w:rsidRPr="00CB2CB5" w:rsidRDefault="00532A03" w:rsidP="00532A03">
      <w:pPr>
        <w:spacing w:line="276" w:lineRule="auto"/>
        <w:ind w:left="547" w:right="274"/>
      </w:pPr>
    </w:p>
    <w:p w14:paraId="55D53E97" w14:textId="77777777" w:rsidR="007E0297" w:rsidRPr="00CB2CB5" w:rsidRDefault="007E0297" w:rsidP="00532A03">
      <w:pPr>
        <w:spacing w:line="276" w:lineRule="auto"/>
        <w:ind w:left="547" w:right="274"/>
      </w:pPr>
      <w:r w:rsidRPr="00CB2CB5">
        <w:t>New Mexico rate structures are described as follows:</w:t>
      </w:r>
    </w:p>
    <w:p w14:paraId="70CF19CB" w14:textId="77777777" w:rsidR="00532A03" w:rsidRPr="00CB2CB5" w:rsidRDefault="00532A03" w:rsidP="00532A03">
      <w:pPr>
        <w:spacing w:line="276" w:lineRule="auto"/>
        <w:ind w:left="547" w:right="274"/>
      </w:pPr>
    </w:p>
    <w:p w14:paraId="541D7303" w14:textId="77777777" w:rsidR="008C25BD" w:rsidRPr="00CB2CB5" w:rsidRDefault="008C25BD" w:rsidP="00532A03">
      <w:pPr>
        <w:spacing w:line="276" w:lineRule="auto"/>
        <w:ind w:left="547" w:right="274" w:hanging="7"/>
      </w:pPr>
      <w:r w:rsidRPr="00CB2CB5">
        <w:rPr>
          <w:b/>
        </w:rPr>
        <w:t>Seasonal Rates</w:t>
      </w:r>
      <w:r w:rsidRPr="00CB2CB5">
        <w:t xml:space="preserve"> – Rate differentials between summer and winter usage are provided for all non-lighting rates. </w:t>
      </w:r>
      <w:r w:rsidR="00E0061F" w:rsidRPr="00CB2CB5">
        <w:t xml:space="preserve"> </w:t>
      </w:r>
      <w:r w:rsidRPr="00CB2CB5">
        <w:t>These seasonal differentials were designed to incentivize energy efficiency and conservation during the summer peak season.</w:t>
      </w:r>
    </w:p>
    <w:p w14:paraId="08D21415" w14:textId="77777777" w:rsidR="00532A03" w:rsidRPr="00CB2CB5" w:rsidRDefault="00532A03" w:rsidP="00532A03">
      <w:pPr>
        <w:spacing w:line="276" w:lineRule="auto"/>
        <w:ind w:left="547" w:right="274" w:hanging="7"/>
      </w:pPr>
    </w:p>
    <w:p w14:paraId="7E5922DF" w14:textId="4662651D" w:rsidR="008C25BD" w:rsidRPr="00CB2CB5" w:rsidRDefault="008C25BD" w:rsidP="00CF2019">
      <w:pPr>
        <w:spacing w:line="276" w:lineRule="auto"/>
        <w:ind w:left="547" w:right="274" w:hanging="7"/>
      </w:pPr>
      <w:r w:rsidRPr="00CB2CB5">
        <w:rPr>
          <w:b/>
          <w:bCs/>
        </w:rPr>
        <w:t>TO</w:t>
      </w:r>
      <w:r w:rsidR="0091238C">
        <w:rPr>
          <w:b/>
          <w:bCs/>
        </w:rPr>
        <w:t>D</w:t>
      </w:r>
      <w:r w:rsidRPr="00CB2CB5">
        <w:rPr>
          <w:b/>
          <w:bCs/>
        </w:rPr>
        <w:t xml:space="preserve"> Rates </w:t>
      </w:r>
      <w:r w:rsidRPr="00CB2CB5">
        <w:rPr>
          <w:bCs/>
        </w:rPr>
        <w:t xml:space="preserve">– </w:t>
      </w:r>
      <w:r w:rsidR="009662FD">
        <w:rPr>
          <w:bCs/>
        </w:rPr>
        <w:t xml:space="preserve">In EPE’s most recent rate case, Case No. 20-00104-UT, EPE proposed expanding the number of classes with available TOD rate options.  </w:t>
      </w:r>
      <w:r w:rsidRPr="00CB2CB5">
        <w:rPr>
          <w:bCs/>
        </w:rPr>
        <w:t xml:space="preserve">Rate classes with a </w:t>
      </w:r>
      <w:r w:rsidR="00FD3B04" w:rsidRPr="00CB2CB5">
        <w:rPr>
          <w:bCs/>
        </w:rPr>
        <w:t>TO</w:t>
      </w:r>
      <w:r w:rsidR="00FD3B04">
        <w:rPr>
          <w:bCs/>
        </w:rPr>
        <w:t>D</w:t>
      </w:r>
      <w:r w:rsidR="00FD3B04" w:rsidRPr="00CB2CB5">
        <w:rPr>
          <w:bCs/>
        </w:rPr>
        <w:t xml:space="preserve"> </w:t>
      </w:r>
      <w:r w:rsidRPr="00CB2CB5">
        <w:rPr>
          <w:bCs/>
        </w:rPr>
        <w:t>rate option</w:t>
      </w:r>
      <w:r w:rsidR="00EB656A">
        <w:rPr>
          <w:bCs/>
        </w:rPr>
        <w:t>s</w:t>
      </w:r>
      <w:r w:rsidRPr="00CB2CB5">
        <w:rPr>
          <w:bCs/>
        </w:rPr>
        <w:t xml:space="preserve"> are the Residential Service, </w:t>
      </w:r>
      <w:r w:rsidR="00FD3B04">
        <w:rPr>
          <w:bCs/>
        </w:rPr>
        <w:t xml:space="preserve">Small General Service, </w:t>
      </w:r>
      <w:r w:rsidRPr="00CB2CB5">
        <w:rPr>
          <w:bCs/>
        </w:rPr>
        <w:t>General Service, Irrigation Service</w:t>
      </w:r>
      <w:r w:rsidR="00EB656A">
        <w:rPr>
          <w:bCs/>
        </w:rPr>
        <w:t>, City County Service,</w:t>
      </w:r>
      <w:r w:rsidRPr="00CB2CB5">
        <w:rPr>
          <w:bCs/>
        </w:rPr>
        <w:t xml:space="preserve"> </w:t>
      </w:r>
      <w:r w:rsidR="00EB656A">
        <w:rPr>
          <w:bCs/>
        </w:rPr>
        <w:t xml:space="preserve">and </w:t>
      </w:r>
      <w:r w:rsidR="00EB656A">
        <w:t>Water, Sewage and Storm Sewage Pumping Service</w:t>
      </w:r>
      <w:r w:rsidR="00EB656A" w:rsidRPr="00CB2CB5">
        <w:rPr>
          <w:bCs/>
        </w:rPr>
        <w:t xml:space="preserve"> </w:t>
      </w:r>
      <w:r w:rsidRPr="00CB2CB5">
        <w:rPr>
          <w:bCs/>
        </w:rPr>
        <w:t>Rates.  The standard Large Power Service</w:t>
      </w:r>
      <w:r w:rsidR="00EB656A">
        <w:rPr>
          <w:bCs/>
        </w:rPr>
        <w:t>,</w:t>
      </w:r>
      <w:r w:rsidRPr="00CB2CB5">
        <w:rPr>
          <w:bCs/>
        </w:rPr>
        <w:t xml:space="preserve"> </w:t>
      </w:r>
      <w:r w:rsidR="00EB656A" w:rsidRPr="00CB2CB5">
        <w:rPr>
          <w:bCs/>
        </w:rPr>
        <w:t xml:space="preserve">Military Research &amp; Development </w:t>
      </w:r>
      <w:r w:rsidRPr="00CB2CB5">
        <w:rPr>
          <w:bCs/>
        </w:rPr>
        <w:t>and State University Service rates are TO</w:t>
      </w:r>
      <w:r w:rsidR="00FD3B04">
        <w:rPr>
          <w:bCs/>
        </w:rPr>
        <w:t>D</w:t>
      </w:r>
      <w:r w:rsidRPr="00CB2CB5">
        <w:rPr>
          <w:bCs/>
        </w:rPr>
        <w:t xml:space="preserve"> rates.  </w:t>
      </w:r>
      <w:r w:rsidR="00CF2019">
        <w:rPr>
          <w:bCs/>
        </w:rPr>
        <w:t xml:space="preserve">Additionally, </w:t>
      </w:r>
      <w:r w:rsidR="00CF2019" w:rsidRPr="00CF2019">
        <w:rPr>
          <w:bCs/>
        </w:rPr>
        <w:t xml:space="preserve">TOD rates </w:t>
      </w:r>
      <w:r w:rsidR="00CF2019">
        <w:rPr>
          <w:bCs/>
        </w:rPr>
        <w:t xml:space="preserve">are </w:t>
      </w:r>
      <w:r w:rsidR="00CF2019" w:rsidRPr="00CF2019">
        <w:rPr>
          <w:bCs/>
        </w:rPr>
        <w:t>mandatory for new customers requesting service under</w:t>
      </w:r>
      <w:r w:rsidR="00471009">
        <w:rPr>
          <w:bCs/>
        </w:rPr>
        <w:t>;</w:t>
      </w:r>
      <w:r w:rsidR="00CF2019" w:rsidRPr="00CF2019">
        <w:rPr>
          <w:bCs/>
        </w:rPr>
        <w:t xml:space="preserve"> (1) the Water, Sewage and Storm Sewage Pumping Service class; and (2) the General Service</w:t>
      </w:r>
      <w:r w:rsidR="00CF2019">
        <w:rPr>
          <w:bCs/>
        </w:rPr>
        <w:t xml:space="preserve"> </w:t>
      </w:r>
      <w:r w:rsidR="00CF2019" w:rsidRPr="00CF2019">
        <w:rPr>
          <w:bCs/>
        </w:rPr>
        <w:t>class, if a customer’s maximum demand is expected to be 400 kW or greater.</w:t>
      </w:r>
      <w:r w:rsidR="00CF2019">
        <w:rPr>
          <w:bCs/>
        </w:rPr>
        <w:t xml:space="preserve"> </w:t>
      </w:r>
      <w:r w:rsidR="00471009">
        <w:rPr>
          <w:bCs/>
        </w:rPr>
        <w:t xml:space="preserve"> </w:t>
      </w:r>
      <w:r w:rsidRPr="00CB2CB5">
        <w:rPr>
          <w:bCs/>
        </w:rPr>
        <w:t>TO</w:t>
      </w:r>
      <w:r w:rsidR="00FD3B04">
        <w:rPr>
          <w:bCs/>
        </w:rPr>
        <w:t>D</w:t>
      </w:r>
      <w:r w:rsidRPr="00CB2CB5">
        <w:rPr>
          <w:bCs/>
        </w:rPr>
        <w:t xml:space="preserve"> rates contain p</w:t>
      </w:r>
      <w:r w:rsidRPr="00CB2CB5">
        <w:t xml:space="preserve">rice differentials between kWh during </w:t>
      </w:r>
      <w:r w:rsidR="00282AD7" w:rsidRPr="00CB2CB5">
        <w:t>on peak</w:t>
      </w:r>
      <w:r w:rsidRPr="00CB2CB5">
        <w:t xml:space="preserve"> and off-peak hours to send more accurate price signals by reflecting cost of service differences during specific peak hours. </w:t>
      </w:r>
      <w:r w:rsidR="00E0061F" w:rsidRPr="00CB2CB5">
        <w:t xml:space="preserve"> </w:t>
      </w:r>
      <w:r w:rsidRPr="00CB2CB5">
        <w:t>TO</w:t>
      </w:r>
      <w:r w:rsidR="00FD3B04">
        <w:t>D</w:t>
      </w:r>
      <w:r w:rsidRPr="00CB2CB5">
        <w:t xml:space="preserve"> price differentials were designed to enable and incentivize consumption changes.  This type of rate requires more sophisticated metering for most customers. </w:t>
      </w:r>
      <w:r w:rsidR="00E0061F" w:rsidRPr="00CB2CB5">
        <w:t xml:space="preserve"> </w:t>
      </w:r>
      <w:r w:rsidRPr="00CB2CB5">
        <w:t>Changes in peak use by all customers, but particularly larger commercial, industrial and irrigation customers, may reduce purchased power costs and/or delay additional generation resources.</w:t>
      </w:r>
    </w:p>
    <w:p w14:paraId="3C9BBC86" w14:textId="77777777" w:rsidR="00532A03" w:rsidRPr="00CB2CB5" w:rsidRDefault="00532A03" w:rsidP="00532A03">
      <w:pPr>
        <w:spacing w:line="276" w:lineRule="auto"/>
        <w:ind w:left="547" w:right="274" w:hanging="7"/>
      </w:pPr>
    </w:p>
    <w:p w14:paraId="3D9C2FBB" w14:textId="3377A2CD" w:rsidR="008C25BD" w:rsidRPr="00CB2CB5" w:rsidRDefault="008C25BD" w:rsidP="00532A03">
      <w:pPr>
        <w:spacing w:line="276" w:lineRule="auto"/>
        <w:ind w:left="547" w:right="274" w:hanging="7"/>
        <w:rPr>
          <w:bCs/>
        </w:rPr>
      </w:pPr>
      <w:r w:rsidRPr="00CB2CB5">
        <w:rPr>
          <w:b/>
          <w:bCs/>
        </w:rPr>
        <w:t>Interruptible Rates</w:t>
      </w:r>
      <w:r w:rsidRPr="00CB2CB5">
        <w:rPr>
          <w:bCs/>
        </w:rPr>
        <w:t xml:space="preserve"> – EPE offers a Noticed Interruptible Rate option for large commercial, </w:t>
      </w:r>
      <w:r w:rsidR="00282AD7" w:rsidRPr="00CB2CB5">
        <w:rPr>
          <w:bCs/>
        </w:rPr>
        <w:t>industrial,</w:t>
      </w:r>
      <w:r w:rsidRPr="00CB2CB5">
        <w:rPr>
          <w:bCs/>
        </w:rPr>
        <w:t xml:space="preserve"> and institutional customers.  Unlike the other options described above, the Noticed Interruptible program provides for additional system capacity on an emergency basis only.  EPE has implemented a load </w:t>
      </w:r>
      <w:r w:rsidR="00541CB1">
        <w:rPr>
          <w:bCs/>
        </w:rPr>
        <w:t xml:space="preserve">management </w:t>
      </w:r>
      <w:r w:rsidRPr="00CB2CB5">
        <w:rPr>
          <w:bCs/>
        </w:rPr>
        <w:t xml:space="preserve">option for </w:t>
      </w:r>
      <w:r w:rsidR="00541CB1">
        <w:rPr>
          <w:bCs/>
        </w:rPr>
        <w:t>r</w:t>
      </w:r>
      <w:r w:rsidRPr="00CB2CB5">
        <w:rPr>
          <w:bCs/>
        </w:rPr>
        <w:t xml:space="preserve">esidential and small commercial customers </w:t>
      </w:r>
      <w:r w:rsidR="009662FD">
        <w:rPr>
          <w:bCs/>
        </w:rPr>
        <w:t>through its EE/LM programs</w:t>
      </w:r>
      <w:r w:rsidRPr="00CB2CB5">
        <w:rPr>
          <w:bCs/>
        </w:rPr>
        <w:t xml:space="preserve">, which is discussed in more detail </w:t>
      </w:r>
      <w:r w:rsidR="009662FD">
        <w:rPr>
          <w:bCs/>
        </w:rPr>
        <w:t>above</w:t>
      </w:r>
      <w:r w:rsidRPr="00CB2CB5">
        <w:rPr>
          <w:bCs/>
        </w:rPr>
        <w:t>.</w:t>
      </w:r>
    </w:p>
    <w:p w14:paraId="2BDFE49D" w14:textId="77777777" w:rsidR="00B92DC1" w:rsidRPr="00CB2CB5" w:rsidRDefault="00B92DC1" w:rsidP="00532A03">
      <w:pPr>
        <w:spacing w:line="276" w:lineRule="auto"/>
        <w:ind w:left="547" w:right="274" w:hanging="720"/>
      </w:pPr>
    </w:p>
    <w:p w14:paraId="4752200B" w14:textId="3867DAC0" w:rsidR="008C25BD" w:rsidRPr="00CB2CB5" w:rsidRDefault="008C25BD" w:rsidP="00532A03">
      <w:pPr>
        <w:spacing w:line="276" w:lineRule="auto"/>
        <w:ind w:left="547"/>
      </w:pPr>
      <w:r w:rsidRPr="00CB2CB5">
        <w:t>EPE's current rates were implemented pursuant to the Final Order in NMPRC Case No.</w:t>
      </w:r>
      <w:r w:rsidR="00532A03" w:rsidRPr="00CB2CB5">
        <w:t> </w:t>
      </w:r>
      <w:r w:rsidR="00EB409A">
        <w:t>20-00104</w:t>
      </w:r>
      <w:r w:rsidR="00532A03" w:rsidRPr="00CB2CB5">
        <w:noBreakHyphen/>
      </w:r>
      <w:r w:rsidRPr="00CB2CB5">
        <w:t xml:space="preserve">UT in New Mexico and Docket No. 48631 in Texas.  The rates and rate differentials contained in the current rate structures are intended to incentivize energy efficiency, energy </w:t>
      </w:r>
      <w:r w:rsidRPr="00CB2CB5">
        <w:lastRenderedPageBreak/>
        <w:t xml:space="preserve">conservation and load shifting by customers. </w:t>
      </w:r>
      <w:r w:rsidR="00E0061F" w:rsidRPr="00CB2CB5">
        <w:t xml:space="preserve"> </w:t>
      </w:r>
      <w:r w:rsidR="0047072A" w:rsidRPr="00CB2CB5">
        <w:t>Price differentials reflected in rates are established consistent with the cost of associated services; generally</w:t>
      </w:r>
      <w:r w:rsidR="002302CF" w:rsidRPr="00CB2CB5">
        <w:t>,</w:t>
      </w:r>
      <w:r w:rsidR="0047072A" w:rsidRPr="00CB2CB5">
        <w:t xml:space="preserve"> production-related costs.  For example, peak </w:t>
      </w:r>
      <w:r w:rsidR="00A17C18" w:rsidRPr="00CB2CB5">
        <w:t xml:space="preserve">period (e.g., on-peak energy) pricing differentials are based on the cost of peak generation production costs.  </w:t>
      </w:r>
      <w:r w:rsidRPr="00CB2CB5">
        <w:t>The price signals specifically target the afternoon hours of the summer months, when EPE's system peaks. These higher prices during on-peak periods incentivize increased utilization of energy efficiency and conservation measures and/or increased load shifting, either through demand side management projects, i.e., automated controls, thermal energy storage, or through customers changing the operational hours of their equipment.  This in turn works to decrease EPE's summer peak, which can help reduce the need for or delay new capacity resource additions.</w:t>
      </w:r>
    </w:p>
    <w:p w14:paraId="34A42B00" w14:textId="77777777" w:rsidR="00B92DC1" w:rsidRPr="00CB2CB5" w:rsidRDefault="00B92DC1" w:rsidP="00532A03">
      <w:pPr>
        <w:spacing w:line="276" w:lineRule="auto"/>
        <w:ind w:left="547"/>
      </w:pPr>
    </w:p>
    <w:p w14:paraId="35A5C9B5" w14:textId="77777777" w:rsidR="008C25BD" w:rsidRPr="00CB2CB5" w:rsidRDefault="008C25BD" w:rsidP="0029309B">
      <w:pPr>
        <w:spacing w:line="276" w:lineRule="auto"/>
        <w:ind w:left="540"/>
        <w:rPr>
          <w:b/>
          <w:u w:val="single"/>
        </w:rPr>
      </w:pPr>
      <w:r w:rsidRPr="00CB2CB5">
        <w:rPr>
          <w:b/>
          <w:u w:val="single"/>
        </w:rPr>
        <w:t>Customer and System Benefits</w:t>
      </w:r>
    </w:p>
    <w:p w14:paraId="3437F142" w14:textId="77777777" w:rsidR="00B92DC1" w:rsidRPr="00CB2CB5" w:rsidRDefault="00B92DC1" w:rsidP="0029309B">
      <w:pPr>
        <w:spacing w:line="276" w:lineRule="auto"/>
        <w:ind w:left="540"/>
      </w:pPr>
    </w:p>
    <w:p w14:paraId="612F35E9" w14:textId="67D9DB05" w:rsidR="008C25BD" w:rsidRPr="00CB2CB5" w:rsidRDefault="00E0061F" w:rsidP="0029309B">
      <w:pPr>
        <w:spacing w:line="276" w:lineRule="auto"/>
        <w:ind w:left="540"/>
      </w:pPr>
      <w:r w:rsidRPr="00CB2CB5">
        <w:t>TO</w:t>
      </w:r>
      <w:r w:rsidR="00EB409A">
        <w:t>D</w:t>
      </w:r>
      <w:r w:rsidR="008C25BD" w:rsidRPr="00CB2CB5">
        <w:t xml:space="preserve"> and other variable pricing and dynamic pricing options provide customers the opportunity to impact their monthly bill by modifying energy consumption in response to price differentials.  In the simplest case, this means adjusting usage (energy consumption) during different times of the day, by either reducing consumption or shifting usage to a lower-priced period.  The extent to which a customer may benefit is a function of the price of energy in the standard offering, the price differentials offered in the optional pricing structure and the customer</w:t>
      </w:r>
      <w:r w:rsidR="00B81EE4" w:rsidRPr="00CB2CB5">
        <w:t>'</w:t>
      </w:r>
      <w:r w:rsidR="008C25BD" w:rsidRPr="00CB2CB5">
        <w:t xml:space="preserve">s ability to manage their energy consumption.  A marginally higher on-peak price, for example, provides a greater incentive to reduce consumption than the lower standard price for consumption in the same period.  Likewise, a shifting of consumption from </w:t>
      </w:r>
      <w:r w:rsidR="00282AD7" w:rsidRPr="00CB2CB5">
        <w:t>high price</w:t>
      </w:r>
      <w:r w:rsidR="008C25BD" w:rsidRPr="00CB2CB5">
        <w:t xml:space="preserve"> to low-price periods is incentivized by the price differential by providing a benefit not available under a level price standard rate.  Dynamic pricing options, which can be constructed as overlays to either a standard or TO</w:t>
      </w:r>
      <w:r w:rsidR="00C3708B">
        <w:t>D</w:t>
      </w:r>
      <w:r w:rsidR="008C25BD" w:rsidRPr="00CB2CB5">
        <w:t xml:space="preserve"> pricing option, can increase customer benefit.</w:t>
      </w:r>
    </w:p>
    <w:p w14:paraId="6B3409AD" w14:textId="77777777" w:rsidR="00A27CDD" w:rsidRPr="00CB2CB5" w:rsidRDefault="00A27CDD" w:rsidP="0029309B">
      <w:pPr>
        <w:spacing w:line="276" w:lineRule="auto"/>
        <w:ind w:left="540"/>
      </w:pPr>
    </w:p>
    <w:p w14:paraId="4664307A" w14:textId="2BB443C8" w:rsidR="008C25BD" w:rsidRPr="00CB2CB5" w:rsidRDefault="008C25BD" w:rsidP="0029309B">
      <w:pPr>
        <w:spacing w:line="276" w:lineRule="auto"/>
        <w:ind w:left="540"/>
      </w:pPr>
      <w:r w:rsidRPr="00CB2CB5">
        <w:t xml:space="preserve">Another fundamental variable in the ability of price response rates to impact customer usage and system load profile is whether the rate structures are voluntary or mandatory.  Customer </w:t>
      </w:r>
      <w:r w:rsidR="00B81EE4" w:rsidRPr="00CB2CB5">
        <w:t>"</w:t>
      </w:r>
      <w:r w:rsidRPr="00CB2CB5">
        <w:t>opt-in</w:t>
      </w:r>
      <w:r w:rsidR="00B81EE4" w:rsidRPr="00CB2CB5">
        <w:t>"</w:t>
      </w:r>
      <w:r w:rsidRPr="00CB2CB5">
        <w:t xml:space="preserve"> performance, where customers make an affirmative decision to participate in a voluntary pricing program with both potential risk and benefit is typically low, and utility efforts to generate customer participation constitute an additional cost for programs.  Generally</w:t>
      </w:r>
      <w:r w:rsidR="002302CF" w:rsidRPr="00CB2CB5">
        <w:t>,</w:t>
      </w:r>
      <w:r w:rsidRPr="00CB2CB5">
        <w:t xml:space="preserve"> speaking, voluntary participation programs consist largely of functional benefiters – customers receiving rate benefit due to the nature of their usage profile with little or no change in their consumption characteristics.  Conversely, mandatory TO</w:t>
      </w:r>
      <w:r w:rsidR="00C3708B">
        <w:t>D</w:t>
      </w:r>
      <w:r w:rsidRPr="00CB2CB5">
        <w:t xml:space="preserve"> rate structures, such as EPE currently provides for its largest commercial and industrial customers have 100% participation rates, with resulting customer and system benefits a function of the ability of customers to adjust their usage profiles over the long-term. </w:t>
      </w:r>
    </w:p>
    <w:p w14:paraId="0CA49143" w14:textId="77777777" w:rsidR="00A27CDD" w:rsidRPr="00CB2CB5" w:rsidRDefault="00A27CDD" w:rsidP="0029309B">
      <w:pPr>
        <w:spacing w:line="276" w:lineRule="auto"/>
        <w:ind w:left="540"/>
      </w:pPr>
    </w:p>
    <w:p w14:paraId="2065821F" w14:textId="35363D33" w:rsidR="00B92DC1" w:rsidRPr="00CB2CB5" w:rsidRDefault="008C25BD" w:rsidP="0029309B">
      <w:pPr>
        <w:spacing w:line="276" w:lineRule="auto"/>
        <w:ind w:left="540"/>
      </w:pPr>
      <w:r w:rsidRPr="00CB2CB5">
        <w:lastRenderedPageBreak/>
        <w:t>Dynamic pricing programs generally overlay standard or voluntary pricing options. Critical Peak Pricing (</w:t>
      </w:r>
      <w:r w:rsidR="00B81EE4" w:rsidRPr="00CB2CB5">
        <w:t>"</w:t>
      </w:r>
      <w:r w:rsidRPr="00CB2CB5">
        <w:t>CPP</w:t>
      </w:r>
      <w:r w:rsidR="00B81EE4" w:rsidRPr="00CB2CB5">
        <w:t>"</w:t>
      </w:r>
      <w:r w:rsidRPr="00CB2CB5">
        <w:t>), Peak Time Rebate (</w:t>
      </w:r>
      <w:r w:rsidR="00B81EE4" w:rsidRPr="00CB2CB5">
        <w:t>"</w:t>
      </w:r>
      <w:r w:rsidRPr="00CB2CB5">
        <w:t>PTR</w:t>
      </w:r>
      <w:r w:rsidR="00B81EE4" w:rsidRPr="00CB2CB5">
        <w:t>"</w:t>
      </w:r>
      <w:r w:rsidRPr="00CB2CB5">
        <w:t>) and Capacity Bidding are examples of dynamic pricing programs which can overlay mandatory rate structures and require advanced metering capability.  All are callable programs which can be initiated on day</w:t>
      </w:r>
      <w:r w:rsidR="003F14C2" w:rsidRPr="00CB2CB5">
        <w:noBreakHyphen/>
      </w:r>
      <w:r w:rsidRPr="00CB2CB5">
        <w:t>ahead or even day-of notice to achieve demand reductions during peak periods.  Dynamic pricing as an overlay to a TO</w:t>
      </w:r>
      <w:r w:rsidR="004D6A3D">
        <w:t>D</w:t>
      </w:r>
      <w:r w:rsidRPr="00CB2CB5">
        <w:t xml:space="preserve"> pricing option offers EPE the ability to offer additional savings, based on a near-term need for resources, over and above what can be achieved through peak rate differentials.  For example, a PTR option can provide incremental reductions in on-peak usage already reduced in response to TO</w:t>
      </w:r>
      <w:r w:rsidR="004D6A3D">
        <w:t>D</w:t>
      </w:r>
      <w:r w:rsidRPr="00CB2CB5">
        <w:t xml:space="preserve"> pricing differentials, which benefits both the participating customer and the utility</w:t>
      </w:r>
      <w:r w:rsidR="00B92DC1" w:rsidRPr="00CB2CB5">
        <w:t>.</w:t>
      </w:r>
    </w:p>
    <w:p w14:paraId="713D9D60" w14:textId="77777777" w:rsidR="008C25BD" w:rsidRPr="00CB2CB5" w:rsidRDefault="008C25BD" w:rsidP="0029309B">
      <w:pPr>
        <w:spacing w:line="276" w:lineRule="auto"/>
        <w:ind w:left="540"/>
      </w:pPr>
      <w:r w:rsidRPr="00CB2CB5">
        <w:t xml:space="preserve"> </w:t>
      </w:r>
    </w:p>
    <w:p w14:paraId="63CB5BF7" w14:textId="77777777" w:rsidR="008C25BD" w:rsidRPr="00CB2CB5" w:rsidRDefault="008C25BD" w:rsidP="0029309B">
      <w:pPr>
        <w:spacing w:line="276" w:lineRule="auto"/>
        <w:ind w:left="540"/>
        <w:rPr>
          <w:b/>
          <w:u w:val="single"/>
        </w:rPr>
      </w:pPr>
      <w:r w:rsidRPr="00CB2CB5">
        <w:rPr>
          <w:b/>
          <w:u w:val="single"/>
        </w:rPr>
        <w:t>EPE</w:t>
      </w:r>
      <w:r w:rsidR="00B81EE4" w:rsidRPr="00CB2CB5">
        <w:rPr>
          <w:b/>
          <w:u w:val="single"/>
        </w:rPr>
        <w:t>'</w:t>
      </w:r>
      <w:r w:rsidRPr="00CB2CB5">
        <w:rPr>
          <w:b/>
          <w:u w:val="single"/>
        </w:rPr>
        <w:t>s 20-Year Rate Initiative</w:t>
      </w:r>
    </w:p>
    <w:p w14:paraId="0B9408BF" w14:textId="77777777" w:rsidR="00B92DC1" w:rsidRPr="00CB2CB5" w:rsidRDefault="00B92DC1" w:rsidP="0029309B">
      <w:pPr>
        <w:spacing w:line="276" w:lineRule="auto"/>
        <w:ind w:left="540"/>
      </w:pPr>
    </w:p>
    <w:p w14:paraId="49203E16" w14:textId="60BC40B7" w:rsidR="008C25BD" w:rsidRPr="00CB2CB5" w:rsidRDefault="008C25BD" w:rsidP="0029309B">
      <w:pPr>
        <w:spacing w:line="276" w:lineRule="auto"/>
        <w:ind w:left="540"/>
      </w:pPr>
      <w:r w:rsidRPr="00CB2CB5">
        <w:t xml:space="preserve">The EPE system load profile is one cost-driver of overall rate levels.  The system profile in turn is impacted in the long-term by both permanent changes in customer consumption and short-term response to rate differentials.  Permanent changes in customer usage profiles result from long-term exposure to predictable price </w:t>
      </w:r>
      <w:r w:rsidR="00B85672" w:rsidRPr="00CB2CB5">
        <w:t>differentials and</w:t>
      </w:r>
      <w:r w:rsidRPr="00CB2CB5">
        <w:t xml:space="preserve"> are most directly impacted by mandatory rate structures.  Residential, </w:t>
      </w:r>
      <w:r w:rsidR="00B85672" w:rsidRPr="00CB2CB5">
        <w:t>commercial,</w:t>
      </w:r>
      <w:r w:rsidRPr="00CB2CB5">
        <w:t xml:space="preserve"> and industrial customers require time to adjust their usage characteristics in response to pricing differentials, and pricing differentials based on cost of service generally change slowly.  Dynamic pricing options in contrast are intended as short-term resource options for the utility.  The combination of the two pricing approaches can</w:t>
      </w:r>
      <w:r w:rsidR="00A27CDD" w:rsidRPr="00CB2CB5">
        <w:t>,</w:t>
      </w:r>
      <w:r w:rsidRPr="00CB2CB5">
        <w:t xml:space="preserve"> over the long-term</w:t>
      </w:r>
      <w:r w:rsidR="00A27CDD" w:rsidRPr="00CB2CB5">
        <w:t>,</w:t>
      </w:r>
      <w:r w:rsidRPr="00CB2CB5">
        <w:t xml:space="preserve"> impact the system profile sufficient to impact resource planning.</w:t>
      </w:r>
    </w:p>
    <w:p w14:paraId="74FA9C65" w14:textId="77777777" w:rsidR="00A27CDD" w:rsidRPr="00CB2CB5" w:rsidRDefault="00A27CDD" w:rsidP="0029309B">
      <w:pPr>
        <w:spacing w:line="276" w:lineRule="auto"/>
        <w:ind w:left="540"/>
      </w:pPr>
    </w:p>
    <w:p w14:paraId="4D4EB6B1" w14:textId="7D4F003C" w:rsidR="00A27CDD" w:rsidRPr="00CB2CB5" w:rsidRDefault="00D53E41" w:rsidP="0029309B">
      <w:pPr>
        <w:spacing w:line="276" w:lineRule="auto"/>
        <w:ind w:left="540"/>
      </w:pPr>
      <w:r>
        <w:t>Table 11</w:t>
      </w:r>
      <w:r w:rsidR="008C25BD" w:rsidRPr="00CB2CB5">
        <w:t xml:space="preserve"> below shows a long-term plan for rate structure development focused on providing customers increasing levels of price information and menu of rate </w:t>
      </w:r>
      <w:r w:rsidR="00B85672" w:rsidRPr="00CB2CB5">
        <w:t>options and</w:t>
      </w:r>
      <w:r w:rsidR="008C25BD" w:rsidRPr="00CB2CB5">
        <w:t xml:space="preserve"> designed to provide customers the opportunity to benefit from changes in their usage characteristics.</w:t>
      </w:r>
    </w:p>
    <w:p w14:paraId="6A7774FD" w14:textId="5B5D828E" w:rsidR="002302CF" w:rsidRDefault="002302CF" w:rsidP="008759DE">
      <w:pPr>
        <w:pStyle w:val="Caption"/>
        <w:keepNext/>
        <w:spacing w:line="276" w:lineRule="auto"/>
        <w:jc w:val="center"/>
      </w:pPr>
    </w:p>
    <w:p w14:paraId="2D665DAD" w14:textId="4B247264" w:rsidR="009B03FC" w:rsidRDefault="009B03FC" w:rsidP="009B03FC"/>
    <w:p w14:paraId="5045372D" w14:textId="5D547C1B" w:rsidR="009B03FC" w:rsidRDefault="009B03FC" w:rsidP="009B03FC"/>
    <w:p w14:paraId="0D2A0A88" w14:textId="5603A398" w:rsidR="009B03FC" w:rsidRDefault="009B03FC" w:rsidP="009B03FC"/>
    <w:p w14:paraId="64A7DDFA" w14:textId="3B29EBEA" w:rsidR="009B03FC" w:rsidRDefault="009B03FC" w:rsidP="009B03FC"/>
    <w:p w14:paraId="5D556064" w14:textId="100D9974" w:rsidR="009B03FC" w:rsidRDefault="009B03FC" w:rsidP="009B03FC"/>
    <w:p w14:paraId="74C4A67E" w14:textId="77777777" w:rsidR="009B03FC" w:rsidRPr="009B03FC" w:rsidRDefault="009B03FC" w:rsidP="009B03FC"/>
    <w:p w14:paraId="03CFFC95" w14:textId="50E04E2C" w:rsidR="00DE2A0D" w:rsidRPr="00CB2CB5" w:rsidRDefault="00DE2A0D" w:rsidP="008759DE">
      <w:pPr>
        <w:pStyle w:val="Caption"/>
        <w:keepNext/>
        <w:spacing w:line="276" w:lineRule="auto"/>
        <w:jc w:val="center"/>
      </w:pPr>
      <w:bookmarkStart w:id="58" w:name="_Toc534193093"/>
      <w:r w:rsidRPr="00CB2CB5">
        <w:lastRenderedPageBreak/>
        <w:t xml:space="preserve">Table </w:t>
      </w:r>
      <w:r w:rsidR="00492606">
        <w:rPr>
          <w:noProof/>
        </w:rPr>
        <w:t>11</w:t>
      </w:r>
      <w:r w:rsidRPr="00CB2CB5">
        <w:t xml:space="preserve"> - Rate Structure Development</w:t>
      </w:r>
      <w:bookmarkEnd w:id="58"/>
    </w:p>
    <w:tbl>
      <w:tblPr>
        <w:tblStyle w:val="TableGrid"/>
        <w:tblW w:w="0" w:type="auto"/>
        <w:tblLook w:val="04A0" w:firstRow="1" w:lastRow="0" w:firstColumn="1" w:lastColumn="0" w:noHBand="0" w:noVBand="1"/>
      </w:tblPr>
      <w:tblGrid>
        <w:gridCol w:w="1587"/>
        <w:gridCol w:w="1553"/>
        <w:gridCol w:w="1551"/>
        <w:gridCol w:w="1551"/>
        <w:gridCol w:w="1554"/>
        <w:gridCol w:w="1554"/>
      </w:tblGrid>
      <w:tr w:rsidR="008C25BD" w:rsidRPr="00CB2CB5" w14:paraId="63D1829D" w14:textId="77777777" w:rsidTr="00DE2A0D">
        <w:trPr>
          <w:cantSplit/>
        </w:trPr>
        <w:tc>
          <w:tcPr>
            <w:tcW w:w="1587" w:type="dxa"/>
            <w:shd w:val="clear" w:color="auto" w:fill="D9D9D9" w:themeFill="background1" w:themeFillShade="D9"/>
          </w:tcPr>
          <w:p w14:paraId="5D199E78" w14:textId="77777777" w:rsidR="008C25BD" w:rsidRPr="00CB2CB5" w:rsidRDefault="008C25BD" w:rsidP="008759DE">
            <w:pPr>
              <w:spacing w:line="276" w:lineRule="auto"/>
              <w:jc w:val="center"/>
              <w:rPr>
                <w:b/>
              </w:rPr>
            </w:pPr>
          </w:p>
        </w:tc>
        <w:tc>
          <w:tcPr>
            <w:tcW w:w="1553" w:type="dxa"/>
            <w:shd w:val="clear" w:color="auto" w:fill="D9D9D9" w:themeFill="background1" w:themeFillShade="D9"/>
          </w:tcPr>
          <w:p w14:paraId="3AE1403B" w14:textId="77777777" w:rsidR="008C25BD" w:rsidRPr="00CB2CB5" w:rsidRDefault="008C25BD" w:rsidP="008759DE">
            <w:pPr>
              <w:spacing w:line="276" w:lineRule="auto"/>
              <w:jc w:val="center"/>
              <w:rPr>
                <w:b/>
              </w:rPr>
            </w:pPr>
            <w:r w:rsidRPr="00CB2CB5">
              <w:rPr>
                <w:b/>
              </w:rPr>
              <w:t>Current</w:t>
            </w:r>
          </w:p>
        </w:tc>
        <w:tc>
          <w:tcPr>
            <w:tcW w:w="1551" w:type="dxa"/>
            <w:tcBorders>
              <w:bottom w:val="single" w:sz="4" w:space="0" w:color="auto"/>
            </w:tcBorders>
            <w:shd w:val="clear" w:color="auto" w:fill="D9D9D9" w:themeFill="background1" w:themeFillShade="D9"/>
          </w:tcPr>
          <w:p w14:paraId="6E69DAB7" w14:textId="77777777" w:rsidR="008C25BD" w:rsidRPr="00CB2CB5" w:rsidRDefault="008C25BD" w:rsidP="008759DE">
            <w:pPr>
              <w:spacing w:line="276" w:lineRule="auto"/>
              <w:jc w:val="center"/>
              <w:rPr>
                <w:b/>
              </w:rPr>
            </w:pPr>
            <w:r w:rsidRPr="00CB2CB5">
              <w:rPr>
                <w:b/>
              </w:rPr>
              <w:t>3-Year</w:t>
            </w:r>
          </w:p>
        </w:tc>
        <w:tc>
          <w:tcPr>
            <w:tcW w:w="1551" w:type="dxa"/>
            <w:shd w:val="clear" w:color="auto" w:fill="D9D9D9" w:themeFill="background1" w:themeFillShade="D9"/>
          </w:tcPr>
          <w:p w14:paraId="6DF8A307" w14:textId="77777777" w:rsidR="008C25BD" w:rsidRPr="00CB2CB5" w:rsidRDefault="008C25BD" w:rsidP="008759DE">
            <w:pPr>
              <w:spacing w:line="276" w:lineRule="auto"/>
              <w:jc w:val="center"/>
              <w:rPr>
                <w:b/>
              </w:rPr>
            </w:pPr>
            <w:r w:rsidRPr="00CB2CB5">
              <w:rPr>
                <w:b/>
              </w:rPr>
              <w:t>5-Year</w:t>
            </w:r>
          </w:p>
        </w:tc>
        <w:tc>
          <w:tcPr>
            <w:tcW w:w="1554" w:type="dxa"/>
            <w:tcBorders>
              <w:bottom w:val="single" w:sz="2" w:space="0" w:color="auto"/>
            </w:tcBorders>
            <w:shd w:val="clear" w:color="auto" w:fill="D9D9D9" w:themeFill="background1" w:themeFillShade="D9"/>
          </w:tcPr>
          <w:p w14:paraId="769329D1" w14:textId="77777777" w:rsidR="008C25BD" w:rsidRPr="00CB2CB5" w:rsidRDefault="008C25BD" w:rsidP="008759DE">
            <w:pPr>
              <w:spacing w:line="276" w:lineRule="auto"/>
              <w:jc w:val="center"/>
              <w:rPr>
                <w:b/>
              </w:rPr>
            </w:pPr>
            <w:r w:rsidRPr="00CB2CB5">
              <w:rPr>
                <w:b/>
              </w:rPr>
              <w:t>10-Year</w:t>
            </w:r>
          </w:p>
        </w:tc>
        <w:tc>
          <w:tcPr>
            <w:tcW w:w="1554" w:type="dxa"/>
            <w:tcBorders>
              <w:bottom w:val="single" w:sz="4" w:space="0" w:color="auto"/>
            </w:tcBorders>
            <w:shd w:val="clear" w:color="auto" w:fill="D9D9D9" w:themeFill="background1" w:themeFillShade="D9"/>
          </w:tcPr>
          <w:p w14:paraId="06B834E2" w14:textId="77777777" w:rsidR="008C25BD" w:rsidRPr="00CB2CB5" w:rsidRDefault="008C25BD" w:rsidP="008759DE">
            <w:pPr>
              <w:spacing w:line="276" w:lineRule="auto"/>
              <w:jc w:val="center"/>
              <w:rPr>
                <w:b/>
              </w:rPr>
            </w:pPr>
            <w:r w:rsidRPr="00CB2CB5">
              <w:rPr>
                <w:b/>
              </w:rPr>
              <w:t>20-Year</w:t>
            </w:r>
          </w:p>
        </w:tc>
      </w:tr>
      <w:tr w:rsidR="008C25BD" w:rsidRPr="00CB2CB5" w14:paraId="6A30BAF8" w14:textId="77777777" w:rsidTr="00DE2A0D">
        <w:trPr>
          <w:cantSplit/>
        </w:trPr>
        <w:tc>
          <w:tcPr>
            <w:tcW w:w="1587" w:type="dxa"/>
          </w:tcPr>
          <w:p w14:paraId="778CA9EF" w14:textId="77777777" w:rsidR="008C25BD" w:rsidRPr="00CB2CB5" w:rsidRDefault="008C25BD" w:rsidP="008759DE">
            <w:pPr>
              <w:spacing w:line="276" w:lineRule="auto"/>
              <w:rPr>
                <w:b/>
              </w:rPr>
            </w:pPr>
            <w:r w:rsidRPr="00CB2CB5">
              <w:rPr>
                <w:b/>
              </w:rPr>
              <w:t>Residential</w:t>
            </w:r>
          </w:p>
          <w:p w14:paraId="6A601B0D" w14:textId="77777777" w:rsidR="008C25BD" w:rsidRPr="00CB2CB5" w:rsidRDefault="008C25BD" w:rsidP="008759DE">
            <w:pPr>
              <w:spacing w:line="276" w:lineRule="auto"/>
              <w:rPr>
                <w:b/>
              </w:rPr>
            </w:pPr>
          </w:p>
          <w:p w14:paraId="03FAAADA" w14:textId="77777777" w:rsidR="008C25BD" w:rsidRPr="00CB2CB5" w:rsidRDefault="008C25BD" w:rsidP="008759DE">
            <w:pPr>
              <w:spacing w:line="276" w:lineRule="auto"/>
              <w:rPr>
                <w:b/>
              </w:rPr>
            </w:pPr>
          </w:p>
        </w:tc>
        <w:tc>
          <w:tcPr>
            <w:tcW w:w="1553" w:type="dxa"/>
          </w:tcPr>
          <w:p w14:paraId="42791A9A" w14:textId="77777777" w:rsidR="008C25BD" w:rsidRPr="00CB2CB5" w:rsidRDefault="008C25BD" w:rsidP="008759DE">
            <w:pPr>
              <w:spacing w:line="276" w:lineRule="auto"/>
              <w:jc w:val="right"/>
            </w:pPr>
            <w:r w:rsidRPr="00CB2CB5">
              <w:t>Energy</w:t>
            </w:r>
          </w:p>
        </w:tc>
        <w:tc>
          <w:tcPr>
            <w:tcW w:w="1551" w:type="dxa"/>
            <w:tcBorders>
              <w:bottom w:val="single" w:sz="2" w:space="0" w:color="auto"/>
              <w:right w:val="double" w:sz="12" w:space="0" w:color="auto"/>
            </w:tcBorders>
          </w:tcPr>
          <w:p w14:paraId="3AFE62A2" w14:textId="77777777" w:rsidR="008C25BD" w:rsidRPr="00CB2CB5" w:rsidRDefault="008C25BD" w:rsidP="008759DE">
            <w:pPr>
              <w:spacing w:line="276" w:lineRule="auto"/>
              <w:jc w:val="right"/>
            </w:pPr>
            <w:r w:rsidRPr="00CB2CB5">
              <w:t>Energy</w:t>
            </w:r>
          </w:p>
        </w:tc>
        <w:tc>
          <w:tcPr>
            <w:tcW w:w="1551" w:type="dxa"/>
            <w:tcBorders>
              <w:left w:val="double" w:sz="12" w:space="0" w:color="auto"/>
              <w:bottom w:val="single" w:sz="2" w:space="0" w:color="auto"/>
              <w:right w:val="single" w:sz="2" w:space="0" w:color="auto"/>
            </w:tcBorders>
          </w:tcPr>
          <w:p w14:paraId="4C1AAEC7" w14:textId="77777777" w:rsidR="008C25BD" w:rsidRPr="00CB2CB5" w:rsidRDefault="008C25BD" w:rsidP="008759DE">
            <w:pPr>
              <w:spacing w:line="276" w:lineRule="auto"/>
              <w:jc w:val="right"/>
            </w:pPr>
            <w:r w:rsidRPr="00CB2CB5">
              <w:t xml:space="preserve">Energy / </w:t>
            </w:r>
          </w:p>
          <w:p w14:paraId="36AFDE89" w14:textId="77777777" w:rsidR="008C25BD" w:rsidRPr="00CB2CB5" w:rsidRDefault="008C25BD" w:rsidP="008759DE">
            <w:pPr>
              <w:spacing w:line="276" w:lineRule="auto"/>
              <w:jc w:val="right"/>
            </w:pPr>
            <w:r w:rsidRPr="00CB2CB5">
              <w:t>CPP &amp; PTR</w:t>
            </w:r>
          </w:p>
        </w:tc>
        <w:tc>
          <w:tcPr>
            <w:tcW w:w="1554" w:type="dxa"/>
            <w:tcBorders>
              <w:top w:val="single" w:sz="2" w:space="0" w:color="auto"/>
              <w:left w:val="single" w:sz="2" w:space="0" w:color="auto"/>
              <w:bottom w:val="single" w:sz="24" w:space="0" w:color="auto"/>
              <w:right w:val="single" w:sz="24" w:space="0" w:color="auto"/>
            </w:tcBorders>
          </w:tcPr>
          <w:p w14:paraId="13F90A3C" w14:textId="77777777" w:rsidR="008C25BD" w:rsidRPr="00CB2CB5" w:rsidRDefault="008C25BD" w:rsidP="008759DE">
            <w:pPr>
              <w:spacing w:line="276" w:lineRule="auto"/>
              <w:jc w:val="right"/>
            </w:pPr>
            <w:r w:rsidRPr="00CB2CB5">
              <w:t xml:space="preserve">Energy / </w:t>
            </w:r>
          </w:p>
          <w:p w14:paraId="540A58D1" w14:textId="77777777" w:rsidR="008C25BD" w:rsidRPr="00CB2CB5" w:rsidRDefault="008C25BD" w:rsidP="008759DE">
            <w:pPr>
              <w:spacing w:line="276" w:lineRule="auto"/>
              <w:jc w:val="right"/>
            </w:pPr>
            <w:r w:rsidRPr="00CB2CB5">
              <w:t>CPP &amp; PTR</w:t>
            </w:r>
          </w:p>
        </w:tc>
        <w:tc>
          <w:tcPr>
            <w:tcW w:w="1554" w:type="dxa"/>
            <w:tcBorders>
              <w:top w:val="single" w:sz="4" w:space="0" w:color="auto"/>
              <w:left w:val="single" w:sz="24" w:space="0" w:color="auto"/>
            </w:tcBorders>
          </w:tcPr>
          <w:p w14:paraId="2BFE2C88" w14:textId="23467CCA" w:rsidR="008C25BD" w:rsidRPr="00CB2CB5" w:rsidRDefault="008C25BD" w:rsidP="008759DE">
            <w:pPr>
              <w:spacing w:line="276" w:lineRule="auto"/>
              <w:jc w:val="right"/>
            </w:pPr>
            <w:r w:rsidRPr="00CB2CB5">
              <w:t>TO</w:t>
            </w:r>
            <w:r w:rsidR="004D6A3D">
              <w:t>D</w:t>
            </w:r>
            <w:r w:rsidRPr="00CB2CB5">
              <w:t xml:space="preserve"> Energy / </w:t>
            </w:r>
          </w:p>
          <w:p w14:paraId="50FF38BE" w14:textId="77777777" w:rsidR="008C25BD" w:rsidRPr="00CB2CB5" w:rsidRDefault="008C25BD" w:rsidP="008759DE">
            <w:pPr>
              <w:spacing w:line="276" w:lineRule="auto"/>
              <w:jc w:val="right"/>
            </w:pPr>
            <w:r w:rsidRPr="00CB2CB5">
              <w:t>CPP &amp; PTR</w:t>
            </w:r>
          </w:p>
        </w:tc>
      </w:tr>
      <w:tr w:rsidR="008C25BD" w:rsidRPr="00CB2CB5" w14:paraId="206F3F80" w14:textId="77777777" w:rsidTr="00DE2A0D">
        <w:trPr>
          <w:cantSplit/>
        </w:trPr>
        <w:tc>
          <w:tcPr>
            <w:tcW w:w="1587" w:type="dxa"/>
            <w:tcBorders>
              <w:bottom w:val="single" w:sz="4" w:space="0" w:color="auto"/>
            </w:tcBorders>
          </w:tcPr>
          <w:p w14:paraId="6A81B626" w14:textId="77777777" w:rsidR="008C25BD" w:rsidRPr="00CB2CB5" w:rsidRDefault="008C25BD" w:rsidP="008759DE">
            <w:pPr>
              <w:spacing w:line="276" w:lineRule="auto"/>
              <w:rPr>
                <w:b/>
              </w:rPr>
            </w:pPr>
            <w:r w:rsidRPr="00CB2CB5">
              <w:rPr>
                <w:b/>
              </w:rPr>
              <w:t>Small Commercial</w:t>
            </w:r>
          </w:p>
        </w:tc>
        <w:tc>
          <w:tcPr>
            <w:tcW w:w="1553" w:type="dxa"/>
            <w:tcBorders>
              <w:bottom w:val="single" w:sz="4" w:space="0" w:color="auto"/>
              <w:right w:val="single" w:sz="2" w:space="0" w:color="auto"/>
            </w:tcBorders>
          </w:tcPr>
          <w:p w14:paraId="0D35CBE4" w14:textId="42435E82" w:rsidR="00E27370" w:rsidRPr="00CB2CB5" w:rsidRDefault="008C25BD" w:rsidP="008759DE">
            <w:pPr>
              <w:spacing w:line="276" w:lineRule="auto"/>
              <w:jc w:val="right"/>
            </w:pPr>
            <w:r w:rsidRPr="00CB2CB5">
              <w:t>Demand / Energy</w:t>
            </w:r>
          </w:p>
        </w:tc>
        <w:tc>
          <w:tcPr>
            <w:tcW w:w="1551" w:type="dxa"/>
            <w:tcBorders>
              <w:top w:val="single" w:sz="2" w:space="0" w:color="auto"/>
              <w:left w:val="single" w:sz="2" w:space="0" w:color="auto"/>
              <w:bottom w:val="single" w:sz="24" w:space="0" w:color="auto"/>
              <w:right w:val="double" w:sz="12" w:space="0" w:color="auto"/>
            </w:tcBorders>
          </w:tcPr>
          <w:p w14:paraId="63DB9582" w14:textId="2CBA0CDC" w:rsidR="00E27370" w:rsidRPr="00CB2CB5" w:rsidRDefault="008C25BD" w:rsidP="008759DE">
            <w:pPr>
              <w:spacing w:line="276" w:lineRule="auto"/>
              <w:jc w:val="right"/>
            </w:pPr>
            <w:r w:rsidRPr="00CB2CB5">
              <w:t>Demand / Energy</w:t>
            </w:r>
          </w:p>
        </w:tc>
        <w:tc>
          <w:tcPr>
            <w:tcW w:w="1551" w:type="dxa"/>
            <w:tcBorders>
              <w:top w:val="single" w:sz="2" w:space="0" w:color="auto"/>
              <w:left w:val="double" w:sz="12" w:space="0" w:color="auto"/>
              <w:bottom w:val="single" w:sz="24" w:space="0" w:color="auto"/>
              <w:right w:val="single" w:sz="24" w:space="0" w:color="auto"/>
            </w:tcBorders>
          </w:tcPr>
          <w:p w14:paraId="7A039874" w14:textId="77777777" w:rsidR="008C25BD" w:rsidRPr="00CB2CB5" w:rsidRDefault="008C25BD" w:rsidP="008759DE">
            <w:pPr>
              <w:spacing w:line="276" w:lineRule="auto"/>
              <w:jc w:val="right"/>
            </w:pPr>
            <w:r w:rsidRPr="00CB2CB5">
              <w:t xml:space="preserve">Demand / </w:t>
            </w:r>
          </w:p>
          <w:p w14:paraId="06D8E28B" w14:textId="0EB6BA23" w:rsidR="00E27370" w:rsidRPr="00CB2CB5" w:rsidRDefault="008C25BD" w:rsidP="008759DE">
            <w:pPr>
              <w:spacing w:line="276" w:lineRule="auto"/>
              <w:jc w:val="right"/>
            </w:pPr>
            <w:r w:rsidRPr="00CB2CB5">
              <w:t>Energy</w:t>
            </w:r>
          </w:p>
          <w:p w14:paraId="54A5A91C" w14:textId="77777777" w:rsidR="008C25BD" w:rsidRPr="00CB2CB5" w:rsidRDefault="008C25BD" w:rsidP="008759DE">
            <w:pPr>
              <w:spacing w:line="276" w:lineRule="auto"/>
              <w:jc w:val="right"/>
            </w:pPr>
            <w:r w:rsidRPr="00CB2CB5">
              <w:t>CPP &amp; PTR</w:t>
            </w:r>
          </w:p>
        </w:tc>
        <w:tc>
          <w:tcPr>
            <w:tcW w:w="1554" w:type="dxa"/>
            <w:tcBorders>
              <w:top w:val="single" w:sz="24" w:space="0" w:color="auto"/>
              <w:left w:val="single" w:sz="24" w:space="0" w:color="auto"/>
            </w:tcBorders>
          </w:tcPr>
          <w:p w14:paraId="72557EF2" w14:textId="77777777" w:rsidR="008C25BD" w:rsidRPr="00CB2CB5" w:rsidRDefault="008C25BD" w:rsidP="008759DE">
            <w:pPr>
              <w:spacing w:line="276" w:lineRule="auto"/>
              <w:jc w:val="right"/>
            </w:pPr>
            <w:r w:rsidRPr="00CB2CB5">
              <w:t xml:space="preserve">Demand / </w:t>
            </w:r>
          </w:p>
          <w:p w14:paraId="54F3F9B5" w14:textId="622E168A" w:rsidR="008C25BD" w:rsidRPr="00CB2CB5" w:rsidRDefault="008C25BD" w:rsidP="008759DE">
            <w:pPr>
              <w:spacing w:line="276" w:lineRule="auto"/>
              <w:jc w:val="right"/>
            </w:pPr>
            <w:r w:rsidRPr="00CB2CB5">
              <w:t>TO</w:t>
            </w:r>
            <w:r w:rsidR="004D6A3D">
              <w:t>D</w:t>
            </w:r>
            <w:r w:rsidRPr="00CB2CB5">
              <w:t xml:space="preserve"> Energy</w:t>
            </w:r>
          </w:p>
          <w:p w14:paraId="2EBF6EE5" w14:textId="77777777" w:rsidR="008C25BD" w:rsidRPr="00CB2CB5" w:rsidRDefault="008C25BD" w:rsidP="008759DE">
            <w:pPr>
              <w:spacing w:line="276" w:lineRule="auto"/>
              <w:jc w:val="right"/>
            </w:pPr>
            <w:r w:rsidRPr="00CB2CB5">
              <w:t>CPP &amp; PTR</w:t>
            </w:r>
          </w:p>
        </w:tc>
        <w:tc>
          <w:tcPr>
            <w:tcW w:w="1554" w:type="dxa"/>
          </w:tcPr>
          <w:p w14:paraId="010E0E61" w14:textId="77777777" w:rsidR="008C25BD" w:rsidRPr="00CB2CB5" w:rsidRDefault="008C25BD" w:rsidP="008759DE">
            <w:pPr>
              <w:spacing w:line="276" w:lineRule="auto"/>
              <w:jc w:val="right"/>
            </w:pPr>
            <w:r w:rsidRPr="00CB2CB5">
              <w:t xml:space="preserve">Demand / </w:t>
            </w:r>
          </w:p>
          <w:p w14:paraId="134A41C9" w14:textId="1D239F13" w:rsidR="008C25BD" w:rsidRPr="00CB2CB5" w:rsidRDefault="008C25BD" w:rsidP="008759DE">
            <w:pPr>
              <w:spacing w:line="276" w:lineRule="auto"/>
              <w:jc w:val="right"/>
            </w:pPr>
            <w:r w:rsidRPr="00CB2CB5">
              <w:t>TO</w:t>
            </w:r>
            <w:r w:rsidR="004D6A3D">
              <w:t>D</w:t>
            </w:r>
            <w:r w:rsidRPr="00CB2CB5">
              <w:t xml:space="preserve"> Energy</w:t>
            </w:r>
          </w:p>
          <w:p w14:paraId="22CA6562" w14:textId="77777777" w:rsidR="008C25BD" w:rsidRPr="00CB2CB5" w:rsidRDefault="008C25BD" w:rsidP="008759DE">
            <w:pPr>
              <w:spacing w:line="276" w:lineRule="auto"/>
              <w:jc w:val="right"/>
            </w:pPr>
            <w:r w:rsidRPr="00CB2CB5">
              <w:t>CPP &amp; PTR</w:t>
            </w:r>
          </w:p>
          <w:p w14:paraId="49A029C5" w14:textId="77777777" w:rsidR="008C25BD" w:rsidRPr="00CB2CB5" w:rsidRDefault="008C25BD" w:rsidP="008759DE">
            <w:pPr>
              <w:spacing w:line="276" w:lineRule="auto"/>
              <w:jc w:val="right"/>
            </w:pPr>
          </w:p>
        </w:tc>
      </w:tr>
      <w:tr w:rsidR="008C25BD" w:rsidRPr="00CB2CB5" w14:paraId="252AE1DA" w14:textId="77777777" w:rsidTr="00DE2A0D">
        <w:trPr>
          <w:cantSplit/>
        </w:trPr>
        <w:tc>
          <w:tcPr>
            <w:tcW w:w="1587" w:type="dxa"/>
            <w:tcBorders>
              <w:bottom w:val="single" w:sz="24" w:space="0" w:color="auto"/>
              <w:right w:val="single" w:sz="6" w:space="0" w:color="auto"/>
            </w:tcBorders>
          </w:tcPr>
          <w:p w14:paraId="66E3D3E2" w14:textId="77777777" w:rsidR="008C25BD" w:rsidRPr="00CB2CB5" w:rsidRDefault="008C25BD" w:rsidP="008759DE">
            <w:pPr>
              <w:spacing w:line="276" w:lineRule="auto"/>
              <w:rPr>
                <w:b/>
              </w:rPr>
            </w:pPr>
            <w:r w:rsidRPr="00CB2CB5">
              <w:rPr>
                <w:b/>
              </w:rPr>
              <w:t>Medium Commercial</w:t>
            </w:r>
          </w:p>
        </w:tc>
        <w:tc>
          <w:tcPr>
            <w:tcW w:w="1553" w:type="dxa"/>
            <w:tcBorders>
              <w:left w:val="single" w:sz="6" w:space="0" w:color="auto"/>
              <w:bottom w:val="single" w:sz="24" w:space="0" w:color="auto"/>
              <w:right w:val="single" w:sz="24" w:space="0" w:color="auto"/>
            </w:tcBorders>
          </w:tcPr>
          <w:p w14:paraId="4D4482C1" w14:textId="77777777" w:rsidR="008C25BD" w:rsidRPr="00CB2CB5" w:rsidRDefault="008C25BD" w:rsidP="008759DE">
            <w:pPr>
              <w:spacing w:line="276" w:lineRule="auto"/>
              <w:jc w:val="right"/>
            </w:pPr>
            <w:r w:rsidRPr="00CB2CB5">
              <w:t>Demand / Energy</w:t>
            </w:r>
          </w:p>
        </w:tc>
        <w:tc>
          <w:tcPr>
            <w:tcW w:w="1551" w:type="dxa"/>
            <w:tcBorders>
              <w:top w:val="single" w:sz="24" w:space="0" w:color="auto"/>
              <w:left w:val="single" w:sz="24" w:space="0" w:color="auto"/>
              <w:right w:val="double" w:sz="12" w:space="0" w:color="auto"/>
            </w:tcBorders>
          </w:tcPr>
          <w:p w14:paraId="58591767" w14:textId="77777777" w:rsidR="008C25BD" w:rsidRPr="00CB2CB5" w:rsidRDefault="008C25BD" w:rsidP="008759DE">
            <w:pPr>
              <w:spacing w:line="276" w:lineRule="auto"/>
              <w:jc w:val="right"/>
            </w:pPr>
            <w:r w:rsidRPr="00CB2CB5">
              <w:t xml:space="preserve">Demand / </w:t>
            </w:r>
          </w:p>
          <w:p w14:paraId="6CE3BCD5" w14:textId="7A9A67CD" w:rsidR="008C25BD" w:rsidRPr="00CB2CB5" w:rsidRDefault="008C25BD" w:rsidP="008759DE">
            <w:pPr>
              <w:spacing w:line="276" w:lineRule="auto"/>
              <w:jc w:val="right"/>
            </w:pPr>
            <w:r w:rsidRPr="00CB2CB5">
              <w:t>TO</w:t>
            </w:r>
            <w:r w:rsidR="004D6A3D">
              <w:t>D</w:t>
            </w:r>
            <w:r w:rsidRPr="00CB2CB5">
              <w:t xml:space="preserve"> Energy</w:t>
            </w:r>
          </w:p>
        </w:tc>
        <w:tc>
          <w:tcPr>
            <w:tcW w:w="1551" w:type="dxa"/>
            <w:tcBorders>
              <w:top w:val="single" w:sz="24" w:space="0" w:color="auto"/>
              <w:left w:val="double" w:sz="12" w:space="0" w:color="auto"/>
            </w:tcBorders>
          </w:tcPr>
          <w:p w14:paraId="77D01F3A" w14:textId="77777777" w:rsidR="008C25BD" w:rsidRPr="00CB2CB5" w:rsidRDefault="008C25BD" w:rsidP="008759DE">
            <w:pPr>
              <w:spacing w:line="276" w:lineRule="auto"/>
              <w:jc w:val="right"/>
            </w:pPr>
            <w:r w:rsidRPr="00CB2CB5">
              <w:t xml:space="preserve">Demand / </w:t>
            </w:r>
          </w:p>
          <w:p w14:paraId="064AEAFC" w14:textId="108D23C1" w:rsidR="008C25BD" w:rsidRPr="00CB2CB5" w:rsidRDefault="008C25BD" w:rsidP="008759DE">
            <w:pPr>
              <w:spacing w:line="276" w:lineRule="auto"/>
              <w:jc w:val="right"/>
            </w:pPr>
            <w:r w:rsidRPr="00CB2CB5">
              <w:t>TO</w:t>
            </w:r>
            <w:r w:rsidR="004D6A3D">
              <w:t>D</w:t>
            </w:r>
            <w:r w:rsidRPr="00CB2CB5">
              <w:t xml:space="preserve"> Energy</w:t>
            </w:r>
          </w:p>
          <w:p w14:paraId="03258338" w14:textId="77777777" w:rsidR="008C25BD" w:rsidRPr="00CB2CB5" w:rsidRDefault="008C25BD" w:rsidP="008759DE">
            <w:pPr>
              <w:spacing w:line="276" w:lineRule="auto"/>
              <w:jc w:val="right"/>
            </w:pPr>
            <w:r w:rsidRPr="00CB2CB5">
              <w:t>CPP &amp; PTR</w:t>
            </w:r>
          </w:p>
        </w:tc>
        <w:tc>
          <w:tcPr>
            <w:tcW w:w="1554" w:type="dxa"/>
          </w:tcPr>
          <w:p w14:paraId="51279B43" w14:textId="77777777" w:rsidR="008C25BD" w:rsidRPr="00CB2CB5" w:rsidRDefault="008C25BD" w:rsidP="008759DE">
            <w:pPr>
              <w:spacing w:line="276" w:lineRule="auto"/>
              <w:jc w:val="right"/>
            </w:pPr>
            <w:r w:rsidRPr="00CB2CB5">
              <w:t xml:space="preserve">Demand / </w:t>
            </w:r>
          </w:p>
          <w:p w14:paraId="777C41B7" w14:textId="11A15565" w:rsidR="008C25BD" w:rsidRPr="00CB2CB5" w:rsidRDefault="008C25BD" w:rsidP="008759DE">
            <w:pPr>
              <w:spacing w:line="276" w:lineRule="auto"/>
              <w:jc w:val="right"/>
            </w:pPr>
            <w:r w:rsidRPr="00CB2CB5">
              <w:t>TO</w:t>
            </w:r>
            <w:r w:rsidR="004D6A3D">
              <w:t>D</w:t>
            </w:r>
            <w:r w:rsidRPr="00CB2CB5">
              <w:t xml:space="preserve"> Energy</w:t>
            </w:r>
          </w:p>
          <w:p w14:paraId="74F1FB4B" w14:textId="77777777" w:rsidR="008C25BD" w:rsidRPr="00CB2CB5" w:rsidRDefault="008C25BD" w:rsidP="008759DE">
            <w:pPr>
              <w:spacing w:line="276" w:lineRule="auto"/>
              <w:jc w:val="right"/>
            </w:pPr>
            <w:r w:rsidRPr="00CB2CB5">
              <w:t>CPP &amp; PTR</w:t>
            </w:r>
          </w:p>
        </w:tc>
        <w:tc>
          <w:tcPr>
            <w:tcW w:w="1554" w:type="dxa"/>
          </w:tcPr>
          <w:p w14:paraId="02426928" w14:textId="77777777" w:rsidR="008C25BD" w:rsidRPr="00CB2CB5" w:rsidRDefault="008C25BD" w:rsidP="008759DE">
            <w:pPr>
              <w:spacing w:line="276" w:lineRule="auto"/>
              <w:jc w:val="right"/>
            </w:pPr>
            <w:r w:rsidRPr="00CB2CB5">
              <w:t xml:space="preserve">Demand / </w:t>
            </w:r>
          </w:p>
          <w:p w14:paraId="48C8CF37" w14:textId="7555B298" w:rsidR="008C25BD" w:rsidRPr="00CB2CB5" w:rsidRDefault="008C25BD" w:rsidP="008759DE">
            <w:pPr>
              <w:spacing w:line="276" w:lineRule="auto"/>
              <w:jc w:val="right"/>
            </w:pPr>
            <w:r w:rsidRPr="00CB2CB5">
              <w:t>TO</w:t>
            </w:r>
            <w:r w:rsidR="004D6A3D">
              <w:t>D</w:t>
            </w:r>
            <w:r w:rsidRPr="00CB2CB5">
              <w:t xml:space="preserve"> Energy</w:t>
            </w:r>
          </w:p>
          <w:p w14:paraId="5AC246D9" w14:textId="77777777" w:rsidR="008C25BD" w:rsidRPr="00CB2CB5" w:rsidRDefault="008C25BD" w:rsidP="008759DE">
            <w:pPr>
              <w:spacing w:line="276" w:lineRule="auto"/>
              <w:jc w:val="right"/>
            </w:pPr>
            <w:r w:rsidRPr="00CB2CB5">
              <w:t>CPP &amp; PTR</w:t>
            </w:r>
          </w:p>
          <w:p w14:paraId="6A24E9D1" w14:textId="77777777" w:rsidR="008C25BD" w:rsidRPr="00CB2CB5" w:rsidRDefault="008C25BD" w:rsidP="008759DE">
            <w:pPr>
              <w:spacing w:line="276" w:lineRule="auto"/>
              <w:jc w:val="right"/>
            </w:pPr>
          </w:p>
        </w:tc>
      </w:tr>
      <w:tr w:rsidR="008C25BD" w:rsidRPr="00CB2CB5" w14:paraId="566B0150" w14:textId="77777777" w:rsidTr="00DE2A0D">
        <w:trPr>
          <w:cantSplit/>
        </w:trPr>
        <w:tc>
          <w:tcPr>
            <w:tcW w:w="1587" w:type="dxa"/>
            <w:tcBorders>
              <w:top w:val="single" w:sz="24" w:space="0" w:color="auto"/>
            </w:tcBorders>
          </w:tcPr>
          <w:p w14:paraId="79272363" w14:textId="77777777" w:rsidR="008C25BD" w:rsidRPr="00CB2CB5" w:rsidRDefault="008C25BD" w:rsidP="008759DE">
            <w:pPr>
              <w:spacing w:line="276" w:lineRule="auto"/>
              <w:rPr>
                <w:b/>
              </w:rPr>
            </w:pPr>
            <w:r w:rsidRPr="00CB2CB5">
              <w:rPr>
                <w:b/>
              </w:rPr>
              <w:t>Industrial and Military</w:t>
            </w:r>
          </w:p>
        </w:tc>
        <w:tc>
          <w:tcPr>
            <w:tcW w:w="1553" w:type="dxa"/>
            <w:tcBorders>
              <w:top w:val="single" w:sz="24" w:space="0" w:color="auto"/>
            </w:tcBorders>
          </w:tcPr>
          <w:p w14:paraId="6D8579D5" w14:textId="77777777" w:rsidR="008C25BD" w:rsidRPr="00CB2CB5" w:rsidRDefault="008C25BD" w:rsidP="008759DE">
            <w:pPr>
              <w:spacing w:line="276" w:lineRule="auto"/>
              <w:jc w:val="right"/>
            </w:pPr>
            <w:r w:rsidRPr="00CB2CB5">
              <w:t xml:space="preserve">Demand / </w:t>
            </w:r>
          </w:p>
          <w:p w14:paraId="349FDDBC" w14:textId="73B1662E" w:rsidR="008C25BD" w:rsidRPr="00CB2CB5" w:rsidRDefault="008C25BD" w:rsidP="008759DE">
            <w:pPr>
              <w:spacing w:line="276" w:lineRule="auto"/>
              <w:jc w:val="right"/>
            </w:pPr>
            <w:r w:rsidRPr="00CB2CB5">
              <w:t>TO</w:t>
            </w:r>
            <w:r w:rsidR="004D6A3D">
              <w:t>D</w:t>
            </w:r>
            <w:r w:rsidRPr="00CB2CB5">
              <w:t xml:space="preserve"> Energy</w:t>
            </w:r>
          </w:p>
        </w:tc>
        <w:tc>
          <w:tcPr>
            <w:tcW w:w="1551" w:type="dxa"/>
            <w:tcBorders>
              <w:right w:val="double" w:sz="12" w:space="0" w:color="auto"/>
            </w:tcBorders>
          </w:tcPr>
          <w:p w14:paraId="740A4ACA" w14:textId="77777777" w:rsidR="008C25BD" w:rsidRPr="00CB2CB5" w:rsidRDefault="008C25BD" w:rsidP="008759DE">
            <w:pPr>
              <w:spacing w:line="276" w:lineRule="auto"/>
              <w:jc w:val="right"/>
            </w:pPr>
            <w:r w:rsidRPr="00CB2CB5">
              <w:t xml:space="preserve">Demand / </w:t>
            </w:r>
          </w:p>
          <w:p w14:paraId="49E40AE3" w14:textId="77A9E161" w:rsidR="008C25BD" w:rsidRPr="00CB2CB5" w:rsidRDefault="008C25BD" w:rsidP="008759DE">
            <w:pPr>
              <w:spacing w:line="276" w:lineRule="auto"/>
              <w:jc w:val="right"/>
            </w:pPr>
            <w:r w:rsidRPr="00CB2CB5">
              <w:t>TO</w:t>
            </w:r>
            <w:r w:rsidR="004D6A3D">
              <w:t>D</w:t>
            </w:r>
            <w:r w:rsidRPr="00CB2CB5">
              <w:t xml:space="preserve"> Energy</w:t>
            </w:r>
          </w:p>
        </w:tc>
        <w:tc>
          <w:tcPr>
            <w:tcW w:w="1551" w:type="dxa"/>
            <w:tcBorders>
              <w:left w:val="double" w:sz="12" w:space="0" w:color="auto"/>
            </w:tcBorders>
          </w:tcPr>
          <w:p w14:paraId="4C8288B2" w14:textId="44D71E21" w:rsidR="008C25BD" w:rsidRPr="00CB2CB5" w:rsidRDefault="008C25BD" w:rsidP="008759DE">
            <w:pPr>
              <w:spacing w:line="276" w:lineRule="auto"/>
              <w:jc w:val="right"/>
            </w:pPr>
            <w:r w:rsidRPr="00CB2CB5">
              <w:t>TO</w:t>
            </w:r>
            <w:r w:rsidR="004D6A3D">
              <w:t>D</w:t>
            </w:r>
            <w:r w:rsidRPr="00CB2CB5">
              <w:t xml:space="preserve"> Demand / TO</w:t>
            </w:r>
            <w:r w:rsidR="004D6A3D">
              <w:t>D</w:t>
            </w:r>
            <w:r w:rsidRPr="00CB2CB5">
              <w:t xml:space="preserve"> Energy</w:t>
            </w:r>
          </w:p>
        </w:tc>
        <w:tc>
          <w:tcPr>
            <w:tcW w:w="1554" w:type="dxa"/>
          </w:tcPr>
          <w:p w14:paraId="46C2F386" w14:textId="579DA37C" w:rsidR="008C25BD" w:rsidRPr="00CB2CB5" w:rsidRDefault="008C25BD" w:rsidP="008759DE">
            <w:pPr>
              <w:spacing w:line="276" w:lineRule="auto"/>
              <w:jc w:val="right"/>
            </w:pPr>
            <w:r w:rsidRPr="00CB2CB5">
              <w:t>TO</w:t>
            </w:r>
            <w:r w:rsidR="004D6A3D">
              <w:t>D</w:t>
            </w:r>
            <w:r w:rsidRPr="00CB2CB5">
              <w:t xml:space="preserve"> Demand / TO</w:t>
            </w:r>
            <w:r w:rsidR="004D6A3D">
              <w:t>D</w:t>
            </w:r>
            <w:r w:rsidRPr="00CB2CB5">
              <w:t xml:space="preserve"> Energy</w:t>
            </w:r>
          </w:p>
          <w:p w14:paraId="400533DF" w14:textId="77777777" w:rsidR="008C25BD" w:rsidRPr="00CB2CB5" w:rsidRDefault="008C25BD" w:rsidP="008759DE">
            <w:pPr>
              <w:spacing w:line="276" w:lineRule="auto"/>
              <w:jc w:val="right"/>
            </w:pPr>
            <w:r w:rsidRPr="00CB2CB5">
              <w:t>Capacity Bidding</w:t>
            </w:r>
          </w:p>
        </w:tc>
        <w:tc>
          <w:tcPr>
            <w:tcW w:w="1554" w:type="dxa"/>
          </w:tcPr>
          <w:p w14:paraId="22A3C3D6" w14:textId="6A6B573A" w:rsidR="008C25BD" w:rsidRPr="00CB2CB5" w:rsidRDefault="008C25BD" w:rsidP="008759DE">
            <w:pPr>
              <w:spacing w:line="276" w:lineRule="auto"/>
              <w:jc w:val="right"/>
            </w:pPr>
            <w:r w:rsidRPr="00CB2CB5">
              <w:t>TO</w:t>
            </w:r>
            <w:r w:rsidR="004D6A3D">
              <w:t>D</w:t>
            </w:r>
            <w:r w:rsidRPr="00CB2CB5">
              <w:t xml:space="preserve"> Demand / TO</w:t>
            </w:r>
            <w:r w:rsidR="004D6A3D">
              <w:t>D</w:t>
            </w:r>
            <w:r w:rsidRPr="00CB2CB5">
              <w:t xml:space="preserve"> Energy</w:t>
            </w:r>
          </w:p>
          <w:p w14:paraId="7F9CA9B4" w14:textId="77777777" w:rsidR="008C25BD" w:rsidRPr="00CB2CB5" w:rsidRDefault="008C25BD" w:rsidP="008759DE">
            <w:pPr>
              <w:spacing w:line="276" w:lineRule="auto"/>
              <w:jc w:val="right"/>
            </w:pPr>
            <w:r w:rsidRPr="00CB2CB5">
              <w:t>Capacity Bidding</w:t>
            </w:r>
          </w:p>
          <w:p w14:paraId="38274ABD" w14:textId="77777777" w:rsidR="008C25BD" w:rsidRPr="00CB2CB5" w:rsidRDefault="008C25BD" w:rsidP="008759DE">
            <w:pPr>
              <w:spacing w:line="276" w:lineRule="auto"/>
              <w:jc w:val="right"/>
            </w:pPr>
          </w:p>
        </w:tc>
      </w:tr>
      <w:tr w:rsidR="008C25BD" w:rsidRPr="00CB2CB5" w14:paraId="01068713" w14:textId="77777777" w:rsidTr="00DE2A0D">
        <w:trPr>
          <w:cantSplit/>
        </w:trPr>
        <w:tc>
          <w:tcPr>
            <w:tcW w:w="1587" w:type="dxa"/>
          </w:tcPr>
          <w:p w14:paraId="621E2CEE" w14:textId="77777777" w:rsidR="008C25BD" w:rsidRPr="00CB2CB5" w:rsidRDefault="008C25BD" w:rsidP="008759DE">
            <w:pPr>
              <w:spacing w:line="276" w:lineRule="auto"/>
              <w:rPr>
                <w:b/>
              </w:rPr>
            </w:pPr>
            <w:r w:rsidRPr="00CB2CB5">
              <w:rPr>
                <w:b/>
              </w:rPr>
              <w:t>Irrigation and Pumping</w:t>
            </w:r>
          </w:p>
        </w:tc>
        <w:tc>
          <w:tcPr>
            <w:tcW w:w="1553" w:type="dxa"/>
          </w:tcPr>
          <w:p w14:paraId="3AAEA29E" w14:textId="77777777" w:rsidR="008C25BD" w:rsidRPr="00CB2CB5" w:rsidRDefault="008C25BD" w:rsidP="008759DE">
            <w:pPr>
              <w:spacing w:line="276" w:lineRule="auto"/>
              <w:jc w:val="right"/>
            </w:pPr>
            <w:r w:rsidRPr="00CB2CB5">
              <w:t xml:space="preserve">Demand / </w:t>
            </w:r>
          </w:p>
          <w:p w14:paraId="58A16069" w14:textId="32FE43A8" w:rsidR="008C25BD" w:rsidRPr="00CB2CB5" w:rsidRDefault="008C25BD" w:rsidP="008759DE">
            <w:pPr>
              <w:spacing w:line="276" w:lineRule="auto"/>
              <w:jc w:val="right"/>
            </w:pPr>
            <w:r w:rsidRPr="00CB2CB5">
              <w:t>TO</w:t>
            </w:r>
            <w:r w:rsidR="004D6A3D">
              <w:t>D</w:t>
            </w:r>
            <w:r w:rsidRPr="00CB2CB5">
              <w:t xml:space="preserve"> Energy</w:t>
            </w:r>
          </w:p>
        </w:tc>
        <w:tc>
          <w:tcPr>
            <w:tcW w:w="1551" w:type="dxa"/>
            <w:tcBorders>
              <w:right w:val="double" w:sz="12" w:space="0" w:color="auto"/>
            </w:tcBorders>
          </w:tcPr>
          <w:p w14:paraId="41FC9441" w14:textId="77777777" w:rsidR="008C25BD" w:rsidRPr="00CB2CB5" w:rsidRDefault="008C25BD" w:rsidP="008759DE">
            <w:pPr>
              <w:spacing w:line="276" w:lineRule="auto"/>
              <w:jc w:val="right"/>
            </w:pPr>
            <w:r w:rsidRPr="00CB2CB5">
              <w:t xml:space="preserve">Demand / </w:t>
            </w:r>
          </w:p>
          <w:p w14:paraId="11D061F9" w14:textId="5F7659F9" w:rsidR="008C25BD" w:rsidRPr="00CB2CB5" w:rsidRDefault="008C25BD" w:rsidP="008759DE">
            <w:pPr>
              <w:spacing w:line="276" w:lineRule="auto"/>
              <w:jc w:val="right"/>
            </w:pPr>
            <w:r w:rsidRPr="00CB2CB5">
              <w:t>TO</w:t>
            </w:r>
            <w:r w:rsidR="004D6A3D">
              <w:t>D</w:t>
            </w:r>
            <w:r w:rsidRPr="00CB2CB5">
              <w:t xml:space="preserve"> Energy</w:t>
            </w:r>
          </w:p>
        </w:tc>
        <w:tc>
          <w:tcPr>
            <w:tcW w:w="1551" w:type="dxa"/>
            <w:tcBorders>
              <w:left w:val="double" w:sz="12" w:space="0" w:color="auto"/>
            </w:tcBorders>
          </w:tcPr>
          <w:p w14:paraId="024B5791" w14:textId="77777777" w:rsidR="008C25BD" w:rsidRPr="00CB2CB5" w:rsidRDefault="008C25BD" w:rsidP="008759DE">
            <w:pPr>
              <w:spacing w:line="276" w:lineRule="auto"/>
              <w:jc w:val="right"/>
            </w:pPr>
            <w:r w:rsidRPr="00CB2CB5">
              <w:t xml:space="preserve">Demand / </w:t>
            </w:r>
          </w:p>
          <w:p w14:paraId="1F6AFB71" w14:textId="5A668C68" w:rsidR="008C25BD" w:rsidRPr="00CB2CB5" w:rsidRDefault="008C25BD" w:rsidP="008759DE">
            <w:pPr>
              <w:spacing w:line="276" w:lineRule="auto"/>
              <w:jc w:val="right"/>
            </w:pPr>
            <w:r w:rsidRPr="00CB2CB5">
              <w:t>TO</w:t>
            </w:r>
            <w:r w:rsidR="004D6A3D">
              <w:t>D</w:t>
            </w:r>
            <w:r w:rsidRPr="00CB2CB5">
              <w:t xml:space="preserve"> Energy</w:t>
            </w:r>
          </w:p>
        </w:tc>
        <w:tc>
          <w:tcPr>
            <w:tcW w:w="1554" w:type="dxa"/>
          </w:tcPr>
          <w:p w14:paraId="663CE682" w14:textId="77777777" w:rsidR="008C25BD" w:rsidRPr="00CB2CB5" w:rsidRDefault="008C25BD" w:rsidP="008759DE">
            <w:pPr>
              <w:spacing w:line="276" w:lineRule="auto"/>
              <w:jc w:val="right"/>
            </w:pPr>
            <w:r w:rsidRPr="00CB2CB5">
              <w:t xml:space="preserve">Demand / </w:t>
            </w:r>
          </w:p>
          <w:p w14:paraId="4963EC82" w14:textId="2B2561A7" w:rsidR="008C25BD" w:rsidRPr="00CB2CB5" w:rsidRDefault="008C25BD" w:rsidP="008759DE">
            <w:pPr>
              <w:spacing w:line="276" w:lineRule="auto"/>
              <w:jc w:val="right"/>
            </w:pPr>
            <w:r w:rsidRPr="00CB2CB5">
              <w:t>TO</w:t>
            </w:r>
            <w:r w:rsidR="004D6A3D">
              <w:t>D</w:t>
            </w:r>
            <w:r w:rsidRPr="00CB2CB5">
              <w:t xml:space="preserve"> Energy</w:t>
            </w:r>
          </w:p>
        </w:tc>
        <w:tc>
          <w:tcPr>
            <w:tcW w:w="1554" w:type="dxa"/>
          </w:tcPr>
          <w:p w14:paraId="1975048E" w14:textId="77777777" w:rsidR="008C25BD" w:rsidRPr="00CB2CB5" w:rsidRDefault="008C25BD" w:rsidP="008759DE">
            <w:pPr>
              <w:spacing w:line="276" w:lineRule="auto"/>
              <w:jc w:val="right"/>
            </w:pPr>
            <w:r w:rsidRPr="00CB2CB5">
              <w:t xml:space="preserve">Demand / </w:t>
            </w:r>
          </w:p>
          <w:p w14:paraId="393C8072" w14:textId="541FFE69" w:rsidR="008C25BD" w:rsidRPr="00CB2CB5" w:rsidRDefault="008C25BD" w:rsidP="008759DE">
            <w:pPr>
              <w:spacing w:line="276" w:lineRule="auto"/>
              <w:jc w:val="right"/>
            </w:pPr>
            <w:r w:rsidRPr="00CB2CB5">
              <w:t>TO</w:t>
            </w:r>
            <w:r w:rsidR="004D6A3D">
              <w:t>D</w:t>
            </w:r>
            <w:r w:rsidRPr="00CB2CB5">
              <w:t xml:space="preserve"> Energy</w:t>
            </w:r>
          </w:p>
          <w:p w14:paraId="61186C7B" w14:textId="77777777" w:rsidR="008C25BD" w:rsidRPr="00CB2CB5" w:rsidRDefault="008C25BD" w:rsidP="008759DE">
            <w:pPr>
              <w:spacing w:line="276" w:lineRule="auto"/>
              <w:jc w:val="right"/>
            </w:pPr>
          </w:p>
        </w:tc>
      </w:tr>
    </w:tbl>
    <w:p w14:paraId="727895F4" w14:textId="77777777" w:rsidR="008C25BD" w:rsidRPr="00CB2CB5" w:rsidRDefault="008C25BD" w:rsidP="008759DE">
      <w:pPr>
        <w:spacing w:line="276" w:lineRule="auto"/>
      </w:pPr>
    </w:p>
    <w:p w14:paraId="171D985F" w14:textId="1CEE91B3" w:rsidR="008C25BD" w:rsidRPr="00CB2CB5" w:rsidRDefault="008C25BD" w:rsidP="00286B74">
      <w:pPr>
        <w:spacing w:line="276" w:lineRule="auto"/>
        <w:ind w:left="540"/>
      </w:pPr>
      <w:r w:rsidRPr="00CB2CB5">
        <w:t>The solid black line indicates the point at which the mandatory rate structure for the class would include TO</w:t>
      </w:r>
      <w:r w:rsidR="00E27370">
        <w:t>D</w:t>
      </w:r>
      <w:r w:rsidRPr="00CB2CB5">
        <w:t xml:space="preserve"> energy charges (the TO</w:t>
      </w:r>
      <w:r w:rsidR="00E27370">
        <w:t>D</w:t>
      </w:r>
      <w:r w:rsidRPr="00CB2CB5">
        <w:t xml:space="preserve"> line).  Generally, large industrial, military, and irrigation and pumping customers already have mandatory TO</w:t>
      </w:r>
      <w:r w:rsidR="00E27370">
        <w:t>D</w:t>
      </w:r>
      <w:r w:rsidRPr="00CB2CB5">
        <w:t xml:space="preserve"> pricing tariffs.  The vertical double-line indicates approximate timing for completion of a system-wide Advanced Metering Initiative (</w:t>
      </w:r>
      <w:r w:rsidR="00B81EE4" w:rsidRPr="00CB2CB5">
        <w:t>"</w:t>
      </w:r>
      <w:r w:rsidRPr="00CB2CB5">
        <w:t>AMI</w:t>
      </w:r>
      <w:r w:rsidR="00B81EE4" w:rsidRPr="00CB2CB5">
        <w:t>"</w:t>
      </w:r>
      <w:r w:rsidRPr="00CB2CB5">
        <w:t>).  Because of the number of customer accounts represented by the Residential and Small Commercial classes, advanced metering on a system-wide basis is critical to the success of expanding TO</w:t>
      </w:r>
      <w:r w:rsidR="00E27370">
        <w:t>D</w:t>
      </w:r>
      <w:r w:rsidRPr="00CB2CB5">
        <w:t xml:space="preserve"> and dynamic pricing options. </w:t>
      </w:r>
    </w:p>
    <w:p w14:paraId="656B34B9" w14:textId="77777777" w:rsidR="004F0C2C" w:rsidRPr="00CB2CB5" w:rsidRDefault="004F0C2C" w:rsidP="00286B74">
      <w:pPr>
        <w:spacing w:line="276" w:lineRule="auto"/>
        <w:ind w:left="540"/>
      </w:pPr>
    </w:p>
    <w:p w14:paraId="5CD29098" w14:textId="7CD6B048" w:rsidR="004F0C2C" w:rsidRPr="00CB2CB5" w:rsidRDefault="004F0C2C" w:rsidP="00286B74">
      <w:pPr>
        <w:spacing w:line="276" w:lineRule="auto"/>
        <w:ind w:left="540"/>
      </w:pPr>
      <w:r w:rsidRPr="00CB2CB5">
        <w:t>EPE</w:t>
      </w:r>
      <w:r w:rsidR="00B81EE4" w:rsidRPr="00CB2CB5">
        <w:t>'</w:t>
      </w:r>
      <w:r w:rsidRPr="00CB2CB5">
        <w:t>s assessment of the impact of rate differentials and rate structures is that the net effect of rate structures changes, participation rates driven by mandatory requirements, and dynamic pricing following AMI implementation would not exceed the lower band confidence interval of future native system demand and energy (</w:t>
      </w:r>
      <w:r w:rsidRPr="00FF7F8C">
        <w:t>Figures 3 and 4).  Long</w:t>
      </w:r>
      <w:r w:rsidR="003F14C2" w:rsidRPr="00CB2CB5">
        <w:noBreakHyphen/>
      </w:r>
      <w:r w:rsidRPr="00CB2CB5">
        <w:t>term rate and rate structure changes can have an impact on customer demand</w:t>
      </w:r>
      <w:r w:rsidR="00141337" w:rsidRPr="00CB2CB5">
        <w:t xml:space="preserve"> and average use per customer, but these effects can likewise be offset by increased penetration of technologies such as electric vehicles.  EPE</w:t>
      </w:r>
      <w:r w:rsidR="00B81EE4" w:rsidRPr="00CB2CB5">
        <w:t>'</w:t>
      </w:r>
      <w:r w:rsidR="00141337" w:rsidRPr="00CB2CB5">
        <w:t xml:space="preserve">s assessment is that the rate impacts discussed here, assuming all other things equal, will have the effect of reducing the slope of demand and energy growth </w:t>
      </w:r>
      <w:r w:rsidR="00141337" w:rsidRPr="00CB2CB5">
        <w:lastRenderedPageBreak/>
        <w:t xml:space="preserve">over time.  In addition, by establishing rate differentials and dynamic pricing programs based on the cost of peak generation resources, the cost-effectiveness of these rate offerings </w:t>
      </w:r>
      <w:r w:rsidR="00282AD7" w:rsidRPr="00CB2CB5">
        <w:t>is</w:t>
      </w:r>
      <w:r w:rsidR="00141337" w:rsidRPr="00CB2CB5">
        <w:t xml:space="preserve"> comparable to avoided cost of the relevant resource alternative. </w:t>
      </w:r>
    </w:p>
    <w:p w14:paraId="15020CEF" w14:textId="77777777" w:rsidR="00B20224" w:rsidRPr="00CB2CB5" w:rsidRDefault="00B20224" w:rsidP="008759DE">
      <w:pPr>
        <w:spacing w:line="276" w:lineRule="auto"/>
      </w:pPr>
    </w:p>
    <w:p w14:paraId="42001A36" w14:textId="77777777" w:rsidR="008C25BD" w:rsidRPr="00CB2CB5" w:rsidRDefault="008C25BD" w:rsidP="008759DE">
      <w:pPr>
        <w:pStyle w:val="ListParagraph"/>
        <w:spacing w:after="0" w:line="276" w:lineRule="auto"/>
        <w:ind w:left="2160"/>
        <w:rPr>
          <w:rFonts w:ascii="Times New Roman" w:eastAsia="Times New Roman" w:hAnsi="Times New Roman"/>
          <w:sz w:val="24"/>
        </w:rPr>
      </w:pPr>
    </w:p>
    <w:p w14:paraId="18FA5D2A" w14:textId="77777777" w:rsidR="003C0EF8" w:rsidRPr="00CB2CB5" w:rsidRDefault="00922D19" w:rsidP="003F14C2">
      <w:pPr>
        <w:pStyle w:val="Heading1"/>
        <w:keepNext/>
        <w:keepLines/>
        <w:widowControl/>
        <w:numPr>
          <w:ilvl w:val="0"/>
          <w:numId w:val="23"/>
        </w:numPr>
        <w:tabs>
          <w:tab w:val="left" w:pos="540"/>
        </w:tabs>
        <w:autoSpaceDE/>
        <w:autoSpaceDN/>
        <w:spacing w:before="0" w:line="276" w:lineRule="auto"/>
        <w:ind w:left="540" w:hanging="540"/>
      </w:pPr>
      <w:bookmarkStart w:id="59" w:name="_Toc534190331"/>
      <w:r w:rsidRPr="00CB2CB5">
        <w:t>DESCRIPTION OF THE RESOURCE AND FUEL DIVERSITY</w:t>
      </w:r>
      <w:bookmarkEnd w:id="59"/>
    </w:p>
    <w:p w14:paraId="57D4DC0A" w14:textId="77777777" w:rsidR="00A027CB" w:rsidRPr="00CB2CB5" w:rsidRDefault="00A027CB" w:rsidP="008759DE">
      <w:pPr>
        <w:spacing w:line="276" w:lineRule="auto"/>
        <w:ind w:left="720" w:hanging="720"/>
        <w:rPr>
          <w:rFonts w:eastAsia="Times New Roman"/>
          <w:b/>
        </w:rPr>
      </w:pPr>
    </w:p>
    <w:p w14:paraId="1C0A45ED" w14:textId="77777777" w:rsidR="00910A8A" w:rsidRPr="00CB2CB5" w:rsidRDefault="0090309F" w:rsidP="008759DE">
      <w:pPr>
        <w:spacing w:line="276" w:lineRule="auto"/>
        <w:rPr>
          <w:rFonts w:eastAsia="Times New Roman"/>
        </w:rPr>
      </w:pPr>
      <w:r w:rsidRPr="00CB2CB5">
        <w:rPr>
          <w:rFonts w:eastAsia="Times New Roman"/>
        </w:rPr>
        <w:t xml:space="preserve">EPE primarily meets its customers' electrical demands with power generated from its generating stations, which are powered by natural gas and uranium.  Utilizing renewable resources, particularly solar, as part of its system, EPE increases its fuel resource diversity.  While EPE no longer has the coal-fired </w:t>
      </w:r>
      <w:proofErr w:type="spellStart"/>
      <w:r w:rsidRPr="00CB2CB5">
        <w:rPr>
          <w:rFonts w:eastAsia="Times New Roman"/>
        </w:rPr>
        <w:t>FCPP</w:t>
      </w:r>
      <w:proofErr w:type="spellEnd"/>
      <w:r w:rsidRPr="00CB2CB5">
        <w:rPr>
          <w:rFonts w:eastAsia="Times New Roman"/>
        </w:rPr>
        <w:t xml:space="preserve"> in its resource fleet, EPE is still able to maintain a diverse resource mix of nuclear, gas-fired, renewables, and purchased power. </w:t>
      </w:r>
    </w:p>
    <w:p w14:paraId="512943DA" w14:textId="77777777" w:rsidR="00910A8A" w:rsidRPr="00CB2CB5" w:rsidRDefault="00910A8A" w:rsidP="008759DE">
      <w:pPr>
        <w:spacing w:line="276" w:lineRule="auto"/>
        <w:rPr>
          <w:rFonts w:eastAsia="Times New Roman"/>
        </w:rPr>
      </w:pPr>
    </w:p>
    <w:p w14:paraId="371CE939" w14:textId="07584830" w:rsidR="0090309F" w:rsidRPr="00CB2CB5" w:rsidRDefault="0090309F" w:rsidP="008759DE">
      <w:pPr>
        <w:spacing w:line="276" w:lineRule="auto"/>
        <w:rPr>
          <w:rFonts w:eastAsia="Times New Roman"/>
        </w:rPr>
      </w:pPr>
      <w:r w:rsidRPr="00CB2CB5">
        <w:rPr>
          <w:rFonts w:eastAsia="Times New Roman"/>
        </w:rPr>
        <w:t>EPE's energy mix for 20</w:t>
      </w:r>
      <w:r w:rsidR="003E03A5">
        <w:rPr>
          <w:rFonts w:eastAsia="Times New Roman"/>
        </w:rPr>
        <w:t>20</w:t>
      </w:r>
      <w:r w:rsidRPr="00CB2CB5">
        <w:rPr>
          <w:rFonts w:eastAsia="Times New Roman"/>
        </w:rPr>
        <w:t xml:space="preserve">, the most recently completed calendar year, is based on MWh generation </w:t>
      </w:r>
      <w:r w:rsidR="00224DF5" w:rsidRPr="00CB2CB5">
        <w:rPr>
          <w:rFonts w:eastAsia="Times New Roman"/>
        </w:rPr>
        <w:t xml:space="preserve">as shown in Figure </w:t>
      </w:r>
      <w:r w:rsidR="002F55FF" w:rsidRPr="00CB2CB5">
        <w:rPr>
          <w:rFonts w:eastAsia="Times New Roman"/>
        </w:rPr>
        <w:t>5</w:t>
      </w:r>
      <w:r w:rsidR="00224DF5" w:rsidRPr="00CB2CB5">
        <w:rPr>
          <w:rFonts w:eastAsia="Times New Roman"/>
        </w:rPr>
        <w:t xml:space="preserve"> below</w:t>
      </w:r>
      <w:r w:rsidRPr="00CB2CB5">
        <w:rPr>
          <w:rFonts w:eastAsia="Times New Roman"/>
        </w:rPr>
        <w:t xml:space="preserve">: </w:t>
      </w:r>
    </w:p>
    <w:p w14:paraId="6B2C002D" w14:textId="77777777" w:rsidR="0090309F" w:rsidRPr="00CB2CB5" w:rsidRDefault="0090309F" w:rsidP="008759DE">
      <w:pPr>
        <w:keepNext/>
        <w:keepLines/>
        <w:spacing w:line="276" w:lineRule="auto"/>
        <w:rPr>
          <w:rFonts w:eastAsia="Times New Roman"/>
        </w:rPr>
      </w:pPr>
    </w:p>
    <w:p w14:paraId="120FC1B3" w14:textId="60D609D7" w:rsidR="00DE2A0D" w:rsidRPr="00CB2CB5" w:rsidRDefault="009D4008" w:rsidP="008759DE">
      <w:pPr>
        <w:keepNext/>
        <w:spacing w:line="276" w:lineRule="auto"/>
        <w:jc w:val="center"/>
      </w:pPr>
      <w:r w:rsidRPr="00AF4CC2">
        <w:rPr>
          <w:noProof/>
          <w:color w:val="FFCC00"/>
        </w:rPr>
        <w:drawing>
          <wp:inline distT="0" distB="0" distL="0" distR="0" wp14:anchorId="2203989E" wp14:editId="0ABEFF89">
            <wp:extent cx="5448300" cy="3476625"/>
            <wp:effectExtent l="0" t="0" r="0" b="9525"/>
            <wp:docPr id="4103" name="Chart 410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86B38B" w14:textId="1ED2DBBB" w:rsidR="0090309F" w:rsidRPr="00CB2CB5" w:rsidRDefault="00DE2A0D" w:rsidP="008759DE">
      <w:pPr>
        <w:pStyle w:val="Caption"/>
        <w:spacing w:line="276" w:lineRule="auto"/>
        <w:jc w:val="center"/>
      </w:pPr>
      <w:bookmarkStart w:id="60" w:name="_Toc524604252"/>
      <w:r w:rsidRPr="00CB2CB5">
        <w:t xml:space="preserve">Figure </w:t>
      </w:r>
      <w:r w:rsidR="00AD06CC" w:rsidRPr="00CB2CB5">
        <w:rPr>
          <w:noProof/>
        </w:rPr>
        <w:fldChar w:fldCharType="begin"/>
      </w:r>
      <w:r w:rsidR="00AD06CC" w:rsidRPr="00CB2CB5">
        <w:rPr>
          <w:noProof/>
        </w:rPr>
        <w:instrText xml:space="preserve"> SEQ Figure \* ARABIC </w:instrText>
      </w:r>
      <w:r w:rsidR="00AD06CC" w:rsidRPr="00CB2CB5">
        <w:rPr>
          <w:noProof/>
        </w:rPr>
        <w:fldChar w:fldCharType="separate"/>
      </w:r>
      <w:r w:rsidR="00FD552A" w:rsidRPr="00CB2CB5">
        <w:rPr>
          <w:noProof/>
        </w:rPr>
        <w:t>5</w:t>
      </w:r>
      <w:r w:rsidR="00AD06CC" w:rsidRPr="00CB2CB5">
        <w:rPr>
          <w:noProof/>
        </w:rPr>
        <w:fldChar w:fldCharType="end"/>
      </w:r>
      <w:r w:rsidRPr="00CB2CB5">
        <w:t xml:space="preserve"> </w:t>
      </w:r>
      <w:r w:rsidR="003F14C2" w:rsidRPr="00CB2CB5">
        <w:t>–</w:t>
      </w:r>
      <w:r w:rsidRPr="00CB2CB5">
        <w:t xml:space="preserve"> EPE </w:t>
      </w:r>
      <w:r w:rsidR="00B931B1" w:rsidRPr="00CB2CB5">
        <w:t>20</w:t>
      </w:r>
      <w:r w:rsidR="00B931B1">
        <w:t xml:space="preserve">20 </w:t>
      </w:r>
      <w:r w:rsidRPr="00CB2CB5">
        <w:t>Energy Fuel Mix</w:t>
      </w:r>
      <w:bookmarkEnd w:id="60"/>
    </w:p>
    <w:p w14:paraId="27A281DC" w14:textId="77777777" w:rsidR="003C0EF8" w:rsidRPr="00CB2CB5" w:rsidRDefault="003C0EF8" w:rsidP="008759DE">
      <w:pPr>
        <w:pStyle w:val="ListParagraph"/>
        <w:spacing w:after="0" w:line="276" w:lineRule="auto"/>
        <w:ind w:left="0"/>
        <w:contextualSpacing w:val="0"/>
        <w:rPr>
          <w:rFonts w:ascii="Times New Roman" w:eastAsia="Times New Roman" w:hAnsi="Times New Roman"/>
          <w:sz w:val="24"/>
        </w:rPr>
      </w:pPr>
    </w:p>
    <w:p w14:paraId="205CAEC4" w14:textId="77777777" w:rsidR="003C0EF8" w:rsidRPr="00CB2CB5" w:rsidRDefault="001C38D3" w:rsidP="008759DE">
      <w:pPr>
        <w:pStyle w:val="Heading1"/>
        <w:keepNext/>
        <w:keepLines/>
        <w:widowControl/>
        <w:numPr>
          <w:ilvl w:val="0"/>
          <w:numId w:val="23"/>
        </w:numPr>
        <w:tabs>
          <w:tab w:val="left" w:pos="720"/>
        </w:tabs>
        <w:autoSpaceDE/>
        <w:autoSpaceDN/>
        <w:spacing w:before="0" w:line="276" w:lineRule="auto"/>
        <w:ind w:hanging="720"/>
      </w:pPr>
      <w:bookmarkStart w:id="61" w:name="_Toc534190332"/>
      <w:r w:rsidRPr="00CB2CB5">
        <w:t>IDENTIFICATION OF CRITICAL FACILITIES SUSCEPTIBLE TO SUPPLY-SOURCE OR OTHER FAILURES</w:t>
      </w:r>
      <w:bookmarkEnd w:id="61"/>
    </w:p>
    <w:p w14:paraId="1EA94C04" w14:textId="77777777" w:rsidR="006535AF" w:rsidRPr="00CB2CB5" w:rsidRDefault="006535AF" w:rsidP="008759DE">
      <w:pPr>
        <w:spacing w:line="276" w:lineRule="auto"/>
        <w:rPr>
          <w:rFonts w:eastAsia="Times New Roman"/>
        </w:rPr>
      </w:pPr>
    </w:p>
    <w:p w14:paraId="5FD5F720" w14:textId="0A1773DC" w:rsidR="00163ED3" w:rsidRPr="00CB2CB5" w:rsidRDefault="0090309F" w:rsidP="008759DE">
      <w:pPr>
        <w:spacing w:line="276" w:lineRule="auto"/>
        <w:rPr>
          <w:rFonts w:eastAsia="Times New Roman"/>
        </w:rPr>
      </w:pPr>
      <w:r w:rsidRPr="00CB2CB5">
        <w:rPr>
          <w:rFonts w:eastAsia="Times New Roman"/>
        </w:rPr>
        <w:t>EPE</w:t>
      </w:r>
      <w:r w:rsidR="00B81EE4" w:rsidRPr="00CB2CB5">
        <w:rPr>
          <w:rFonts w:eastAsia="Times New Roman"/>
        </w:rPr>
        <w:t>'</w:t>
      </w:r>
      <w:r w:rsidRPr="00CB2CB5">
        <w:rPr>
          <w:rFonts w:eastAsia="Times New Roman"/>
        </w:rPr>
        <w:t xml:space="preserve">s current critical facilities that are susceptible to supply-source or similar failures include its natural gas fired generation plants.  These facilities are susceptible to supply-source failures due </w:t>
      </w:r>
      <w:r w:rsidRPr="00CB2CB5">
        <w:rPr>
          <w:rFonts w:eastAsia="Times New Roman"/>
        </w:rPr>
        <w:lastRenderedPageBreak/>
        <w:t xml:space="preserve">to the fuel required for unit operation and the resulting power generation.  If the natural gas supply-source was to experience a </w:t>
      </w:r>
      <w:r w:rsidR="002302CF" w:rsidRPr="00CB2CB5">
        <w:rPr>
          <w:rFonts w:eastAsia="Times New Roman"/>
        </w:rPr>
        <w:t>large-scale</w:t>
      </w:r>
      <w:r w:rsidRPr="00CB2CB5">
        <w:rPr>
          <w:rFonts w:eastAsia="Times New Roman"/>
        </w:rPr>
        <w:t xml:space="preserve"> failure, then some of EPE</w:t>
      </w:r>
      <w:r w:rsidR="00B81EE4" w:rsidRPr="00CB2CB5">
        <w:rPr>
          <w:rFonts w:eastAsia="Times New Roman"/>
        </w:rPr>
        <w:t>'</w:t>
      </w:r>
      <w:r w:rsidRPr="00CB2CB5">
        <w:rPr>
          <w:rFonts w:eastAsia="Times New Roman"/>
        </w:rPr>
        <w:t>s critical facilities could be impacted.  To mitigate some of this risk, EPE periodically reviews its natural gas transportation and storage capability and any local fuel related concerns.  EPE is connected to two major gas pipelines (each with multiple large lines entering the city) on the interstate and on the intrastate system.  EPE also has emergency on-site fuel oil backup capability at its local Montana</w:t>
      </w:r>
      <w:r w:rsidR="00875F1F">
        <w:rPr>
          <w:rFonts w:eastAsia="Times New Roman"/>
        </w:rPr>
        <w:t xml:space="preserve"> Power Station</w:t>
      </w:r>
      <w:r w:rsidRPr="00CB2CB5">
        <w:rPr>
          <w:rFonts w:eastAsia="Times New Roman"/>
        </w:rPr>
        <w:t xml:space="preserve">.  This multiple gas pipeline configuration, as well as purchased power availability as transmission constraints permits, </w:t>
      </w:r>
      <w:r w:rsidR="00663266" w:rsidRPr="00CB2CB5">
        <w:rPr>
          <w:rFonts w:eastAsia="Times New Roman"/>
        </w:rPr>
        <w:t xml:space="preserve">fuel oil backup, </w:t>
      </w:r>
      <w:r w:rsidRPr="00CB2CB5">
        <w:rPr>
          <w:rFonts w:eastAsia="Times New Roman"/>
        </w:rPr>
        <w:t>and EPE</w:t>
      </w:r>
      <w:r w:rsidR="00B81EE4" w:rsidRPr="00CB2CB5">
        <w:rPr>
          <w:rFonts w:eastAsia="Times New Roman"/>
        </w:rPr>
        <w:t>'</w:t>
      </w:r>
      <w:r w:rsidRPr="00CB2CB5">
        <w:rPr>
          <w:rFonts w:eastAsia="Times New Roman"/>
        </w:rPr>
        <w:t xml:space="preserve">s ability to activate the HVDC Eddy Tie which is interconnected to the </w:t>
      </w:r>
      <w:proofErr w:type="spellStart"/>
      <w:r w:rsidRPr="00CB2CB5">
        <w:rPr>
          <w:rFonts w:eastAsia="Times New Roman"/>
        </w:rPr>
        <w:t>SPP</w:t>
      </w:r>
      <w:proofErr w:type="spellEnd"/>
      <w:r w:rsidRPr="00CB2CB5">
        <w:rPr>
          <w:rFonts w:eastAsia="Times New Roman"/>
        </w:rPr>
        <w:t>, would contribute to EPE</w:t>
      </w:r>
      <w:r w:rsidR="00B81EE4" w:rsidRPr="00CB2CB5">
        <w:rPr>
          <w:rFonts w:eastAsia="Times New Roman"/>
        </w:rPr>
        <w:t>'</w:t>
      </w:r>
      <w:r w:rsidRPr="00CB2CB5">
        <w:rPr>
          <w:rFonts w:eastAsia="Times New Roman"/>
        </w:rPr>
        <w:t xml:space="preserve">s ability to </w:t>
      </w:r>
      <w:r w:rsidR="00663266" w:rsidRPr="00CB2CB5">
        <w:rPr>
          <w:rFonts w:eastAsia="Times New Roman"/>
        </w:rPr>
        <w:t xml:space="preserve">mitigate </w:t>
      </w:r>
      <w:r w:rsidRPr="00CB2CB5">
        <w:rPr>
          <w:rFonts w:eastAsia="Times New Roman"/>
        </w:rPr>
        <w:t>local fuel and service requirements given a supply-source failure at a critical facility. In addition, EPE has nuclear units that would not be impacted by a gas pipeline outage.</w:t>
      </w:r>
    </w:p>
    <w:p w14:paraId="2E767BA0" w14:textId="77777777" w:rsidR="00163ED3" w:rsidRPr="00CB2CB5" w:rsidRDefault="00163ED3" w:rsidP="008759DE">
      <w:pPr>
        <w:spacing w:line="276" w:lineRule="auto"/>
        <w:rPr>
          <w:rFonts w:eastAsia="Times New Roman"/>
        </w:rPr>
      </w:pPr>
    </w:p>
    <w:p w14:paraId="127187FD" w14:textId="1D51B76A" w:rsidR="0090309F" w:rsidRPr="00CB2CB5" w:rsidRDefault="00163ED3" w:rsidP="008759DE">
      <w:pPr>
        <w:spacing w:line="276" w:lineRule="auto"/>
        <w:rPr>
          <w:rFonts w:eastAsia="Times New Roman"/>
        </w:rPr>
      </w:pPr>
      <w:r w:rsidRPr="00CB2CB5">
        <w:rPr>
          <w:rFonts w:eastAsia="Times New Roman"/>
        </w:rPr>
        <w:t>EPE</w:t>
      </w:r>
      <w:r w:rsidR="00B81EE4" w:rsidRPr="00CB2CB5">
        <w:rPr>
          <w:rFonts w:eastAsia="Times New Roman"/>
        </w:rPr>
        <w:t>'</w:t>
      </w:r>
      <w:r w:rsidRPr="00CB2CB5">
        <w:rPr>
          <w:rFonts w:eastAsia="Times New Roman"/>
        </w:rPr>
        <w:t xml:space="preserve">s existing solar resources are also susceptible to </w:t>
      </w:r>
      <w:r w:rsidR="00EB31CB" w:rsidRPr="00CB2CB5">
        <w:rPr>
          <w:rFonts w:eastAsia="Times New Roman"/>
        </w:rPr>
        <w:t>"</w:t>
      </w:r>
      <w:r w:rsidRPr="00CB2CB5">
        <w:rPr>
          <w:rFonts w:eastAsia="Times New Roman"/>
        </w:rPr>
        <w:t>supply disruptions</w:t>
      </w:r>
      <w:r w:rsidR="00EB31CB" w:rsidRPr="00CB2CB5">
        <w:rPr>
          <w:rFonts w:eastAsia="Times New Roman"/>
        </w:rPr>
        <w:t>"</w:t>
      </w:r>
      <w:r w:rsidRPr="00CB2CB5">
        <w:rPr>
          <w:rFonts w:eastAsia="Times New Roman"/>
        </w:rPr>
        <w:t xml:space="preserve"> given their dependency on solar irradiance.  EPE</w:t>
      </w:r>
      <w:r w:rsidR="00B81EE4" w:rsidRPr="00CB2CB5">
        <w:rPr>
          <w:rFonts w:eastAsia="Times New Roman"/>
        </w:rPr>
        <w:t>'</w:t>
      </w:r>
      <w:r w:rsidRPr="00CB2CB5">
        <w:rPr>
          <w:rFonts w:eastAsia="Times New Roman"/>
        </w:rPr>
        <w:t xml:space="preserve">s existing solar nameplate capacity of </w:t>
      </w:r>
      <w:r w:rsidR="009249E0" w:rsidRPr="00CB2CB5">
        <w:rPr>
          <w:rFonts w:eastAsia="Times New Roman"/>
        </w:rPr>
        <w:t>115 </w:t>
      </w:r>
      <w:r w:rsidRPr="00CB2CB5">
        <w:rPr>
          <w:rFonts w:eastAsia="Times New Roman"/>
        </w:rPr>
        <w:t xml:space="preserve">MW </w:t>
      </w:r>
      <w:r w:rsidR="009249E0" w:rsidRPr="00CB2CB5">
        <w:rPr>
          <w:rFonts w:eastAsia="Times New Roman"/>
        </w:rPr>
        <w:t xml:space="preserve">(including the 5 MW Holloman project) </w:t>
      </w:r>
      <w:r w:rsidRPr="00CB2CB5">
        <w:rPr>
          <w:rFonts w:eastAsia="Times New Roman"/>
        </w:rPr>
        <w:t>does not present an energy supply risk.  However, consideration would need to be given for additional amounts of solar and wind</w:t>
      </w:r>
      <w:r w:rsidR="0081065D" w:rsidRPr="00CB2CB5">
        <w:rPr>
          <w:rFonts w:eastAsia="Times New Roman"/>
        </w:rPr>
        <w:t>, see Section IX.</w:t>
      </w:r>
      <w:r w:rsidRPr="00CB2CB5">
        <w:rPr>
          <w:rFonts w:eastAsia="Times New Roman"/>
        </w:rPr>
        <w:t xml:space="preserve"> </w:t>
      </w:r>
      <w:r w:rsidR="0090309F" w:rsidRPr="00CB2CB5">
        <w:rPr>
          <w:rFonts w:eastAsia="Times New Roman"/>
        </w:rPr>
        <w:t xml:space="preserve">  </w:t>
      </w:r>
    </w:p>
    <w:p w14:paraId="287AA6BD" w14:textId="77777777" w:rsidR="003C0EF8" w:rsidRPr="00CB2CB5" w:rsidRDefault="003C0EF8" w:rsidP="008759DE">
      <w:pPr>
        <w:spacing w:line="276" w:lineRule="auto"/>
        <w:rPr>
          <w:rFonts w:eastAsia="Times New Roman"/>
        </w:rPr>
      </w:pPr>
    </w:p>
    <w:p w14:paraId="045B727C" w14:textId="77777777" w:rsidR="003C0EF8" w:rsidRPr="00CB2CB5" w:rsidRDefault="001C38D3" w:rsidP="008759DE">
      <w:pPr>
        <w:pStyle w:val="Heading1"/>
        <w:keepNext/>
        <w:keepLines/>
        <w:widowControl/>
        <w:numPr>
          <w:ilvl w:val="0"/>
          <w:numId w:val="23"/>
        </w:numPr>
        <w:tabs>
          <w:tab w:val="left" w:pos="540"/>
        </w:tabs>
        <w:autoSpaceDE/>
        <w:autoSpaceDN/>
        <w:spacing w:before="0" w:line="276" w:lineRule="auto"/>
        <w:ind w:left="540" w:hanging="540"/>
        <w:jc w:val="both"/>
        <w:rPr>
          <w:spacing w:val="-2"/>
        </w:rPr>
      </w:pPr>
      <w:bookmarkStart w:id="62" w:name="_Toc534190333"/>
      <w:r w:rsidRPr="00CB2CB5">
        <w:rPr>
          <w:spacing w:val="-2"/>
        </w:rPr>
        <w:t>DETERMINATION</w:t>
      </w:r>
      <w:r w:rsidR="001517A7" w:rsidRPr="00CB2CB5">
        <w:rPr>
          <w:spacing w:val="-2"/>
        </w:rPr>
        <w:t xml:space="preserve"> </w:t>
      </w:r>
      <w:r w:rsidRPr="00CB2CB5">
        <w:rPr>
          <w:spacing w:val="-2"/>
        </w:rPr>
        <w:t>OF THE MOST COST</w:t>
      </w:r>
      <w:r w:rsidR="008214EA" w:rsidRPr="00CB2CB5">
        <w:rPr>
          <w:spacing w:val="-2"/>
        </w:rPr>
        <w:t>-</w:t>
      </w:r>
      <w:r w:rsidRPr="00CB2CB5">
        <w:rPr>
          <w:spacing w:val="-2"/>
        </w:rPr>
        <w:t>EFFECTIVE RESOURCE PORTFOLIO AND ALTERNATIVE PORTFOLIOS</w:t>
      </w:r>
      <w:bookmarkEnd w:id="62"/>
    </w:p>
    <w:p w14:paraId="79C87693" w14:textId="77777777" w:rsidR="00A560AD" w:rsidRDefault="00A560AD" w:rsidP="00EF5BBB">
      <w:pPr>
        <w:spacing w:line="276" w:lineRule="auto"/>
        <w:rPr>
          <w:rFonts w:eastAsia="Times New Roman"/>
        </w:rPr>
      </w:pPr>
    </w:p>
    <w:p w14:paraId="75DFDEFA" w14:textId="5C16186F" w:rsidR="00B93F20" w:rsidRPr="007760B7" w:rsidRDefault="00B93F20" w:rsidP="00FF7F8C">
      <w:pPr>
        <w:spacing w:line="276" w:lineRule="auto"/>
        <w:ind w:left="720"/>
        <w:rPr>
          <w:rFonts w:eastAsia="Times New Roman"/>
        </w:rPr>
      </w:pPr>
      <w:r w:rsidRPr="007760B7">
        <w:rPr>
          <w:rFonts w:eastAsia="Times New Roman"/>
        </w:rPr>
        <w:t xml:space="preserve">TRANSMISSION CONSTRAINTS FOR MOST </w:t>
      </w:r>
      <w:r w:rsidR="00282AD7" w:rsidRPr="007760B7">
        <w:rPr>
          <w:rFonts w:eastAsia="Times New Roman"/>
        </w:rPr>
        <w:t>COST-EFFECTIVE</w:t>
      </w:r>
      <w:r w:rsidRPr="007760B7">
        <w:rPr>
          <w:rFonts w:eastAsia="Times New Roman"/>
        </w:rPr>
        <w:t xml:space="preserve"> RESOURCE PORTFOLIO</w:t>
      </w:r>
    </w:p>
    <w:p w14:paraId="007F84BA" w14:textId="4C7062B4" w:rsidR="00B93F20" w:rsidRPr="007760B7" w:rsidRDefault="00B93F20" w:rsidP="007760B7">
      <w:pPr>
        <w:spacing w:line="276" w:lineRule="auto"/>
        <w:rPr>
          <w:rFonts w:eastAsia="Times New Roman"/>
        </w:rPr>
      </w:pPr>
    </w:p>
    <w:p w14:paraId="1F4B6BB8" w14:textId="74FA2DA2" w:rsidR="000247E1" w:rsidRPr="007760B7" w:rsidRDefault="00507D74" w:rsidP="007760B7">
      <w:pPr>
        <w:pStyle w:val="ListParagraph"/>
        <w:spacing w:line="276" w:lineRule="auto"/>
        <w:jc w:val="both"/>
        <w:rPr>
          <w:rFonts w:ascii="Times New Roman" w:eastAsia="Times New Roman" w:hAnsi="Times New Roman"/>
          <w:sz w:val="24"/>
        </w:rPr>
      </w:pPr>
      <w:r w:rsidRPr="00507D74">
        <w:rPr>
          <w:rFonts w:ascii="Times New Roman" w:eastAsia="Times New Roman" w:hAnsi="Times New Roman"/>
          <w:sz w:val="24"/>
        </w:rPr>
        <w:t xml:space="preserve">Transmission considerations are an essential part of the task of identifying a cost-effective resource portfolio, especially when considering resources located beyond the areas in which EPE’s load resides.  First, it is important to identify the potential for EPE to import resources that </w:t>
      </w:r>
      <w:proofErr w:type="gramStart"/>
      <w:r w:rsidRPr="00507D74">
        <w:rPr>
          <w:rFonts w:ascii="Times New Roman" w:eastAsia="Times New Roman" w:hAnsi="Times New Roman"/>
          <w:sz w:val="24"/>
        </w:rPr>
        <w:t>are capable of reaching</w:t>
      </w:r>
      <w:proofErr w:type="gramEnd"/>
      <w:r w:rsidRPr="00507D74">
        <w:rPr>
          <w:rFonts w:ascii="Times New Roman" w:eastAsia="Times New Roman" w:hAnsi="Times New Roman"/>
          <w:sz w:val="24"/>
        </w:rPr>
        <w:t xml:space="preserve"> EPE’s load.  As documented in EPE’s prior IRPs, available wind resource options </w:t>
      </w:r>
      <w:proofErr w:type="gramStart"/>
      <w:r w:rsidRPr="00507D74">
        <w:rPr>
          <w:rFonts w:ascii="Times New Roman" w:eastAsia="Times New Roman" w:hAnsi="Times New Roman"/>
          <w:sz w:val="24"/>
        </w:rPr>
        <w:t>are located in</w:t>
      </w:r>
      <w:proofErr w:type="gramEnd"/>
      <w:r w:rsidRPr="00507D74">
        <w:rPr>
          <w:rFonts w:ascii="Times New Roman" w:eastAsia="Times New Roman" w:hAnsi="Times New Roman"/>
          <w:sz w:val="24"/>
        </w:rPr>
        <w:t xml:space="preserve"> specific geographical areas.  Such areas not within the central core in which the bulk of EPE’s load resides.  The same is true for potentially available geothermal resource options.  Solar is different.  EPE has identified a significant amount of potentially available solar resource capacity near the fringes of where the bulk of EPE’s load resides on its system.  Anticipated solar facilities in the capacities being considered as potentially available for future portfolios are expected to be located on the periphery of EPE’s Las Cruces and El Paso load pockets.  With respect to battery storage as well as gas generation resources, some of these types of resources are potentially available </w:t>
      </w:r>
      <w:proofErr w:type="gramStart"/>
      <w:r w:rsidRPr="00507D74">
        <w:rPr>
          <w:rFonts w:ascii="Times New Roman" w:eastAsia="Times New Roman" w:hAnsi="Times New Roman"/>
          <w:sz w:val="24"/>
        </w:rPr>
        <w:t>in close proximity to</w:t>
      </w:r>
      <w:proofErr w:type="gramEnd"/>
      <w:r w:rsidRPr="00507D74">
        <w:rPr>
          <w:rFonts w:ascii="Times New Roman" w:eastAsia="Times New Roman" w:hAnsi="Times New Roman"/>
          <w:sz w:val="24"/>
        </w:rPr>
        <w:t xml:space="preserve"> EPE’s load.  They tend to require less land and may be more readily sited closer to load. </w:t>
      </w:r>
      <w:r w:rsidR="00B82B78" w:rsidRPr="007760B7">
        <w:rPr>
          <w:rFonts w:ascii="Times New Roman" w:eastAsia="Times New Roman" w:hAnsi="Times New Roman"/>
          <w:sz w:val="24"/>
        </w:rPr>
        <w:t xml:space="preserve">  </w:t>
      </w:r>
    </w:p>
    <w:p w14:paraId="0C03620C" w14:textId="77777777" w:rsidR="000247E1" w:rsidRPr="007760B7" w:rsidRDefault="000247E1" w:rsidP="007760B7">
      <w:pPr>
        <w:pStyle w:val="ListParagraph"/>
        <w:spacing w:line="480" w:lineRule="auto"/>
        <w:jc w:val="both"/>
        <w:rPr>
          <w:rFonts w:ascii="Times New Roman" w:eastAsia="Times New Roman" w:hAnsi="Times New Roman"/>
          <w:sz w:val="24"/>
        </w:rPr>
      </w:pPr>
    </w:p>
    <w:p w14:paraId="20E2C8B6" w14:textId="6CD5B908" w:rsidR="000247E1" w:rsidRDefault="00C70927" w:rsidP="00BE1414">
      <w:pPr>
        <w:pStyle w:val="ListParagraph"/>
        <w:jc w:val="both"/>
        <w:rPr>
          <w:rFonts w:eastAsia="Times New Roman"/>
        </w:rPr>
      </w:pPr>
      <w:r w:rsidRPr="00C70927">
        <w:rPr>
          <w:noProof/>
        </w:rPr>
        <w:lastRenderedPageBreak/>
        <w:drawing>
          <wp:inline distT="0" distB="0" distL="0" distR="0" wp14:anchorId="5E285AD8" wp14:editId="4D3202E2">
            <wp:extent cx="5800725" cy="3495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00725" cy="3495675"/>
                    </a:xfrm>
                    <a:prstGeom prst="rect">
                      <a:avLst/>
                    </a:prstGeom>
                  </pic:spPr>
                </pic:pic>
              </a:graphicData>
            </a:graphic>
          </wp:inline>
        </w:drawing>
      </w:r>
    </w:p>
    <w:p w14:paraId="6258733B" w14:textId="60C3DDA0" w:rsidR="000247E1" w:rsidRDefault="00492606" w:rsidP="00BE1414">
      <w:pPr>
        <w:pStyle w:val="ListParagraph"/>
        <w:jc w:val="both"/>
        <w:rPr>
          <w:rFonts w:eastAsia="Times New Roman"/>
        </w:rPr>
      </w:pPr>
      <w:r>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Pr>
          <w:rFonts w:eastAsia="Times New Roman"/>
        </w:rPr>
        <w:tab/>
      </w:r>
    </w:p>
    <w:p w14:paraId="551A2B59" w14:textId="72D348F8" w:rsidR="00492606" w:rsidRPr="00492606" w:rsidRDefault="00492606" w:rsidP="00492606">
      <w:pPr>
        <w:pStyle w:val="ListParagraph"/>
        <w:jc w:val="center"/>
        <w:rPr>
          <w:rFonts w:ascii="Times New Roman" w:eastAsia="Times New Roman" w:hAnsi="Times New Roman"/>
          <w:b/>
          <w:bCs/>
          <w:sz w:val="24"/>
        </w:rPr>
      </w:pPr>
      <w:r>
        <w:rPr>
          <w:rFonts w:ascii="Times New Roman" w:eastAsia="Times New Roman" w:hAnsi="Times New Roman"/>
          <w:b/>
          <w:bCs/>
          <w:sz w:val="24"/>
        </w:rPr>
        <w:t>Figure 6. EPE Local and Peripheral Areas</w:t>
      </w:r>
      <w:r w:rsidR="00624CF3">
        <w:rPr>
          <w:rFonts w:ascii="Times New Roman" w:eastAsia="Times New Roman" w:hAnsi="Times New Roman"/>
          <w:b/>
          <w:bCs/>
          <w:sz w:val="24"/>
        </w:rPr>
        <w:t xml:space="preserve"> for New Renewable Resources</w:t>
      </w:r>
    </w:p>
    <w:p w14:paraId="5F4225A5" w14:textId="77777777" w:rsidR="00492606" w:rsidRDefault="00492606" w:rsidP="00BE1414">
      <w:pPr>
        <w:pStyle w:val="ListParagraph"/>
        <w:jc w:val="both"/>
        <w:rPr>
          <w:rFonts w:ascii="Times New Roman" w:eastAsia="Times New Roman" w:hAnsi="Times New Roman"/>
          <w:sz w:val="24"/>
        </w:rPr>
      </w:pPr>
    </w:p>
    <w:p w14:paraId="7422CFB8" w14:textId="77777777" w:rsidR="009B03FC" w:rsidRDefault="00507D74" w:rsidP="00BE1414">
      <w:pPr>
        <w:pStyle w:val="ListParagraph"/>
        <w:jc w:val="both"/>
        <w:rPr>
          <w:rFonts w:ascii="Times New Roman" w:eastAsia="Times New Roman" w:hAnsi="Times New Roman"/>
          <w:sz w:val="24"/>
        </w:rPr>
      </w:pPr>
      <w:r w:rsidRPr="00507D74">
        <w:rPr>
          <w:rFonts w:ascii="Times New Roman" w:eastAsia="Times New Roman" w:hAnsi="Times New Roman"/>
          <w:sz w:val="24"/>
        </w:rPr>
        <w:t xml:space="preserve">EPE utilized </w:t>
      </w:r>
      <w:proofErr w:type="spellStart"/>
      <w:r w:rsidRPr="00507D74">
        <w:rPr>
          <w:rFonts w:ascii="Times New Roman" w:eastAsia="Times New Roman" w:hAnsi="Times New Roman"/>
          <w:sz w:val="24"/>
        </w:rPr>
        <w:t>NRE</w:t>
      </w:r>
      <w:r w:rsidR="00480265">
        <w:rPr>
          <w:rFonts w:ascii="Times New Roman" w:eastAsia="Times New Roman" w:hAnsi="Times New Roman"/>
          <w:sz w:val="24"/>
        </w:rPr>
        <w:t>L</w:t>
      </w:r>
      <w:proofErr w:type="spellEnd"/>
      <w:r w:rsidRPr="00507D74">
        <w:rPr>
          <w:rFonts w:ascii="Times New Roman" w:eastAsia="Times New Roman" w:hAnsi="Times New Roman"/>
          <w:sz w:val="24"/>
        </w:rPr>
        <w:t xml:space="preserve"> renewable resource potential maps to identify geographical sites closest to EPE’s system for potential wind and geothermal resources.  See below. Transmission upgrade costs between the resource locations and EPE’s load pockets were</w:t>
      </w:r>
      <w:r w:rsidR="009B03FC">
        <w:rPr>
          <w:rFonts w:ascii="Times New Roman" w:eastAsia="Times New Roman" w:hAnsi="Times New Roman"/>
          <w:sz w:val="24"/>
        </w:rPr>
        <w:t xml:space="preserve"> t</w:t>
      </w:r>
      <w:r w:rsidRPr="00507D74">
        <w:rPr>
          <w:rFonts w:ascii="Times New Roman" w:eastAsia="Times New Roman" w:hAnsi="Times New Roman"/>
          <w:sz w:val="24"/>
        </w:rPr>
        <w:t xml:space="preserve">hen considered as costs associated with those resource options.  </w:t>
      </w:r>
    </w:p>
    <w:p w14:paraId="6D32035A" w14:textId="01249989" w:rsidR="000247E1" w:rsidRDefault="000247E1" w:rsidP="00BE1414">
      <w:pPr>
        <w:pStyle w:val="ListParagraph"/>
        <w:jc w:val="both"/>
        <w:rPr>
          <w:rFonts w:eastAsia="Times New Roman"/>
        </w:rPr>
      </w:pPr>
      <w:r>
        <w:rPr>
          <w:noProof/>
        </w:rPr>
        <w:lastRenderedPageBreak/>
        <w:drawing>
          <wp:inline distT="0" distB="0" distL="0" distR="0" wp14:anchorId="3C9771FE" wp14:editId="18FCFA7D">
            <wp:extent cx="4524375" cy="4486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24375" cy="4486275"/>
                    </a:xfrm>
                    <a:prstGeom prst="rect">
                      <a:avLst/>
                    </a:prstGeom>
                  </pic:spPr>
                </pic:pic>
              </a:graphicData>
            </a:graphic>
          </wp:inline>
        </w:drawing>
      </w:r>
    </w:p>
    <w:p w14:paraId="5BF4D812" w14:textId="648374B6" w:rsidR="000247E1" w:rsidRDefault="000247E1" w:rsidP="00BE1414">
      <w:pPr>
        <w:pStyle w:val="ListParagraph"/>
        <w:jc w:val="both"/>
        <w:rPr>
          <w:rFonts w:ascii="Times New Roman" w:eastAsia="Times New Roman" w:hAnsi="Times New Roman"/>
          <w:sz w:val="24"/>
        </w:rPr>
      </w:pPr>
    </w:p>
    <w:p w14:paraId="22215E42" w14:textId="41B25579" w:rsidR="00E54C90" w:rsidRPr="00E54C90" w:rsidRDefault="00E54C90" w:rsidP="00E54C90">
      <w:pPr>
        <w:pStyle w:val="ListParagraph"/>
        <w:jc w:val="center"/>
        <w:rPr>
          <w:rFonts w:ascii="Times New Roman" w:eastAsia="Times New Roman" w:hAnsi="Times New Roman"/>
          <w:b/>
          <w:bCs/>
          <w:sz w:val="24"/>
        </w:rPr>
      </w:pPr>
      <w:r>
        <w:rPr>
          <w:rFonts w:ascii="Times New Roman" w:eastAsia="Times New Roman" w:hAnsi="Times New Roman"/>
          <w:b/>
          <w:bCs/>
          <w:sz w:val="24"/>
        </w:rPr>
        <w:t>Figure 7.  EPE Renewable Resource Geographical Locations</w:t>
      </w:r>
    </w:p>
    <w:p w14:paraId="45751B1E" w14:textId="77777777" w:rsidR="00BE1414" w:rsidRPr="00691544" w:rsidRDefault="00BE1414" w:rsidP="00BE1414">
      <w:pPr>
        <w:pStyle w:val="ListParagraph"/>
        <w:jc w:val="both"/>
        <w:rPr>
          <w:rFonts w:ascii="Times New Roman" w:eastAsia="Times New Roman" w:hAnsi="Times New Roman"/>
          <w:sz w:val="24"/>
        </w:rPr>
      </w:pPr>
    </w:p>
    <w:p w14:paraId="217A32AE" w14:textId="77777777" w:rsidR="00507D74" w:rsidRPr="00507D74" w:rsidRDefault="00507D74" w:rsidP="00FF7F8C">
      <w:pPr>
        <w:spacing w:line="276" w:lineRule="auto"/>
        <w:ind w:left="720"/>
        <w:rPr>
          <w:rFonts w:eastAsia="Times New Roman"/>
        </w:rPr>
      </w:pPr>
      <w:r w:rsidRPr="00507D74">
        <w:rPr>
          <w:rFonts w:eastAsia="Times New Roman"/>
        </w:rPr>
        <w:t xml:space="preserve">Second, it is important to consider the impact on reliability of displacement of gas generation on its system by increased inverter-based renewable and storage resource options. EPE has evaluated and identified, for year 2030 and year 2038, system reliability impacts on EPE’s service territory that would result from increased integration of renewable resources on EPE’s system.  Increased renewable generation was assumed to partially replace existing EPE-owned thermal generation as a percentage of EPE’s overall resource mix.  The assessment included steady state and transient stability analyses under various generation dispatch scenarios minimizing the dispatch of gas resources to identify voltage constraints and system stability after faulted conditions and line contingencies. EPE also conducted a short circuit ratio (SCR) analysis to   identify the potential that breakers would exceed their duties </w:t>
      </w:r>
      <w:proofErr w:type="gramStart"/>
      <w:r w:rsidRPr="00507D74">
        <w:rPr>
          <w:rFonts w:eastAsia="Times New Roman"/>
        </w:rPr>
        <w:t>as a result of</w:t>
      </w:r>
      <w:proofErr w:type="gramEnd"/>
      <w:r w:rsidRPr="00507D74">
        <w:rPr>
          <w:rFonts w:eastAsia="Times New Roman"/>
        </w:rPr>
        <w:t xml:space="preserve"> the displacement of gas generation by increased integration of inverter-based and storage resource options on EPE’s system.  The analyses included steady state, transient stability, and reactive margin (V-Q) analyses to identify potential criteria violations for pre- and post-contingency conditions.  </w:t>
      </w:r>
    </w:p>
    <w:p w14:paraId="67F705D0" w14:textId="77777777" w:rsidR="00507D74" w:rsidRPr="00507D74" w:rsidRDefault="00507D74" w:rsidP="00FF7F8C">
      <w:pPr>
        <w:spacing w:line="276" w:lineRule="auto"/>
        <w:ind w:left="720"/>
        <w:rPr>
          <w:rFonts w:eastAsia="Times New Roman"/>
        </w:rPr>
      </w:pPr>
    </w:p>
    <w:p w14:paraId="0AA6FD25" w14:textId="77777777" w:rsidR="00507D74" w:rsidRPr="00507D74" w:rsidRDefault="00507D74" w:rsidP="00FF7F8C">
      <w:pPr>
        <w:spacing w:line="276" w:lineRule="auto"/>
        <w:ind w:left="720"/>
        <w:rPr>
          <w:rFonts w:eastAsia="Times New Roman"/>
        </w:rPr>
      </w:pPr>
      <w:r w:rsidRPr="00507D74">
        <w:rPr>
          <w:rFonts w:eastAsia="Times New Roman"/>
        </w:rPr>
        <w:lastRenderedPageBreak/>
        <w:t> </w:t>
      </w:r>
    </w:p>
    <w:p w14:paraId="434A1C3A" w14:textId="77777777" w:rsidR="00507D74" w:rsidRPr="00507D74" w:rsidRDefault="00507D74" w:rsidP="00FF7F8C">
      <w:pPr>
        <w:spacing w:line="276" w:lineRule="auto"/>
        <w:ind w:left="720"/>
        <w:rPr>
          <w:rFonts w:eastAsia="Times New Roman"/>
        </w:rPr>
      </w:pPr>
      <w:r w:rsidRPr="00507D74">
        <w:rPr>
          <w:rFonts w:eastAsia="Times New Roman"/>
        </w:rPr>
        <w:t>EPE’s evaluation produced the following observations:</w:t>
      </w:r>
    </w:p>
    <w:p w14:paraId="0D29C839" w14:textId="77777777" w:rsidR="00507D74" w:rsidRPr="00507D74" w:rsidRDefault="00507D74" w:rsidP="00FF7F8C">
      <w:pPr>
        <w:spacing w:line="276" w:lineRule="auto"/>
        <w:ind w:left="720"/>
        <w:rPr>
          <w:rFonts w:eastAsia="Times New Roman"/>
        </w:rPr>
      </w:pPr>
    </w:p>
    <w:p w14:paraId="16F2DC72" w14:textId="77777777" w:rsidR="00507D74" w:rsidRPr="00507D74" w:rsidRDefault="00507D74" w:rsidP="00FF7F8C">
      <w:pPr>
        <w:spacing w:line="276" w:lineRule="auto"/>
        <w:ind w:left="1440" w:hanging="720"/>
        <w:rPr>
          <w:rFonts w:eastAsia="Times New Roman"/>
        </w:rPr>
      </w:pPr>
      <w:r w:rsidRPr="00507D74">
        <w:rPr>
          <w:rFonts w:eastAsia="Times New Roman"/>
        </w:rPr>
        <w:t>•</w:t>
      </w:r>
      <w:r w:rsidRPr="00507D74">
        <w:rPr>
          <w:rFonts w:eastAsia="Times New Roman"/>
        </w:rPr>
        <w:tab/>
        <w:t>Voltage stability was an issue.  Voltage exceedances occurred on the higher voltage transmission lines in EPE’s service territory in study year 2030, as well as in study year 2038.  It is likely that reactive support devices, such as static VAR compensators (SVCs), static compensators (</w:t>
      </w:r>
      <w:proofErr w:type="spellStart"/>
      <w:r w:rsidRPr="00507D74">
        <w:rPr>
          <w:rFonts w:eastAsia="Times New Roman"/>
        </w:rPr>
        <w:t>STATCOMs</w:t>
      </w:r>
      <w:proofErr w:type="spellEnd"/>
      <w:r w:rsidRPr="00507D74">
        <w:rPr>
          <w:rFonts w:eastAsia="Times New Roman"/>
        </w:rPr>
        <w:t>), synchronous condensers, and/or additional local generation could address this issue in study year 2030.  Such measures, alone, are not expected to be able to fully remedy this issue in study year 2038.</w:t>
      </w:r>
    </w:p>
    <w:p w14:paraId="7DFFBB8E" w14:textId="77777777" w:rsidR="00507D74" w:rsidRPr="00507D74" w:rsidRDefault="00507D74" w:rsidP="00FF7F8C">
      <w:pPr>
        <w:spacing w:line="276" w:lineRule="auto"/>
        <w:ind w:left="720"/>
        <w:rPr>
          <w:rFonts w:eastAsia="Times New Roman"/>
        </w:rPr>
      </w:pPr>
    </w:p>
    <w:p w14:paraId="56CB34FD" w14:textId="77777777" w:rsidR="00507D74" w:rsidRPr="00507D74" w:rsidRDefault="00507D74" w:rsidP="00FF7F8C">
      <w:pPr>
        <w:spacing w:line="276" w:lineRule="auto"/>
        <w:ind w:left="1440" w:hanging="720"/>
        <w:rPr>
          <w:rFonts w:eastAsia="Times New Roman"/>
        </w:rPr>
      </w:pPr>
      <w:r w:rsidRPr="00507D74">
        <w:rPr>
          <w:rFonts w:eastAsia="Times New Roman"/>
        </w:rPr>
        <w:t>•</w:t>
      </w:r>
      <w:r w:rsidRPr="00507D74">
        <w:rPr>
          <w:rFonts w:eastAsia="Times New Roman"/>
        </w:rPr>
        <w:tab/>
        <w:t>EPE’s load is likely to experience greater load shedding during multiple contingencies.  This is especially so in study year 2038.  With the reduction in thermal generation (and a corresponding increase in renewable generation), there is a reduction in the level of dynamic voltage support that thermal generation would have provided.  With less dynamic voltage support available, the risk of system instability increases.  Load shedding is a way to mitigate the risk of system instability. While most of EPE’s area can accommodate significant inverter-based resources (</w:t>
      </w:r>
      <w:proofErr w:type="spellStart"/>
      <w:r w:rsidRPr="00507D74">
        <w:rPr>
          <w:rFonts w:eastAsia="Times New Roman"/>
        </w:rPr>
        <w:t>IBRs</w:t>
      </w:r>
      <w:proofErr w:type="spellEnd"/>
      <w:r w:rsidRPr="00507D74">
        <w:rPr>
          <w:rFonts w:eastAsia="Times New Roman"/>
        </w:rPr>
        <w:t>) for the 2038 study year (relying on activation of EPE’s Under Voltage Load Shed (</w:t>
      </w:r>
      <w:proofErr w:type="spellStart"/>
      <w:r w:rsidRPr="00507D74">
        <w:rPr>
          <w:rFonts w:eastAsia="Times New Roman"/>
        </w:rPr>
        <w:t>UVLS</w:t>
      </w:r>
      <w:proofErr w:type="spellEnd"/>
      <w:r w:rsidRPr="00507D74">
        <w:rPr>
          <w:rFonts w:eastAsia="Times New Roman"/>
        </w:rPr>
        <w:t>) program when necessary to maintain reliability when dynamic voltage support is insufficient), investment in transmission infrastructure may be necessary to mitigate this reliability risk on a long-term basis so that the EPE system can accommodate the projected growth in its load without substantial increases in the frequency and scope of load shedding events.  The type and scope of effective mitigation in the form of transmission infrastructure will be dependent in part to the Western System Coordinating Council’s (“</w:t>
      </w:r>
      <w:proofErr w:type="spellStart"/>
      <w:r w:rsidRPr="00507D74">
        <w:rPr>
          <w:rFonts w:eastAsia="Times New Roman"/>
        </w:rPr>
        <w:t>WECC</w:t>
      </w:r>
      <w:proofErr w:type="spellEnd"/>
      <w:r w:rsidRPr="00507D74">
        <w:rPr>
          <w:rFonts w:eastAsia="Times New Roman"/>
        </w:rPr>
        <w:t xml:space="preserve">”) system evolution.  EPE’s preliminary analysis was based on the </w:t>
      </w:r>
      <w:proofErr w:type="spellStart"/>
      <w:r w:rsidRPr="00507D74">
        <w:rPr>
          <w:rFonts w:eastAsia="Times New Roman"/>
        </w:rPr>
        <w:t>WECC’s</w:t>
      </w:r>
      <w:proofErr w:type="spellEnd"/>
      <w:r w:rsidRPr="00507D74">
        <w:rPr>
          <w:rFonts w:eastAsia="Times New Roman"/>
        </w:rPr>
        <w:t xml:space="preserve"> current system and showed a system encroaching on threshold limitations for reliability due to short circuit.  It is recommended that an assessment be performed every three years to capture </w:t>
      </w:r>
      <w:proofErr w:type="spellStart"/>
      <w:r w:rsidRPr="00507D74">
        <w:rPr>
          <w:rFonts w:eastAsia="Times New Roman"/>
        </w:rPr>
        <w:t>WECC’s</w:t>
      </w:r>
      <w:proofErr w:type="spellEnd"/>
      <w:r w:rsidRPr="00507D74">
        <w:rPr>
          <w:rFonts w:eastAsia="Times New Roman"/>
        </w:rPr>
        <w:t xml:space="preserve"> system transformation from gas and coal units to inverter-based generation, and the impact this will have on inertia and short circuit.  The reduction in turbine-based (thermal) generation will certainly impact EPE’s short circuit capability beyond 2030; this is an area requiring continued evaluation.</w:t>
      </w:r>
    </w:p>
    <w:p w14:paraId="4CBCB83C" w14:textId="77777777" w:rsidR="00507D74" w:rsidRPr="00507D74" w:rsidRDefault="00507D74" w:rsidP="00507D74">
      <w:pPr>
        <w:spacing w:line="276" w:lineRule="auto"/>
        <w:rPr>
          <w:rFonts w:eastAsia="Times New Roman"/>
        </w:rPr>
      </w:pPr>
    </w:p>
    <w:p w14:paraId="7EF4A5F7" w14:textId="77777777" w:rsidR="00507D74" w:rsidRPr="00507D74" w:rsidRDefault="00507D74" w:rsidP="00FF7F8C">
      <w:pPr>
        <w:spacing w:line="276" w:lineRule="auto"/>
        <w:ind w:left="720"/>
        <w:rPr>
          <w:rFonts w:eastAsia="Times New Roman"/>
        </w:rPr>
      </w:pPr>
      <w:r w:rsidRPr="00507D74">
        <w:rPr>
          <w:rFonts w:eastAsia="Times New Roman"/>
        </w:rPr>
        <w:t>Key Takeaways:</w:t>
      </w:r>
    </w:p>
    <w:p w14:paraId="0A900293" w14:textId="77777777" w:rsidR="00507D74" w:rsidRPr="00507D74" w:rsidRDefault="00507D74" w:rsidP="00FF7F8C">
      <w:pPr>
        <w:spacing w:line="276" w:lineRule="auto"/>
        <w:ind w:left="720"/>
        <w:rPr>
          <w:rFonts w:eastAsia="Times New Roman"/>
        </w:rPr>
      </w:pPr>
    </w:p>
    <w:p w14:paraId="51BF6F08" w14:textId="77777777" w:rsidR="00507D74" w:rsidRPr="00507D74" w:rsidRDefault="00507D74" w:rsidP="00FF7F8C">
      <w:pPr>
        <w:spacing w:line="276" w:lineRule="auto"/>
        <w:ind w:left="1440" w:hanging="720"/>
        <w:rPr>
          <w:rFonts w:eastAsia="Times New Roman"/>
        </w:rPr>
      </w:pPr>
      <w:r w:rsidRPr="00507D74">
        <w:rPr>
          <w:rFonts w:eastAsia="Times New Roman"/>
        </w:rPr>
        <w:t>•</w:t>
      </w:r>
      <w:r w:rsidRPr="00507D74">
        <w:rPr>
          <w:rFonts w:eastAsia="Times New Roman"/>
        </w:rPr>
        <w:tab/>
        <w:t xml:space="preserve">The 2030 New Mexico REA requirement of 50 percent renewable is likely attainable on the EPE system with the implementation of additional known technologies such as SVCs, </w:t>
      </w:r>
      <w:proofErr w:type="spellStart"/>
      <w:r w:rsidRPr="00507D74">
        <w:rPr>
          <w:rFonts w:eastAsia="Times New Roman"/>
        </w:rPr>
        <w:t>STATCOMs</w:t>
      </w:r>
      <w:proofErr w:type="spellEnd"/>
      <w:r w:rsidRPr="00507D74">
        <w:rPr>
          <w:rFonts w:eastAsia="Times New Roman"/>
        </w:rPr>
        <w:t xml:space="preserve">, and/or synchronous condensers.  </w:t>
      </w:r>
    </w:p>
    <w:p w14:paraId="38137780" w14:textId="77777777" w:rsidR="00507D74" w:rsidRPr="00507D74" w:rsidRDefault="00507D74" w:rsidP="00FF7F8C">
      <w:pPr>
        <w:spacing w:line="276" w:lineRule="auto"/>
        <w:ind w:left="1440" w:hanging="720"/>
        <w:rPr>
          <w:rFonts w:eastAsia="Times New Roman"/>
        </w:rPr>
      </w:pPr>
      <w:r w:rsidRPr="00507D74">
        <w:rPr>
          <w:rFonts w:eastAsia="Times New Roman"/>
        </w:rPr>
        <w:lastRenderedPageBreak/>
        <w:t>•</w:t>
      </w:r>
      <w:r w:rsidRPr="00507D74">
        <w:rPr>
          <w:rFonts w:eastAsia="Times New Roman"/>
        </w:rPr>
        <w:tab/>
        <w:t xml:space="preserve">Additional technical solutions, including under-voltage load shedding and transmission infrastructure, could be pursued to address the system conditions that would arise under the 2040 New Mexico REA requirement of 80 percent renewable requirement.  </w:t>
      </w:r>
    </w:p>
    <w:p w14:paraId="0E875E66" w14:textId="4D2EC56F" w:rsidR="00966910" w:rsidRPr="00691544" w:rsidRDefault="00507D74" w:rsidP="00FF7F8C">
      <w:pPr>
        <w:spacing w:line="276" w:lineRule="auto"/>
        <w:ind w:left="1440" w:hanging="720"/>
        <w:rPr>
          <w:rFonts w:eastAsia="Times New Roman"/>
        </w:rPr>
      </w:pPr>
      <w:r w:rsidRPr="00507D74">
        <w:rPr>
          <w:rFonts w:eastAsia="Times New Roman"/>
        </w:rPr>
        <w:t>•</w:t>
      </w:r>
      <w:r w:rsidRPr="00507D74">
        <w:rPr>
          <w:rFonts w:eastAsia="Times New Roman"/>
        </w:rPr>
        <w:tab/>
        <w:t xml:space="preserve">Attaining the 2045 goal of 100 percent carbon free resources (given known technology evolution through the next twenty years) is expected to require the utilization of combustion turbines (either gas or hydrogen fueled).  Hydrogen fueled combustion turbines would be carbon free and their consideration is discussed further later in this report.  Others in the industry are making similar observations on the continued role of combustion turbines in electric grid operations.  One such example is the </w:t>
      </w:r>
      <w:proofErr w:type="spellStart"/>
      <w:r w:rsidRPr="00507D74">
        <w:rPr>
          <w:rFonts w:eastAsia="Times New Roman"/>
        </w:rPr>
        <w:t>NREL</w:t>
      </w:r>
      <w:proofErr w:type="spellEnd"/>
      <w:r w:rsidRPr="00507D74">
        <w:rPr>
          <w:rFonts w:eastAsia="Times New Roman"/>
        </w:rPr>
        <w:t xml:space="preserve"> study for Los Angeles attaining 100 percent carbon free </w:t>
      </w:r>
      <w:r w:rsidR="00F113FF">
        <w:rPr>
          <w:rFonts w:eastAsia="Times New Roman"/>
        </w:rPr>
        <w:t>requires combustion turbines with hydrogen fuel or renewable biofuels.</w:t>
      </w:r>
      <w:r w:rsidR="00F113FF">
        <w:rPr>
          <w:rStyle w:val="FootnoteReference"/>
          <w:rFonts w:eastAsia="Times New Roman"/>
        </w:rPr>
        <w:footnoteReference w:id="6"/>
      </w:r>
      <w:r w:rsidRPr="00507D74">
        <w:rPr>
          <w:rFonts w:eastAsia="Times New Roman"/>
        </w:rPr>
        <w:t xml:space="preserve"> </w:t>
      </w:r>
    </w:p>
    <w:p w14:paraId="6E0BF445" w14:textId="77777777" w:rsidR="00B93F20" w:rsidRDefault="00B93F20" w:rsidP="00EF5BBB">
      <w:pPr>
        <w:spacing w:line="276" w:lineRule="auto"/>
        <w:rPr>
          <w:rFonts w:eastAsia="Times New Roman"/>
          <w:u w:val="single"/>
        </w:rPr>
      </w:pPr>
    </w:p>
    <w:p w14:paraId="3EE29FBE" w14:textId="5263C8C7" w:rsidR="00B93F20" w:rsidRDefault="00B201F9" w:rsidP="00EF5BBB">
      <w:pPr>
        <w:spacing w:line="276" w:lineRule="auto"/>
        <w:rPr>
          <w:rFonts w:eastAsia="Times New Roman"/>
          <w:u w:val="single"/>
        </w:rPr>
      </w:pPr>
      <w:r>
        <w:rPr>
          <w:rFonts w:eastAsia="Times New Roman"/>
          <w:u w:val="single"/>
        </w:rPr>
        <w:t>RESOURCE ADEQUACY AND RESULTING RESERVE MARGIN</w:t>
      </w:r>
    </w:p>
    <w:p w14:paraId="5CEDD0CA" w14:textId="2A6FCCD2" w:rsidR="00B93F20" w:rsidRDefault="00B93F20" w:rsidP="00EF5BBB">
      <w:pPr>
        <w:spacing w:line="276" w:lineRule="auto"/>
        <w:rPr>
          <w:rFonts w:eastAsia="Times New Roman"/>
          <w:u w:val="single"/>
        </w:rPr>
      </w:pPr>
    </w:p>
    <w:p w14:paraId="1B0E9871" w14:textId="463CF72A" w:rsidR="00B93F20" w:rsidRDefault="00B93F20" w:rsidP="00FF7F8C">
      <w:pPr>
        <w:tabs>
          <w:tab w:val="left" w:pos="8010"/>
          <w:tab w:val="left" w:pos="8100"/>
        </w:tabs>
        <w:spacing w:line="276" w:lineRule="auto"/>
        <w:ind w:left="720"/>
        <w:rPr>
          <w:rFonts w:eastAsia="Times New Roman"/>
        </w:rPr>
      </w:pPr>
      <w:r>
        <w:rPr>
          <w:rFonts w:eastAsia="Times New Roman"/>
        </w:rPr>
        <w:t>Due to the changing characteristics of a resource portfolio which will continue to integrate greater amounts of variable energy resources and storage capacity with finite capacity,</w:t>
      </w:r>
      <w:r w:rsidR="00FF0E7B" w:rsidRPr="00FF0E7B">
        <w:rPr>
          <w:rFonts w:eastAsia="Times New Roman"/>
        </w:rPr>
        <w:t xml:space="preserve"> </w:t>
      </w:r>
      <w:r w:rsidR="00FF0E7B">
        <w:rPr>
          <w:rFonts w:eastAsia="Times New Roman"/>
        </w:rPr>
        <w:t xml:space="preserve">EPE reassessed its resource adequacy as part of this IRP process with support from E3.  </w:t>
      </w:r>
      <w:r>
        <w:rPr>
          <w:rFonts w:eastAsia="Times New Roman"/>
        </w:rPr>
        <w:t xml:space="preserve"> </w:t>
      </w:r>
    </w:p>
    <w:p w14:paraId="19FAEFCF" w14:textId="77777777" w:rsidR="00B93F20" w:rsidRDefault="00B93F20" w:rsidP="00FF7F8C">
      <w:pPr>
        <w:tabs>
          <w:tab w:val="left" w:pos="8010"/>
          <w:tab w:val="left" w:pos="8100"/>
        </w:tabs>
        <w:spacing w:line="276" w:lineRule="auto"/>
        <w:ind w:left="720"/>
        <w:rPr>
          <w:rFonts w:eastAsia="Times New Roman"/>
        </w:rPr>
      </w:pPr>
    </w:p>
    <w:p w14:paraId="4ACE99FC" w14:textId="00C1FB34" w:rsidR="00B93F20" w:rsidRDefault="00FF0E7B" w:rsidP="00FF7F8C">
      <w:pPr>
        <w:tabs>
          <w:tab w:val="left" w:pos="8010"/>
          <w:tab w:val="left" w:pos="8100"/>
        </w:tabs>
        <w:spacing w:line="276" w:lineRule="auto"/>
        <w:ind w:left="720"/>
        <w:rPr>
          <w:rFonts w:eastAsia="Times New Roman"/>
        </w:rPr>
      </w:pPr>
      <w:r>
        <w:rPr>
          <w:rFonts w:eastAsia="Times New Roman"/>
        </w:rPr>
        <w:t xml:space="preserve">To do so, </w:t>
      </w:r>
      <w:r w:rsidR="00B93F20">
        <w:rPr>
          <w:rFonts w:eastAsia="Times New Roman"/>
        </w:rPr>
        <w:t xml:space="preserve">E3 evaluated EPE’s </w:t>
      </w:r>
      <w:r w:rsidR="00B201F9">
        <w:rPr>
          <w:rFonts w:eastAsia="Times New Roman"/>
        </w:rPr>
        <w:t>resource adequacy</w:t>
      </w:r>
      <w:r w:rsidR="00B93F20">
        <w:rPr>
          <w:rFonts w:eastAsia="Times New Roman"/>
        </w:rPr>
        <w:t xml:space="preserve"> needs via its RECAP modeling software</w:t>
      </w:r>
      <w:r w:rsidRPr="00FF0E7B">
        <w:rPr>
          <w:rFonts w:eastAsia="Times New Roman"/>
        </w:rPr>
        <w:t xml:space="preserve"> </w:t>
      </w:r>
      <w:r w:rsidR="000B4F9B">
        <w:rPr>
          <w:rFonts w:eastAsia="Times New Roman"/>
        </w:rPr>
        <w:t>evaluating</w:t>
      </w:r>
      <w:r>
        <w:rPr>
          <w:rFonts w:eastAsia="Times New Roman"/>
        </w:rPr>
        <w:t xml:space="preserve"> resource adequacy across the full year</w:t>
      </w:r>
      <w:r w:rsidR="00B93F20">
        <w:rPr>
          <w:rFonts w:eastAsia="Times New Roman"/>
        </w:rPr>
        <w:t>.  The RECAP model assesses the loss of load expectation (“</w:t>
      </w:r>
      <w:proofErr w:type="spellStart"/>
      <w:r w:rsidR="00B93F20">
        <w:rPr>
          <w:rFonts w:eastAsia="Times New Roman"/>
        </w:rPr>
        <w:t>LOLE</w:t>
      </w:r>
      <w:proofErr w:type="spellEnd"/>
      <w:r w:rsidR="00B93F20">
        <w:rPr>
          <w:rFonts w:eastAsia="Times New Roman"/>
        </w:rPr>
        <w:t>”) based on the statistical variability of load, variable energy resource availability, and the forced outages of all resources and import transmission lines.  The RECAP model quantifies the availability of resources in terms of Effective Load Carrying Capability (“</w:t>
      </w:r>
      <w:proofErr w:type="spellStart"/>
      <w:r w:rsidR="00B93F20">
        <w:rPr>
          <w:rFonts w:eastAsia="Times New Roman"/>
        </w:rPr>
        <w:t>ELCC</w:t>
      </w:r>
      <w:proofErr w:type="spellEnd"/>
      <w:r w:rsidR="00B93F20">
        <w:rPr>
          <w:rFonts w:eastAsia="Times New Roman"/>
        </w:rPr>
        <w:t xml:space="preserve">”) which is representative of that resource’s contribution to reliably serving load.  The </w:t>
      </w:r>
      <w:proofErr w:type="spellStart"/>
      <w:r w:rsidR="00B93F20">
        <w:rPr>
          <w:rFonts w:eastAsia="Times New Roman"/>
        </w:rPr>
        <w:t>ELCC</w:t>
      </w:r>
      <w:proofErr w:type="spellEnd"/>
      <w:r w:rsidR="00B93F20">
        <w:rPr>
          <w:rFonts w:eastAsia="Times New Roman"/>
        </w:rPr>
        <w:t xml:space="preserve"> </w:t>
      </w:r>
      <w:proofErr w:type="gramStart"/>
      <w:r w:rsidR="00B93F20">
        <w:rPr>
          <w:rFonts w:eastAsia="Times New Roman"/>
        </w:rPr>
        <w:t>takes into account</w:t>
      </w:r>
      <w:proofErr w:type="gramEnd"/>
      <w:r w:rsidR="00B93F20">
        <w:rPr>
          <w:rFonts w:eastAsia="Times New Roman"/>
        </w:rPr>
        <w:t xml:space="preserve"> the statistical probability </w:t>
      </w:r>
      <w:r w:rsidR="00B201F9">
        <w:rPr>
          <w:rFonts w:eastAsia="Times New Roman"/>
        </w:rPr>
        <w:t xml:space="preserve">for the availability of a resource to serve load.  It addresses unavailability due to </w:t>
      </w:r>
      <w:r w:rsidR="00B93F20">
        <w:rPr>
          <w:rFonts w:eastAsia="Times New Roman"/>
        </w:rPr>
        <w:t xml:space="preserve">forced outages for all resources and for variable energy resources such as solar and wind, it </w:t>
      </w:r>
      <w:proofErr w:type="gramStart"/>
      <w:r w:rsidR="00B93F20">
        <w:rPr>
          <w:rFonts w:eastAsia="Times New Roman"/>
        </w:rPr>
        <w:t>takes into account</w:t>
      </w:r>
      <w:proofErr w:type="gramEnd"/>
      <w:r w:rsidR="00B93F20">
        <w:rPr>
          <w:rFonts w:eastAsia="Times New Roman"/>
        </w:rPr>
        <w:t xml:space="preserve"> the output variations due to weather variability.  </w:t>
      </w:r>
      <w:proofErr w:type="spellStart"/>
      <w:r w:rsidR="00B201F9">
        <w:rPr>
          <w:rFonts w:eastAsia="Times New Roman"/>
        </w:rPr>
        <w:t>ELCC</w:t>
      </w:r>
      <w:proofErr w:type="spellEnd"/>
      <w:r w:rsidR="00B201F9">
        <w:rPr>
          <w:rFonts w:eastAsia="Times New Roman"/>
        </w:rPr>
        <w:t xml:space="preserve"> is also utilized to consider limitations for duration of storage resources and limitations for number of call events for demand side resources.  </w:t>
      </w:r>
      <w:r w:rsidR="00B201F9" w:rsidRPr="00B201F9">
        <w:rPr>
          <w:rFonts w:eastAsia="Times New Roman"/>
        </w:rPr>
        <w:t xml:space="preserve">The </w:t>
      </w:r>
      <w:proofErr w:type="spellStart"/>
      <w:r w:rsidR="00B201F9" w:rsidRPr="00B201F9">
        <w:rPr>
          <w:rFonts w:eastAsia="Times New Roman"/>
        </w:rPr>
        <w:t>ELCC</w:t>
      </w:r>
      <w:proofErr w:type="spellEnd"/>
      <w:r w:rsidR="00B201F9" w:rsidRPr="00B201F9">
        <w:rPr>
          <w:rFonts w:eastAsia="Times New Roman"/>
        </w:rPr>
        <w:t xml:space="preserve"> is a robust measure of a resource’s contribution to a utility’s reliability standard and is defined as the quantity of “perfect” capacity that could be replaced or avoided by a resource while providing equivalent system reliability</w:t>
      </w:r>
      <w:r w:rsidR="00B93F20">
        <w:rPr>
          <w:rFonts w:eastAsia="Times New Roman"/>
        </w:rPr>
        <w:t xml:space="preserve">.  The </w:t>
      </w:r>
      <w:proofErr w:type="spellStart"/>
      <w:r w:rsidR="00B93F20">
        <w:rPr>
          <w:rFonts w:eastAsia="Times New Roman"/>
        </w:rPr>
        <w:t>PRM</w:t>
      </w:r>
      <w:proofErr w:type="spellEnd"/>
      <w:r w:rsidR="00B93F20">
        <w:rPr>
          <w:rFonts w:eastAsia="Times New Roman"/>
        </w:rPr>
        <w:t xml:space="preserve"> was assessed with the Perfect Capacity (“</w:t>
      </w:r>
      <w:proofErr w:type="spellStart"/>
      <w:r w:rsidR="00B93F20">
        <w:rPr>
          <w:rFonts w:eastAsia="Times New Roman"/>
        </w:rPr>
        <w:t>PCAP</w:t>
      </w:r>
      <w:proofErr w:type="spellEnd"/>
      <w:r w:rsidR="00B93F20">
        <w:rPr>
          <w:rFonts w:eastAsia="Times New Roman"/>
        </w:rPr>
        <w:t xml:space="preserve">”) metric.  The RECAP model can determine the </w:t>
      </w:r>
      <w:proofErr w:type="spellStart"/>
      <w:r w:rsidR="00B93F20">
        <w:rPr>
          <w:rFonts w:eastAsia="Times New Roman"/>
        </w:rPr>
        <w:t>PRM</w:t>
      </w:r>
      <w:proofErr w:type="spellEnd"/>
      <w:r w:rsidR="00B93F20">
        <w:rPr>
          <w:rFonts w:eastAsia="Times New Roman"/>
        </w:rPr>
        <w:t xml:space="preserve"> that is required </w:t>
      </w:r>
      <w:r w:rsidR="00282AD7">
        <w:rPr>
          <w:rFonts w:eastAsia="Times New Roman"/>
        </w:rPr>
        <w:t>to</w:t>
      </w:r>
      <w:r w:rsidR="00B93F20">
        <w:rPr>
          <w:rFonts w:eastAsia="Times New Roman"/>
        </w:rPr>
        <w:t xml:space="preserve"> meet a specified </w:t>
      </w:r>
      <w:proofErr w:type="spellStart"/>
      <w:r w:rsidR="00B93F20">
        <w:rPr>
          <w:rFonts w:eastAsia="Times New Roman"/>
        </w:rPr>
        <w:t>LOLE</w:t>
      </w:r>
      <w:proofErr w:type="spellEnd"/>
      <w:r w:rsidR="00B93F20">
        <w:rPr>
          <w:rFonts w:eastAsia="Times New Roman"/>
        </w:rPr>
        <w:t xml:space="preserve">.  </w:t>
      </w:r>
    </w:p>
    <w:p w14:paraId="72F644D1" w14:textId="77777777" w:rsidR="00B93F20" w:rsidRDefault="00B93F20" w:rsidP="00FF7F8C">
      <w:pPr>
        <w:tabs>
          <w:tab w:val="left" w:pos="8010"/>
          <w:tab w:val="left" w:pos="8100"/>
        </w:tabs>
        <w:spacing w:line="276" w:lineRule="auto"/>
        <w:ind w:left="720"/>
        <w:rPr>
          <w:rFonts w:eastAsia="Times New Roman"/>
        </w:rPr>
      </w:pPr>
    </w:p>
    <w:p w14:paraId="5ADBF4B5" w14:textId="0FC6ECEC" w:rsidR="00B93F20" w:rsidRDefault="00B93F20" w:rsidP="00FF7F8C">
      <w:pPr>
        <w:tabs>
          <w:tab w:val="left" w:pos="8010"/>
          <w:tab w:val="left" w:pos="8100"/>
        </w:tabs>
        <w:spacing w:line="276" w:lineRule="auto"/>
        <w:ind w:left="720"/>
        <w:rPr>
          <w:rFonts w:eastAsia="Times New Roman"/>
        </w:rPr>
      </w:pPr>
      <w:r>
        <w:rPr>
          <w:rFonts w:eastAsia="Times New Roman"/>
        </w:rPr>
        <w:t xml:space="preserve">EPE elected to implement </w:t>
      </w:r>
      <w:r w:rsidR="00821CF5" w:rsidRPr="00821CF5">
        <w:rPr>
          <w:rStyle w:val="normaltextrun"/>
          <w:color w:val="auto"/>
          <w:shd w:val="clear" w:color="auto" w:fill="FFFFFF"/>
        </w:rPr>
        <w:t xml:space="preserve">a reliability target of one loss of load event every ten years (i.e. 0.1 Loss of Load Expectation, or </w:t>
      </w:r>
      <w:proofErr w:type="spellStart"/>
      <w:r w:rsidR="00821CF5" w:rsidRPr="00821CF5">
        <w:rPr>
          <w:rStyle w:val="normaltextrun"/>
          <w:color w:val="auto"/>
          <w:shd w:val="clear" w:color="auto" w:fill="FFFFFF"/>
        </w:rPr>
        <w:t>LOLE</w:t>
      </w:r>
      <w:proofErr w:type="spellEnd"/>
      <w:r w:rsidR="00821CF5" w:rsidRPr="00821CF5">
        <w:rPr>
          <w:rStyle w:val="normaltextrun"/>
          <w:color w:val="auto"/>
          <w:shd w:val="clear" w:color="auto" w:fill="FFFFFF"/>
        </w:rPr>
        <w:t>), which is increasingly common industry practice</w:t>
      </w:r>
      <w:r>
        <w:rPr>
          <w:rFonts w:eastAsia="Times New Roman"/>
        </w:rPr>
        <w:t xml:space="preserve">.  </w:t>
      </w:r>
      <w:r>
        <w:rPr>
          <w:rFonts w:eastAsia="Times New Roman"/>
        </w:rPr>
        <w:lastRenderedPageBreak/>
        <w:t xml:space="preserve">The 1 in 10 </w:t>
      </w:r>
      <w:proofErr w:type="gramStart"/>
      <w:r w:rsidR="00821CF5">
        <w:rPr>
          <w:rFonts w:eastAsia="Times New Roman"/>
        </w:rPr>
        <w:t>target</w:t>
      </w:r>
      <w:proofErr w:type="gramEnd"/>
      <w:r>
        <w:rPr>
          <w:rFonts w:eastAsia="Times New Roman"/>
        </w:rPr>
        <w:t xml:space="preserve"> is a reasonable threshold given the importance of reliability expected by society, governmental agencies, and EPE’s obligation to provide safe and reliable power.  </w:t>
      </w:r>
      <w:r w:rsidR="00821CF5">
        <w:rPr>
          <w:rFonts w:eastAsia="Times New Roman"/>
        </w:rPr>
        <w:t xml:space="preserve">EPE’s current </w:t>
      </w:r>
      <w:proofErr w:type="spellStart"/>
      <w:r w:rsidR="00821CF5">
        <w:rPr>
          <w:rFonts w:eastAsia="Times New Roman"/>
        </w:rPr>
        <w:t>PRM</w:t>
      </w:r>
      <w:proofErr w:type="spellEnd"/>
      <w:r w:rsidR="00821CF5">
        <w:rPr>
          <w:rFonts w:eastAsia="Times New Roman"/>
        </w:rPr>
        <w:t xml:space="preserve"> approximates the </w:t>
      </w:r>
      <w:proofErr w:type="spellStart"/>
      <w:r w:rsidR="00821CF5">
        <w:rPr>
          <w:rFonts w:eastAsia="Times New Roman"/>
        </w:rPr>
        <w:t>LOLE</w:t>
      </w:r>
      <w:proofErr w:type="spellEnd"/>
      <w:r w:rsidR="00821CF5">
        <w:rPr>
          <w:rFonts w:eastAsia="Times New Roman"/>
        </w:rPr>
        <w:t xml:space="preserve"> of 24 loss of load hours in ten years.  </w:t>
      </w:r>
      <w:r>
        <w:rPr>
          <w:rFonts w:eastAsia="Times New Roman"/>
        </w:rPr>
        <w:t xml:space="preserve">EPE proposes to shift </w:t>
      </w:r>
      <w:r w:rsidR="00821CF5">
        <w:rPr>
          <w:rFonts w:eastAsia="Times New Roman"/>
        </w:rPr>
        <w:t xml:space="preserve">to the 1 in 10 </w:t>
      </w:r>
      <w:proofErr w:type="gramStart"/>
      <w:r w:rsidR="00821CF5">
        <w:rPr>
          <w:rFonts w:eastAsia="Times New Roman"/>
        </w:rPr>
        <w:t>target</w:t>
      </w:r>
      <w:proofErr w:type="gramEnd"/>
      <w:r>
        <w:rPr>
          <w:rFonts w:eastAsia="Times New Roman"/>
        </w:rPr>
        <w:t xml:space="preserve"> over the twenty-year horizon</w:t>
      </w:r>
      <w:r w:rsidR="00821CF5">
        <w:rPr>
          <w:rFonts w:eastAsia="Times New Roman"/>
        </w:rPr>
        <w:t xml:space="preserve"> in a phased approach</w:t>
      </w:r>
      <w:r>
        <w:rPr>
          <w:rFonts w:eastAsia="Times New Roman"/>
        </w:rPr>
        <w:t xml:space="preserve">.  As such, for IRP years through 2029, EPE will utilize a </w:t>
      </w:r>
      <w:r w:rsidR="00821CF5">
        <w:rPr>
          <w:rFonts w:eastAsia="Times New Roman"/>
        </w:rPr>
        <w:t xml:space="preserve">2 in 10 </w:t>
      </w:r>
      <w:proofErr w:type="spellStart"/>
      <w:r w:rsidR="00821CF5">
        <w:rPr>
          <w:rFonts w:eastAsia="Times New Roman"/>
        </w:rPr>
        <w:t>LOLE</w:t>
      </w:r>
      <w:proofErr w:type="spellEnd"/>
      <w:r w:rsidR="00821CF5">
        <w:rPr>
          <w:rFonts w:eastAsia="Times New Roman"/>
        </w:rPr>
        <w:t xml:space="preserve"> target </w:t>
      </w:r>
      <w:r>
        <w:rPr>
          <w:rFonts w:eastAsia="Times New Roman"/>
        </w:rPr>
        <w:t xml:space="preserve">and will augment its </w:t>
      </w:r>
      <w:proofErr w:type="spellStart"/>
      <w:r>
        <w:rPr>
          <w:rFonts w:eastAsia="Times New Roman"/>
        </w:rPr>
        <w:t>PRM</w:t>
      </w:r>
      <w:proofErr w:type="spellEnd"/>
      <w:r>
        <w:rPr>
          <w:rFonts w:eastAsia="Times New Roman"/>
        </w:rPr>
        <w:t xml:space="preserve"> by maintaining retired units in mothball status prior to fully abandoning.  In 2030, EPE will shift to the 1 in 10 </w:t>
      </w:r>
      <w:proofErr w:type="spellStart"/>
      <w:r>
        <w:rPr>
          <w:rFonts w:eastAsia="Times New Roman"/>
        </w:rPr>
        <w:t>LOLE</w:t>
      </w:r>
      <w:proofErr w:type="spellEnd"/>
      <w:r>
        <w:rPr>
          <w:rFonts w:eastAsia="Times New Roman"/>
        </w:rPr>
        <w:t xml:space="preserve"> </w:t>
      </w:r>
      <w:r w:rsidR="00821CF5">
        <w:rPr>
          <w:rFonts w:eastAsia="Times New Roman"/>
        </w:rPr>
        <w:t>target</w:t>
      </w:r>
      <w:r>
        <w:rPr>
          <w:rFonts w:eastAsia="Times New Roman"/>
        </w:rPr>
        <w:t>.</w:t>
      </w:r>
    </w:p>
    <w:p w14:paraId="4347A17D" w14:textId="77777777" w:rsidR="00B93F20" w:rsidRDefault="00B93F20" w:rsidP="00FF7F8C">
      <w:pPr>
        <w:tabs>
          <w:tab w:val="left" w:pos="8010"/>
          <w:tab w:val="left" w:pos="8100"/>
        </w:tabs>
        <w:spacing w:line="276" w:lineRule="auto"/>
        <w:ind w:left="720"/>
        <w:rPr>
          <w:rFonts w:eastAsia="Times New Roman"/>
        </w:rPr>
      </w:pPr>
    </w:p>
    <w:p w14:paraId="1E115C4C" w14:textId="05880D9A" w:rsidR="00B93F20" w:rsidRPr="00691544" w:rsidRDefault="00B93F20" w:rsidP="00FF7F8C">
      <w:pPr>
        <w:spacing w:line="276" w:lineRule="auto"/>
        <w:ind w:left="720"/>
        <w:rPr>
          <w:rFonts w:eastAsia="Times New Roman"/>
          <w:u w:val="single"/>
        </w:rPr>
      </w:pPr>
      <w:r>
        <w:rPr>
          <w:rFonts w:eastAsia="Times New Roman"/>
        </w:rPr>
        <w:t xml:space="preserve">The resulting </w:t>
      </w:r>
      <w:proofErr w:type="spellStart"/>
      <w:r>
        <w:rPr>
          <w:rFonts w:eastAsia="Times New Roman"/>
        </w:rPr>
        <w:t>PCAP</w:t>
      </w:r>
      <w:proofErr w:type="spellEnd"/>
      <w:r>
        <w:rPr>
          <w:rFonts w:eastAsia="Times New Roman"/>
        </w:rPr>
        <w:t xml:space="preserve"> </w:t>
      </w:r>
      <w:proofErr w:type="spellStart"/>
      <w:r>
        <w:rPr>
          <w:rFonts w:eastAsia="Times New Roman"/>
        </w:rPr>
        <w:t>PRM</w:t>
      </w:r>
      <w:proofErr w:type="spellEnd"/>
      <w:r>
        <w:rPr>
          <w:rFonts w:eastAsia="Times New Roman"/>
        </w:rPr>
        <w:t xml:space="preserve"> through 2029 will be 10.1% for a 2 in 10 </w:t>
      </w:r>
      <w:proofErr w:type="spellStart"/>
      <w:r>
        <w:rPr>
          <w:rFonts w:eastAsia="Times New Roman"/>
        </w:rPr>
        <w:t>LOLE</w:t>
      </w:r>
      <w:proofErr w:type="spellEnd"/>
      <w:r>
        <w:rPr>
          <w:rFonts w:eastAsia="Times New Roman"/>
        </w:rPr>
        <w:t xml:space="preserve">.  The 2030 </w:t>
      </w:r>
      <w:proofErr w:type="spellStart"/>
      <w:r>
        <w:rPr>
          <w:rFonts w:eastAsia="Times New Roman"/>
        </w:rPr>
        <w:t>PCAP</w:t>
      </w:r>
      <w:proofErr w:type="spellEnd"/>
      <w:r>
        <w:rPr>
          <w:rFonts w:eastAsia="Times New Roman"/>
        </w:rPr>
        <w:t xml:space="preserve"> </w:t>
      </w:r>
      <w:proofErr w:type="spellStart"/>
      <w:r>
        <w:rPr>
          <w:rFonts w:eastAsia="Times New Roman"/>
        </w:rPr>
        <w:t>PRM</w:t>
      </w:r>
      <w:proofErr w:type="spellEnd"/>
      <w:r>
        <w:rPr>
          <w:rFonts w:eastAsia="Times New Roman"/>
        </w:rPr>
        <w:t xml:space="preserve"> will increase to 12.9% for a 1 in 10 </w:t>
      </w:r>
      <w:proofErr w:type="spellStart"/>
      <w:r>
        <w:rPr>
          <w:rFonts w:eastAsia="Times New Roman"/>
        </w:rPr>
        <w:t>LOLE</w:t>
      </w:r>
      <w:proofErr w:type="spellEnd"/>
      <w:r>
        <w:rPr>
          <w:rFonts w:eastAsia="Times New Roman"/>
        </w:rPr>
        <w:t xml:space="preserve">.  A more detailed description of the modeling and results in provided </w:t>
      </w:r>
      <w:r w:rsidR="000B4F9B">
        <w:rPr>
          <w:rFonts w:eastAsia="Times New Roman"/>
        </w:rPr>
        <w:t>in E3’s EPE Report</w:t>
      </w:r>
      <w:r>
        <w:rPr>
          <w:rFonts w:eastAsia="Times New Roman"/>
        </w:rPr>
        <w:t>.</w:t>
      </w:r>
    </w:p>
    <w:p w14:paraId="6D1BA088" w14:textId="77777777" w:rsidR="00B93F20" w:rsidRDefault="00B93F20" w:rsidP="00FF7F8C">
      <w:pPr>
        <w:spacing w:line="276" w:lineRule="auto"/>
        <w:ind w:left="720"/>
        <w:rPr>
          <w:rFonts w:eastAsia="Times New Roman"/>
        </w:rPr>
      </w:pPr>
    </w:p>
    <w:p w14:paraId="63ED54D1" w14:textId="7A83F3B1" w:rsidR="00EF5BBB" w:rsidRPr="00CB2CB5" w:rsidRDefault="00EF5BBB" w:rsidP="00FF7F8C">
      <w:pPr>
        <w:spacing w:line="276" w:lineRule="auto"/>
        <w:ind w:left="720"/>
        <w:rPr>
          <w:rFonts w:eastAsia="Times New Roman"/>
        </w:rPr>
      </w:pPr>
      <w:r w:rsidRPr="00CB2CB5">
        <w:rPr>
          <w:rFonts w:eastAsia="Times New Roman"/>
        </w:rPr>
        <w:t xml:space="preserve">EPE has considered all feasible supply, energy storage, </w:t>
      </w:r>
      <w:r w:rsidR="00A560AD">
        <w:rPr>
          <w:rFonts w:eastAsia="Times New Roman"/>
        </w:rPr>
        <w:t xml:space="preserve">energy efficiency, </w:t>
      </w:r>
      <w:r w:rsidRPr="00CB2CB5">
        <w:rPr>
          <w:rFonts w:eastAsia="Times New Roman"/>
        </w:rPr>
        <w:t xml:space="preserve">and demand-side resource options on a consistent and comparable basis </w:t>
      </w:r>
      <w:r w:rsidR="00A87069" w:rsidRPr="00CB2CB5">
        <w:rPr>
          <w:rFonts w:eastAsia="Times New Roman"/>
        </w:rPr>
        <w:t>to</w:t>
      </w:r>
      <w:r w:rsidRPr="00CB2CB5">
        <w:rPr>
          <w:rFonts w:eastAsia="Times New Roman"/>
        </w:rPr>
        <w:t xml:space="preserve"> develop the optimal resource portfolio.  Given the added complexities and characteristics of today</w:t>
      </w:r>
      <w:r w:rsidR="00E54C90">
        <w:rPr>
          <w:rFonts w:eastAsia="Times New Roman"/>
        </w:rPr>
        <w:t>’</w:t>
      </w:r>
      <w:r w:rsidRPr="00CB2CB5">
        <w:rPr>
          <w:rFonts w:eastAsia="Times New Roman"/>
        </w:rPr>
        <w:t>s resource options, it is necessary to describe the planning analysis</w:t>
      </w:r>
      <w:r w:rsidR="00821CF5">
        <w:rPr>
          <w:rFonts w:eastAsia="Times New Roman"/>
        </w:rPr>
        <w:t xml:space="preserve"> in detail</w:t>
      </w:r>
      <w:r w:rsidRPr="00CB2CB5">
        <w:rPr>
          <w:rFonts w:eastAsia="Times New Roman"/>
        </w:rPr>
        <w:t>.</w:t>
      </w:r>
      <w:r>
        <w:rPr>
          <w:rFonts w:eastAsia="Times New Roman"/>
        </w:rPr>
        <w:t xml:space="preserve">  </w:t>
      </w:r>
    </w:p>
    <w:p w14:paraId="22DBC340" w14:textId="77777777" w:rsidR="00EF5BBB" w:rsidRPr="00CB2CB5" w:rsidRDefault="00EF5BBB" w:rsidP="00FF7F8C">
      <w:pPr>
        <w:spacing w:line="276" w:lineRule="auto"/>
        <w:ind w:left="720"/>
        <w:rPr>
          <w:rFonts w:eastAsia="Times New Roman"/>
        </w:rPr>
      </w:pPr>
    </w:p>
    <w:p w14:paraId="63DE2240" w14:textId="77777777" w:rsidR="00EF5BBB" w:rsidRDefault="00EF5BBB" w:rsidP="00FF7F8C">
      <w:pPr>
        <w:spacing w:line="276" w:lineRule="auto"/>
        <w:ind w:left="720"/>
        <w:rPr>
          <w:rFonts w:eastAsia="Times New Roman"/>
        </w:rPr>
      </w:pPr>
      <w:r w:rsidRPr="00CB2CB5">
        <w:rPr>
          <w:rFonts w:eastAsia="Times New Roman"/>
        </w:rPr>
        <w:t xml:space="preserve">Ultimately, the goal is to ensure that EPE has a portfolio that reliably meets both the peak and energy demands of our customers.  Given this goal, it is necessary to analyze what combination of resources, given their respective characteristics, can optimally serve load.  </w:t>
      </w:r>
    </w:p>
    <w:p w14:paraId="5BD4CD56" w14:textId="77777777" w:rsidR="00EF5BBB" w:rsidRDefault="00EF5BBB" w:rsidP="00EF5BBB">
      <w:pPr>
        <w:spacing w:line="276" w:lineRule="auto"/>
        <w:rPr>
          <w:rFonts w:eastAsia="Times New Roman"/>
        </w:rPr>
      </w:pPr>
    </w:p>
    <w:p w14:paraId="0DD63F27" w14:textId="77777777" w:rsidR="00EF5BBB" w:rsidRDefault="00EF5BBB" w:rsidP="00EF5BBB">
      <w:pPr>
        <w:spacing w:line="276" w:lineRule="auto"/>
        <w:rPr>
          <w:rFonts w:eastAsia="Times New Roman"/>
        </w:rPr>
      </w:pPr>
      <w:r>
        <w:rPr>
          <w:rFonts w:eastAsia="Times New Roman"/>
        </w:rPr>
        <w:t>RECAP Model</w:t>
      </w:r>
    </w:p>
    <w:p w14:paraId="6F4165A6" w14:textId="77777777" w:rsidR="00EF5BBB" w:rsidRDefault="00EF5BBB" w:rsidP="00EF5BBB">
      <w:pPr>
        <w:spacing w:line="276" w:lineRule="auto"/>
        <w:rPr>
          <w:rFonts w:eastAsia="Times New Roman"/>
        </w:rPr>
      </w:pPr>
    </w:p>
    <w:p w14:paraId="3AE59122" w14:textId="4E92ACFE" w:rsidR="00EF5BBB" w:rsidRDefault="00EF5BBB" w:rsidP="00FF7F8C">
      <w:pPr>
        <w:spacing w:line="276" w:lineRule="auto"/>
        <w:ind w:left="720"/>
        <w:rPr>
          <w:rFonts w:eastAsia="Times New Roman"/>
        </w:rPr>
      </w:pPr>
      <w:r>
        <w:rPr>
          <w:rFonts w:eastAsia="Times New Roman"/>
        </w:rPr>
        <w:t xml:space="preserve">The first step in the resource planning process is to quantify the </w:t>
      </w:r>
      <w:proofErr w:type="spellStart"/>
      <w:r>
        <w:rPr>
          <w:rFonts w:eastAsia="Times New Roman"/>
        </w:rPr>
        <w:t>ELCC</w:t>
      </w:r>
      <w:proofErr w:type="spellEnd"/>
      <w:r>
        <w:rPr>
          <w:rFonts w:eastAsia="Times New Roman"/>
        </w:rPr>
        <w:t xml:space="preserve"> values for each resource type.  This is necessary because as mentioned above, resources differ in their availability to serve load at different times of the day and year.  Solar photovoltaic resources are only available during daytime hours.  Wind resources have higher output profiles during nighttime hours and vary throughout the year.  Geothermal resources also have seasonal output profiles that must be considered.  Similarly, battery storage facilities have limited availability specific to their energy storage capacity.  All resources, including gas and nuclear resources, have unexpected forced outage rates.  As described earlier in the report and as described further in </w:t>
      </w:r>
      <w:r w:rsidR="000B4F9B">
        <w:rPr>
          <w:rFonts w:eastAsia="Times New Roman"/>
        </w:rPr>
        <w:t>E3’s EPE Report</w:t>
      </w:r>
      <w:r>
        <w:rPr>
          <w:rFonts w:eastAsia="Times New Roman"/>
        </w:rPr>
        <w:t xml:space="preserve">, RECAP utilizes statistical analysis to estimate </w:t>
      </w:r>
      <w:proofErr w:type="spellStart"/>
      <w:r>
        <w:rPr>
          <w:rFonts w:eastAsia="Times New Roman"/>
        </w:rPr>
        <w:t>ELCC</w:t>
      </w:r>
      <w:proofErr w:type="spellEnd"/>
      <w:r>
        <w:rPr>
          <w:rFonts w:eastAsia="Times New Roman"/>
        </w:rPr>
        <w:t xml:space="preserve"> values for the different resource types.  The E3 report describes further the unique characteristics and how the RECAP model assesses their contribution to serving load.  </w:t>
      </w:r>
      <w:proofErr w:type="gramStart"/>
      <w:r>
        <w:rPr>
          <w:rFonts w:eastAsia="Times New Roman"/>
        </w:rPr>
        <w:t>Prior to describing the unique characteristics of the below resources, it</w:t>
      </w:r>
      <w:proofErr w:type="gramEnd"/>
      <w:r>
        <w:rPr>
          <w:rFonts w:eastAsia="Times New Roman"/>
        </w:rPr>
        <w:t xml:space="preserve"> is re-iterated that the RECAP analysis considers forced outage rates in its assignment to all types of resources, including gas generation and nuclear generation.</w:t>
      </w:r>
      <w:r w:rsidRPr="00214D4B">
        <w:rPr>
          <w:rFonts w:eastAsia="Times New Roman"/>
        </w:rPr>
        <w:t xml:space="preserve"> </w:t>
      </w:r>
      <w:r>
        <w:rPr>
          <w:rFonts w:eastAsia="Times New Roman"/>
        </w:rPr>
        <w:t xml:space="preserve">Following is a brief description of key characteristics of the various resources.  </w:t>
      </w:r>
    </w:p>
    <w:p w14:paraId="13FD9AB3" w14:textId="77777777" w:rsidR="00EF5BBB" w:rsidRDefault="00EF5BBB" w:rsidP="00FF7F8C">
      <w:pPr>
        <w:spacing w:line="276" w:lineRule="auto"/>
        <w:ind w:left="720"/>
        <w:rPr>
          <w:rFonts w:eastAsia="Times New Roman"/>
        </w:rPr>
      </w:pPr>
    </w:p>
    <w:p w14:paraId="0324743C" w14:textId="77777777" w:rsidR="00EF5BBB" w:rsidRPr="007C2FCC" w:rsidRDefault="00EF5BBB" w:rsidP="00EF5BBB">
      <w:pPr>
        <w:keepNext/>
        <w:keepLines/>
        <w:spacing w:line="276" w:lineRule="auto"/>
        <w:rPr>
          <w:rFonts w:eastAsia="Times New Roman"/>
          <w:u w:val="single"/>
        </w:rPr>
      </w:pPr>
      <w:r w:rsidRPr="00246D7D">
        <w:rPr>
          <w:rFonts w:eastAsia="Times New Roman"/>
          <w:u w:val="single"/>
        </w:rPr>
        <w:lastRenderedPageBreak/>
        <w:t xml:space="preserve">Solar </w:t>
      </w:r>
      <w:r w:rsidRPr="007C2FCC">
        <w:rPr>
          <w:rFonts w:eastAsia="Times New Roman"/>
          <w:u w:val="single"/>
        </w:rPr>
        <w:t>Resources</w:t>
      </w:r>
    </w:p>
    <w:p w14:paraId="19FFD365" w14:textId="77777777" w:rsidR="00EF5BBB" w:rsidRPr="00CB2CB5" w:rsidRDefault="00EF5BBB" w:rsidP="00EF5BBB">
      <w:pPr>
        <w:pStyle w:val="ListParagraph"/>
        <w:keepNext/>
        <w:keepLines/>
        <w:spacing w:after="0" w:line="276" w:lineRule="auto"/>
        <w:ind w:left="0"/>
        <w:jc w:val="both"/>
        <w:rPr>
          <w:rFonts w:ascii="Times New Roman" w:eastAsia="Times New Roman" w:hAnsi="Times New Roman"/>
          <w:sz w:val="24"/>
        </w:rPr>
      </w:pPr>
    </w:p>
    <w:p w14:paraId="065D9992" w14:textId="1163696D" w:rsidR="00EF5BBB" w:rsidRPr="00CB2CB5" w:rsidRDefault="00EF5BBB" w:rsidP="00EF5BBB">
      <w:pPr>
        <w:pStyle w:val="ListParagraph"/>
        <w:keepNext/>
        <w:keepLines/>
        <w:spacing w:after="0" w:line="276" w:lineRule="auto"/>
        <w:ind w:left="0"/>
        <w:jc w:val="both"/>
        <w:rPr>
          <w:rFonts w:ascii="Times New Roman" w:eastAsia="Times New Roman" w:hAnsi="Times New Roman"/>
          <w:sz w:val="24"/>
        </w:rPr>
      </w:pPr>
      <w:r w:rsidRPr="00CB2CB5">
        <w:rPr>
          <w:rFonts w:ascii="Times New Roman" w:eastAsia="Times New Roman" w:hAnsi="Times New Roman"/>
          <w:sz w:val="24"/>
        </w:rPr>
        <w:t>Solar power output has two main sources of variation</w:t>
      </w:r>
      <w:r w:rsidR="00FF7F8C">
        <w:rPr>
          <w:rFonts w:ascii="Times New Roman" w:eastAsia="Times New Roman" w:hAnsi="Times New Roman"/>
          <w:sz w:val="24"/>
        </w:rPr>
        <w:t>:</w:t>
      </w:r>
    </w:p>
    <w:p w14:paraId="4FD91B47" w14:textId="77777777" w:rsidR="00EF5BBB" w:rsidRPr="00CB2CB5" w:rsidRDefault="00EF5BBB" w:rsidP="00EF5BBB">
      <w:pPr>
        <w:pStyle w:val="ListParagraph"/>
        <w:keepNext/>
        <w:keepLines/>
        <w:spacing w:after="0" w:line="276" w:lineRule="auto"/>
        <w:ind w:left="0"/>
        <w:jc w:val="both"/>
        <w:rPr>
          <w:rFonts w:ascii="Times New Roman" w:eastAsia="Times New Roman" w:hAnsi="Times New Roman"/>
          <w:sz w:val="24"/>
        </w:rPr>
      </w:pPr>
    </w:p>
    <w:p w14:paraId="56F85732" w14:textId="1A2860EC" w:rsidR="00EF5BBB" w:rsidRPr="00CB2CB5" w:rsidRDefault="009526B5" w:rsidP="00EF5BBB">
      <w:pPr>
        <w:pStyle w:val="ListParagraph"/>
        <w:keepNext/>
        <w:keepLines/>
        <w:numPr>
          <w:ilvl w:val="0"/>
          <w:numId w:val="131"/>
        </w:numPr>
        <w:spacing w:after="0" w:line="276" w:lineRule="auto"/>
        <w:jc w:val="both"/>
        <w:rPr>
          <w:rFonts w:ascii="Times New Roman" w:eastAsia="Times New Roman" w:hAnsi="Times New Roman"/>
          <w:sz w:val="24"/>
        </w:rPr>
      </w:pPr>
      <w:r>
        <w:rPr>
          <w:rFonts w:ascii="Times New Roman" w:eastAsia="Times New Roman" w:hAnsi="Times New Roman"/>
          <w:sz w:val="24"/>
        </w:rPr>
        <w:t xml:space="preserve">Diurnal: </w:t>
      </w:r>
      <w:r w:rsidR="00EF5BBB" w:rsidRPr="00CB2CB5">
        <w:rPr>
          <w:rFonts w:ascii="Times New Roman" w:eastAsia="Times New Roman" w:hAnsi="Times New Roman"/>
          <w:sz w:val="24"/>
        </w:rPr>
        <w:t xml:space="preserve">Solar energy is generated only when the sun is shining in the daytime and none is generated at night. </w:t>
      </w:r>
    </w:p>
    <w:p w14:paraId="1036024B" w14:textId="43725323" w:rsidR="00EF5BBB" w:rsidRPr="00CB2CB5" w:rsidRDefault="009526B5" w:rsidP="00EF5BBB">
      <w:pPr>
        <w:pStyle w:val="ListParagraph"/>
        <w:keepNext/>
        <w:keepLines/>
        <w:numPr>
          <w:ilvl w:val="0"/>
          <w:numId w:val="131"/>
        </w:numPr>
        <w:spacing w:after="0" w:line="276" w:lineRule="auto"/>
        <w:jc w:val="both"/>
        <w:rPr>
          <w:rFonts w:ascii="Times New Roman" w:eastAsia="Times New Roman" w:hAnsi="Times New Roman"/>
        </w:rPr>
      </w:pPr>
      <w:r>
        <w:rPr>
          <w:rFonts w:ascii="Times New Roman" w:eastAsia="Times New Roman" w:hAnsi="Times New Roman"/>
          <w:sz w:val="24"/>
        </w:rPr>
        <w:t xml:space="preserve">Intermittent: </w:t>
      </w:r>
      <w:r w:rsidR="00EF5BBB" w:rsidRPr="00CB2CB5">
        <w:rPr>
          <w:rFonts w:ascii="Times New Roman" w:eastAsia="Times New Roman" w:hAnsi="Times New Roman"/>
          <w:sz w:val="24"/>
        </w:rPr>
        <w:t>Solar energy can be significantly reduced during substantial cloud cover or other weather-related events.  This source of variation is called intermittency.</w:t>
      </w:r>
    </w:p>
    <w:p w14:paraId="0302A4A8" w14:textId="77777777" w:rsidR="00EF5BBB" w:rsidRPr="00CB2CB5" w:rsidRDefault="00EF5BBB" w:rsidP="00EF5BBB">
      <w:pPr>
        <w:keepNext/>
        <w:keepLines/>
        <w:spacing w:line="276" w:lineRule="auto"/>
        <w:ind w:left="720"/>
        <w:rPr>
          <w:rFonts w:eastAsia="Times New Roman"/>
        </w:rPr>
      </w:pPr>
    </w:p>
    <w:p w14:paraId="1773775B" w14:textId="21103D8F" w:rsidR="00EF5BBB" w:rsidRPr="00CB2CB5" w:rsidRDefault="00EF5BBB" w:rsidP="00EF5BBB">
      <w:pPr>
        <w:keepNext/>
        <w:keepLines/>
        <w:spacing w:line="276" w:lineRule="auto"/>
        <w:rPr>
          <w:rFonts w:eastAsia="Times New Roman"/>
        </w:rPr>
      </w:pPr>
      <w:r w:rsidRPr="00CB2CB5">
        <w:rPr>
          <w:rFonts w:eastAsia="Times New Roman"/>
        </w:rPr>
        <w:t xml:space="preserve">The risk is accentuated during times of system peak, as EPE’s reserve margins are tightest at peak hours.  </w:t>
      </w:r>
      <w:r>
        <w:rPr>
          <w:rFonts w:eastAsia="Times New Roman"/>
        </w:rPr>
        <w:t xml:space="preserve">Prior to 2018, </w:t>
      </w:r>
      <w:r w:rsidRPr="00CB2CB5">
        <w:rPr>
          <w:rFonts w:eastAsia="Times New Roman"/>
        </w:rPr>
        <w:t xml:space="preserve">EPE had determined that at its system peak, its existing solar resources could be counted on to produce energy equivalent to approximately 70% of its nameplate capacity rating to meet that peak. This energy at peak percentage (70% in this case) is also known as the capacity credit. In large measure, EPE’s historic 70% capacity credit was a function of the small amount of solar power EPE had on its system and the simplified approximation study that EPE performed to calculate the credit. </w:t>
      </w:r>
      <w:r>
        <w:rPr>
          <w:rFonts w:eastAsia="Times New Roman"/>
        </w:rPr>
        <w:t xml:space="preserve">In EPE’s 2018 IRP as EPE planned to increase the amount of solar resources, it was necessary to consider the added variability risk and solar contribution to peak.  In EPE’s 2018, EPE assigned a 25% contribution </w:t>
      </w:r>
      <w:r w:rsidR="00821CF5">
        <w:rPr>
          <w:rFonts w:eastAsia="Times New Roman"/>
        </w:rPr>
        <w:t>for</w:t>
      </w:r>
      <w:r>
        <w:rPr>
          <w:rFonts w:eastAsia="Times New Roman"/>
        </w:rPr>
        <w:t xml:space="preserve"> solar up through the next 400 MW of solar capacity.  This was necessary </w:t>
      </w:r>
      <w:r w:rsidR="00A87069">
        <w:rPr>
          <w:rFonts w:eastAsia="Times New Roman"/>
        </w:rPr>
        <w:t>to</w:t>
      </w:r>
      <w:r>
        <w:rPr>
          <w:rFonts w:eastAsia="Times New Roman"/>
        </w:rPr>
        <w:t xml:space="preserve"> </w:t>
      </w:r>
      <w:r w:rsidRPr="00CB2CB5">
        <w:rPr>
          <w:rFonts w:eastAsia="Times New Roman"/>
        </w:rPr>
        <w:t>reliably meet peak demand</w:t>
      </w:r>
      <w:r>
        <w:rPr>
          <w:rFonts w:eastAsia="Times New Roman"/>
        </w:rPr>
        <w:t xml:space="preserve"> </w:t>
      </w:r>
      <w:r w:rsidRPr="00CB2CB5">
        <w:rPr>
          <w:rFonts w:eastAsia="Times New Roman"/>
        </w:rPr>
        <w:t>as described in the following paragraphs.</w:t>
      </w:r>
      <w:r>
        <w:rPr>
          <w:rFonts w:eastAsia="Times New Roman"/>
        </w:rPr>
        <w:t xml:space="preserve">  In the 2021 IRP EPE is shifting to assessing contribution to serving load via the </w:t>
      </w:r>
      <w:proofErr w:type="spellStart"/>
      <w:r>
        <w:rPr>
          <w:rFonts w:eastAsia="Times New Roman"/>
        </w:rPr>
        <w:t>ELCC</w:t>
      </w:r>
      <w:proofErr w:type="spellEnd"/>
      <w:r>
        <w:rPr>
          <w:rFonts w:eastAsia="Times New Roman"/>
        </w:rPr>
        <w:t xml:space="preserve"> methodology with the RECAP model.  RECAP </w:t>
      </w:r>
      <w:r w:rsidR="00A87069">
        <w:rPr>
          <w:rFonts w:eastAsia="Times New Roman"/>
        </w:rPr>
        <w:t>can</w:t>
      </w:r>
      <w:r>
        <w:rPr>
          <w:rFonts w:eastAsia="Times New Roman"/>
        </w:rPr>
        <w:t xml:space="preserve"> assess both the diurnal and intermittency variability by way of the </w:t>
      </w:r>
      <w:proofErr w:type="spellStart"/>
      <w:r>
        <w:rPr>
          <w:rFonts w:eastAsia="Times New Roman"/>
        </w:rPr>
        <w:t>ELCC</w:t>
      </w:r>
      <w:proofErr w:type="spellEnd"/>
      <w:r>
        <w:rPr>
          <w:rFonts w:eastAsia="Times New Roman"/>
        </w:rPr>
        <w:t xml:space="preserve"> value.</w:t>
      </w:r>
    </w:p>
    <w:p w14:paraId="28D765CE" w14:textId="77777777" w:rsidR="00FF7F8C" w:rsidRDefault="00FF7F8C" w:rsidP="00EF5BBB">
      <w:pPr>
        <w:keepNext/>
        <w:keepLines/>
        <w:spacing w:line="276" w:lineRule="auto"/>
        <w:rPr>
          <w:rFonts w:eastAsia="Times New Roman"/>
        </w:rPr>
      </w:pPr>
    </w:p>
    <w:p w14:paraId="51F0CFCB" w14:textId="2DD03D96" w:rsidR="00EF5BBB" w:rsidRPr="00CB2CB5" w:rsidRDefault="00EF5BBB" w:rsidP="00EF5BBB">
      <w:pPr>
        <w:keepNext/>
        <w:keepLines/>
        <w:spacing w:line="276" w:lineRule="auto"/>
        <w:rPr>
          <w:rFonts w:eastAsia="Times New Roman"/>
        </w:rPr>
      </w:pPr>
      <w:r w:rsidRPr="00CB2CB5">
        <w:rPr>
          <w:rFonts w:eastAsia="Times New Roman"/>
        </w:rPr>
        <w:t xml:space="preserve">It is important to note that </w:t>
      </w:r>
      <w:r>
        <w:rPr>
          <w:rFonts w:eastAsia="Times New Roman"/>
        </w:rPr>
        <w:t xml:space="preserve">the diurnal solar output patterns result in </w:t>
      </w:r>
      <w:r w:rsidRPr="00CB2CB5">
        <w:rPr>
          <w:rFonts w:eastAsia="Times New Roman"/>
        </w:rPr>
        <w:t xml:space="preserve">a mismatch between peak solar power generation and EPE’s peak system load patterns. Typically, peak solar output occurs several hours in advance of EPE’s system peak. This necessarily results in a solar capacity credit of less than 100%, as the maximum nameplate capacity of solar is not available at the time of EPE’s system peak. </w:t>
      </w:r>
      <w:r>
        <w:rPr>
          <w:rFonts w:eastAsia="Times New Roman"/>
        </w:rPr>
        <w:t xml:space="preserve">Simply put, since solar is only available during the daytime hours, at a certain point, a utility will have sufficient solar resources to meet daytime loads.  However, regardless how much more solar is added above that point, it will not help serve the nighttime loads (unless coupled with battery storage – this will be discussed further in the RESOLVE section).  </w:t>
      </w:r>
      <w:r w:rsidRPr="00CB2CB5">
        <w:rPr>
          <w:rFonts w:eastAsia="Times New Roman"/>
        </w:rPr>
        <w:t>At this point, the contribution to peak of additional solar falls to zero since it can no longer contribute to peak reduction.</w:t>
      </w:r>
      <w:r w:rsidR="009526B5" w:rsidRPr="009526B5">
        <w:rPr>
          <w:rFonts w:eastAsia="Times New Roman"/>
        </w:rPr>
        <w:t xml:space="preserve"> </w:t>
      </w:r>
      <w:r w:rsidR="009526B5" w:rsidRPr="00CB2CB5">
        <w:rPr>
          <w:rFonts w:eastAsia="Times New Roman"/>
        </w:rPr>
        <w:t xml:space="preserve">This concept is illustrated in Figure </w:t>
      </w:r>
      <w:r w:rsidR="009526B5">
        <w:rPr>
          <w:rFonts w:eastAsia="Times New Roman"/>
        </w:rPr>
        <w:t>8</w:t>
      </w:r>
      <w:r w:rsidR="009526B5" w:rsidRPr="00CB2CB5">
        <w:rPr>
          <w:rFonts w:eastAsia="Times New Roman"/>
        </w:rPr>
        <w:t>.</w:t>
      </w:r>
    </w:p>
    <w:p w14:paraId="1E607225" w14:textId="77777777" w:rsidR="00EF5BBB" w:rsidRDefault="00EF5BBB" w:rsidP="00EF5BBB">
      <w:pPr>
        <w:keepNext/>
        <w:keepLines/>
        <w:spacing w:line="276" w:lineRule="auto"/>
        <w:rPr>
          <w:rFonts w:eastAsia="Times New Roman"/>
        </w:rPr>
      </w:pPr>
    </w:p>
    <w:p w14:paraId="7507AF48" w14:textId="4C53DE0B" w:rsidR="00EF5BBB" w:rsidRPr="00CB2CB5" w:rsidRDefault="00EF5BBB" w:rsidP="00EF5BBB">
      <w:pPr>
        <w:keepNext/>
        <w:keepLines/>
        <w:spacing w:line="276" w:lineRule="auto"/>
        <w:rPr>
          <w:rFonts w:eastAsia="Times New Roman"/>
        </w:rPr>
      </w:pPr>
      <w:r>
        <w:rPr>
          <w:rFonts w:eastAsia="Times New Roman"/>
        </w:rPr>
        <w:t xml:space="preserve">Second, it is necessary to assess solar performance due to intermittency attributed to cloudy days or low solar irradiance days.  The RECAP analysis utilizes </w:t>
      </w:r>
      <w:r w:rsidR="00821CF5">
        <w:rPr>
          <w:rFonts w:eastAsia="Times New Roman"/>
        </w:rPr>
        <w:t xml:space="preserve">historical solar generation data from EPE and simulated solar generation data from </w:t>
      </w:r>
      <w:proofErr w:type="spellStart"/>
      <w:r w:rsidR="00821CF5">
        <w:rPr>
          <w:rFonts w:eastAsia="Times New Roman"/>
        </w:rPr>
        <w:t>NREL</w:t>
      </w:r>
      <w:proofErr w:type="spellEnd"/>
      <w:r w:rsidR="00821CF5">
        <w:rPr>
          <w:rFonts w:eastAsia="Times New Roman"/>
        </w:rPr>
        <w:t xml:space="preserve"> to </w:t>
      </w:r>
      <w:r>
        <w:rPr>
          <w:rFonts w:eastAsia="Times New Roman"/>
        </w:rPr>
        <w:t xml:space="preserve">statistically quantify the variability.  The RECAP model is then able to assess expected </w:t>
      </w:r>
      <w:proofErr w:type="spellStart"/>
      <w:r>
        <w:rPr>
          <w:rFonts w:eastAsia="Times New Roman"/>
        </w:rPr>
        <w:t>ELCC</w:t>
      </w:r>
      <w:proofErr w:type="spellEnd"/>
      <w:r>
        <w:rPr>
          <w:rFonts w:eastAsia="Times New Roman"/>
        </w:rPr>
        <w:t xml:space="preserve"> values at higher solar integration levels.</w:t>
      </w:r>
    </w:p>
    <w:p w14:paraId="42DC660D" w14:textId="77777777" w:rsidR="00EF5BBB" w:rsidRPr="00CB2CB5" w:rsidRDefault="00EF5BBB" w:rsidP="00EF5BBB">
      <w:pPr>
        <w:keepNext/>
        <w:keepLines/>
        <w:spacing w:line="276" w:lineRule="auto"/>
        <w:rPr>
          <w:rFonts w:eastAsia="Times New Roman"/>
        </w:rPr>
      </w:pPr>
    </w:p>
    <w:p w14:paraId="1C43D52B" w14:textId="2101E74A" w:rsidR="00EF5BBB" w:rsidRDefault="007C4E10" w:rsidP="00691544">
      <w:pPr>
        <w:keepNext/>
        <w:keepLines/>
        <w:spacing w:line="276" w:lineRule="auto"/>
        <w:jc w:val="center"/>
        <w:rPr>
          <w:rFonts w:eastAsia="Times New Roman"/>
        </w:rPr>
      </w:pPr>
      <w:r w:rsidRPr="007C4E10">
        <w:rPr>
          <w:rFonts w:eastAsia="Times New Roman"/>
          <w:noProof/>
        </w:rPr>
        <w:lastRenderedPageBreak/>
        <w:drawing>
          <wp:inline distT="0" distB="0" distL="0" distR="0" wp14:anchorId="6112D520" wp14:editId="2A872543">
            <wp:extent cx="3666936" cy="4571999"/>
            <wp:effectExtent l="0" t="0" r="0" b="635"/>
            <wp:docPr id="19" name="Content Placeholder 10">
              <a:extLst xmlns:a="http://schemas.openxmlformats.org/drawingml/2006/main">
                <a:ext uri="{FF2B5EF4-FFF2-40B4-BE49-F238E27FC236}">
                  <a16:creationId xmlns:a16="http://schemas.microsoft.com/office/drawing/2014/main" id="{D11BFB07-14D7-41CB-98BA-6613DC0B26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D11BFB07-14D7-41CB-98BA-6613DC0B26AD}"/>
                        </a:ext>
                      </a:extLst>
                    </pic:cNvPr>
                    <pic:cNvPicPr>
                      <a:picLocks noGrp="1"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3666936" cy="4571999"/>
                    </a:xfrm>
                    <a:prstGeom prst="rect">
                      <a:avLst/>
                    </a:prstGeom>
                    <a:ln>
                      <a:noFill/>
                    </a:ln>
                  </pic:spPr>
                </pic:pic>
              </a:graphicData>
            </a:graphic>
          </wp:inline>
        </w:drawing>
      </w:r>
    </w:p>
    <w:p w14:paraId="7155A14B" w14:textId="62575E6D" w:rsidR="00EF5BBB" w:rsidRPr="00E54C90" w:rsidRDefault="00E54C90" w:rsidP="00E54C90">
      <w:pPr>
        <w:spacing w:line="276" w:lineRule="auto"/>
        <w:jc w:val="center"/>
        <w:rPr>
          <w:rFonts w:eastAsia="Times New Roman"/>
          <w:b/>
          <w:bCs/>
        </w:rPr>
      </w:pPr>
      <w:r>
        <w:rPr>
          <w:rFonts w:eastAsia="Times New Roman"/>
          <w:b/>
          <w:bCs/>
        </w:rPr>
        <w:t xml:space="preserve">Figure 8.  </w:t>
      </w:r>
      <w:proofErr w:type="spellStart"/>
      <w:r>
        <w:rPr>
          <w:rFonts w:eastAsia="Times New Roman"/>
          <w:b/>
          <w:bCs/>
        </w:rPr>
        <w:t>ELCC</w:t>
      </w:r>
      <w:proofErr w:type="spellEnd"/>
      <w:r>
        <w:rPr>
          <w:rFonts w:eastAsia="Times New Roman"/>
          <w:b/>
          <w:bCs/>
        </w:rPr>
        <w:t xml:space="preserve"> for Solar PV</w:t>
      </w:r>
      <w:r w:rsidR="00C8719E">
        <w:rPr>
          <w:rFonts w:eastAsia="Times New Roman"/>
          <w:b/>
          <w:bCs/>
        </w:rPr>
        <w:t xml:space="preserve"> Resource and Installed Storage</w:t>
      </w:r>
    </w:p>
    <w:p w14:paraId="7D19AFCE" w14:textId="77777777" w:rsidR="00EF5BBB" w:rsidRDefault="00EF5BBB" w:rsidP="00EF5BBB">
      <w:pPr>
        <w:spacing w:line="276" w:lineRule="auto"/>
        <w:rPr>
          <w:rFonts w:eastAsia="Times New Roman"/>
        </w:rPr>
      </w:pPr>
    </w:p>
    <w:p w14:paraId="61781053" w14:textId="5568C3E1" w:rsidR="00EF5BBB" w:rsidRPr="00480265" w:rsidRDefault="00EF5BBB" w:rsidP="00EF5BBB">
      <w:pPr>
        <w:pStyle w:val="ListParagraph"/>
        <w:spacing w:after="0" w:line="276" w:lineRule="auto"/>
        <w:ind w:left="0"/>
        <w:contextualSpacing w:val="0"/>
        <w:jc w:val="both"/>
        <w:rPr>
          <w:rFonts w:ascii="Times New Roman" w:eastAsia="Times New Roman" w:hAnsi="Times New Roman"/>
          <w:sz w:val="24"/>
          <w:u w:val="single"/>
        </w:rPr>
      </w:pPr>
      <w:r w:rsidRPr="00480265">
        <w:rPr>
          <w:rFonts w:ascii="Times New Roman" w:eastAsia="Times New Roman" w:hAnsi="Times New Roman"/>
          <w:sz w:val="24"/>
          <w:u w:val="single"/>
        </w:rPr>
        <w:t>Wind</w:t>
      </w:r>
      <w:r w:rsidR="00480265">
        <w:rPr>
          <w:rFonts w:ascii="Times New Roman" w:eastAsia="Times New Roman" w:hAnsi="Times New Roman"/>
          <w:sz w:val="24"/>
          <w:u w:val="single"/>
        </w:rPr>
        <w:t xml:space="preserve"> Resources</w:t>
      </w:r>
    </w:p>
    <w:p w14:paraId="561731D1" w14:textId="77777777" w:rsidR="00EF5BBB" w:rsidRPr="00CB2CB5" w:rsidRDefault="00EF5BBB" w:rsidP="00EF5BBB">
      <w:pPr>
        <w:pStyle w:val="ListParagraph"/>
        <w:spacing w:after="0" w:line="276" w:lineRule="auto"/>
        <w:ind w:left="0"/>
        <w:contextualSpacing w:val="0"/>
        <w:jc w:val="both"/>
        <w:rPr>
          <w:rFonts w:ascii="Times New Roman" w:eastAsia="Times New Roman" w:hAnsi="Times New Roman"/>
          <w:sz w:val="24"/>
        </w:rPr>
      </w:pPr>
    </w:p>
    <w:p w14:paraId="0567EDF6" w14:textId="5AE525E8" w:rsidR="00405563" w:rsidRDefault="00EF5BBB" w:rsidP="00EF5BBB">
      <w:pPr>
        <w:pStyle w:val="ListParagraph"/>
        <w:spacing w:after="0" w:line="276" w:lineRule="auto"/>
        <w:ind w:left="0"/>
        <w:contextualSpacing w:val="0"/>
        <w:jc w:val="both"/>
        <w:rPr>
          <w:rFonts w:ascii="Times New Roman" w:eastAsia="Times New Roman" w:hAnsi="Times New Roman"/>
          <w:sz w:val="24"/>
        </w:rPr>
      </w:pPr>
      <w:r w:rsidRPr="00CB2CB5">
        <w:rPr>
          <w:rFonts w:ascii="Times New Roman" w:eastAsia="Times New Roman" w:hAnsi="Times New Roman"/>
          <w:sz w:val="24"/>
        </w:rPr>
        <w:t>Wind resources also have unique characteristics.  First, its output profile is less consistent and highly variable compared to solar.  Wind output profiles are typically provided based on expected (average) profiles for each month</w:t>
      </w:r>
      <w:r w:rsidRPr="00405563">
        <w:rPr>
          <w:rFonts w:ascii="Times New Roman" w:eastAsia="Times New Roman" w:hAnsi="Times New Roman"/>
          <w:sz w:val="24"/>
        </w:rPr>
        <w:t>.  Figure </w:t>
      </w:r>
      <w:r w:rsidR="00405563">
        <w:rPr>
          <w:rFonts w:ascii="Times New Roman" w:eastAsia="Times New Roman" w:hAnsi="Times New Roman"/>
          <w:sz w:val="24"/>
        </w:rPr>
        <w:t>9 below</w:t>
      </w:r>
      <w:r w:rsidRPr="00CB2CB5">
        <w:rPr>
          <w:rFonts w:ascii="Times New Roman" w:eastAsia="Times New Roman" w:hAnsi="Times New Roman"/>
          <w:sz w:val="24"/>
        </w:rPr>
        <w:t xml:space="preserve"> illustrates </w:t>
      </w:r>
      <w:proofErr w:type="spellStart"/>
      <w:r w:rsidR="00405563">
        <w:rPr>
          <w:rFonts w:ascii="Times New Roman" w:eastAsia="Times New Roman" w:hAnsi="Times New Roman"/>
          <w:sz w:val="24"/>
        </w:rPr>
        <w:t>NREL</w:t>
      </w:r>
      <w:proofErr w:type="spellEnd"/>
      <w:r w:rsidR="00405563">
        <w:rPr>
          <w:rFonts w:ascii="Times New Roman" w:eastAsia="Times New Roman" w:hAnsi="Times New Roman"/>
          <w:sz w:val="24"/>
        </w:rPr>
        <w:t xml:space="preserve"> </w:t>
      </w:r>
      <w:r w:rsidRPr="00CB2CB5">
        <w:rPr>
          <w:rFonts w:ascii="Times New Roman" w:eastAsia="Times New Roman" w:hAnsi="Times New Roman"/>
          <w:sz w:val="24"/>
        </w:rPr>
        <w:t xml:space="preserve">expected monthly output profiles for wind resource regions that are closest to EPE's service territory.  </w:t>
      </w:r>
    </w:p>
    <w:p w14:paraId="0612A349" w14:textId="77777777" w:rsidR="00405563" w:rsidRDefault="00405563" w:rsidP="00EF5BBB">
      <w:pPr>
        <w:pStyle w:val="ListParagraph"/>
        <w:spacing w:after="0" w:line="276" w:lineRule="auto"/>
        <w:ind w:left="0"/>
        <w:contextualSpacing w:val="0"/>
        <w:jc w:val="both"/>
        <w:rPr>
          <w:rFonts w:ascii="Times New Roman" w:eastAsia="Times New Roman" w:hAnsi="Times New Roman"/>
          <w:sz w:val="24"/>
        </w:rPr>
      </w:pPr>
    </w:p>
    <w:p w14:paraId="3FB498F1" w14:textId="0E5C24C1" w:rsidR="00405563" w:rsidRDefault="00405563" w:rsidP="00405563">
      <w:pPr>
        <w:pStyle w:val="ListParagraph"/>
        <w:spacing w:after="0" w:line="276" w:lineRule="auto"/>
        <w:ind w:left="0"/>
        <w:contextualSpacing w:val="0"/>
        <w:jc w:val="center"/>
        <w:rPr>
          <w:rFonts w:ascii="Times New Roman" w:eastAsia="Times New Roman" w:hAnsi="Times New Roman"/>
          <w:sz w:val="24"/>
        </w:rPr>
      </w:pPr>
      <w:r w:rsidRPr="00DE2A0D">
        <w:rPr>
          <w:rFonts w:ascii="Times New Roman" w:eastAsia="Times New Roman" w:hAnsi="Times New Roman"/>
          <w:noProof/>
          <w:sz w:val="24"/>
        </w:rPr>
        <w:lastRenderedPageBreak/>
        <w:drawing>
          <wp:inline distT="0" distB="0" distL="0" distR="0" wp14:anchorId="7FFAB35C" wp14:editId="4FBFD9EA">
            <wp:extent cx="4474845" cy="307276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4845" cy="3072765"/>
                    </a:xfrm>
                    <a:prstGeom prst="rect">
                      <a:avLst/>
                    </a:prstGeom>
                    <a:noFill/>
                  </pic:spPr>
                </pic:pic>
              </a:graphicData>
            </a:graphic>
          </wp:inline>
        </w:drawing>
      </w:r>
    </w:p>
    <w:p w14:paraId="244E6790" w14:textId="77777777" w:rsidR="00405563" w:rsidRDefault="00405563" w:rsidP="00405563">
      <w:pPr>
        <w:pStyle w:val="ListParagraph"/>
        <w:spacing w:after="0" w:line="276" w:lineRule="auto"/>
        <w:ind w:left="0"/>
        <w:contextualSpacing w:val="0"/>
        <w:jc w:val="center"/>
        <w:rPr>
          <w:rFonts w:ascii="Times New Roman" w:eastAsia="Times New Roman" w:hAnsi="Times New Roman"/>
          <w:sz w:val="24"/>
        </w:rPr>
      </w:pPr>
    </w:p>
    <w:p w14:paraId="7C9704DE" w14:textId="1F1FC467" w:rsidR="00405563" w:rsidRPr="00E54C90" w:rsidRDefault="00405563" w:rsidP="00405563">
      <w:pPr>
        <w:spacing w:line="276" w:lineRule="auto"/>
        <w:jc w:val="center"/>
        <w:rPr>
          <w:rFonts w:eastAsia="Times New Roman"/>
          <w:b/>
          <w:bCs/>
        </w:rPr>
      </w:pPr>
      <w:r>
        <w:rPr>
          <w:rFonts w:eastAsia="Times New Roman"/>
          <w:b/>
          <w:bCs/>
        </w:rPr>
        <w:t>Figure 9.  Monthly Wind Profiles</w:t>
      </w:r>
    </w:p>
    <w:p w14:paraId="48A2C1D8" w14:textId="77777777" w:rsidR="00405563" w:rsidRDefault="00405563" w:rsidP="00405563">
      <w:pPr>
        <w:spacing w:line="276" w:lineRule="auto"/>
        <w:rPr>
          <w:rFonts w:eastAsia="Times New Roman"/>
        </w:rPr>
      </w:pPr>
    </w:p>
    <w:p w14:paraId="52DF0DD2" w14:textId="244F1313" w:rsidR="00EF5BBB" w:rsidRPr="00C8719E" w:rsidRDefault="00EF5BBB" w:rsidP="00EF5BBB">
      <w:pPr>
        <w:pStyle w:val="ListParagraph"/>
        <w:spacing w:after="0" w:line="276" w:lineRule="auto"/>
        <w:ind w:left="0"/>
        <w:contextualSpacing w:val="0"/>
        <w:jc w:val="both"/>
        <w:rPr>
          <w:rFonts w:ascii="Times New Roman" w:eastAsia="Times New Roman" w:hAnsi="Times New Roman"/>
          <w:sz w:val="24"/>
        </w:rPr>
      </w:pPr>
      <w:r w:rsidRPr="00CB2CB5">
        <w:rPr>
          <w:rFonts w:ascii="Times New Roman" w:eastAsia="Times New Roman" w:hAnsi="Times New Roman"/>
          <w:sz w:val="24"/>
        </w:rPr>
        <w:t xml:space="preserve">The present profiles demonstrate two important characteristics.  First, the months of May to August, which are EPE's peak months, have the lowest average output profiles.  Second, during EPE's peak hours, wind output is at their lowest.  </w:t>
      </w:r>
      <w:r>
        <w:rPr>
          <w:rFonts w:ascii="Times New Roman" w:eastAsia="Times New Roman" w:hAnsi="Times New Roman"/>
          <w:sz w:val="24"/>
        </w:rPr>
        <w:t xml:space="preserve">  </w:t>
      </w:r>
      <w:r w:rsidRPr="00C8719E">
        <w:rPr>
          <w:rFonts w:ascii="Times New Roman" w:eastAsia="Times New Roman" w:hAnsi="Times New Roman"/>
          <w:sz w:val="24"/>
        </w:rPr>
        <w:t xml:space="preserve">In a similar fashion to solar, the RECAP analysis utilizes </w:t>
      </w:r>
      <w:r w:rsidR="00CD22C0" w:rsidRPr="00C8719E">
        <w:rPr>
          <w:rFonts w:ascii="Times New Roman" w:eastAsia="Times New Roman" w:hAnsi="Times New Roman"/>
          <w:sz w:val="24"/>
        </w:rPr>
        <w:t xml:space="preserve">simulated wind generation data from </w:t>
      </w:r>
      <w:proofErr w:type="spellStart"/>
      <w:r w:rsidRPr="00C8719E">
        <w:rPr>
          <w:rFonts w:ascii="Times New Roman" w:eastAsia="Times New Roman" w:hAnsi="Times New Roman"/>
          <w:sz w:val="24"/>
        </w:rPr>
        <w:t>NREL</w:t>
      </w:r>
      <w:proofErr w:type="spellEnd"/>
      <w:r w:rsidRPr="00C8719E">
        <w:rPr>
          <w:rFonts w:ascii="Times New Roman" w:eastAsia="Times New Roman" w:hAnsi="Times New Roman"/>
          <w:sz w:val="24"/>
        </w:rPr>
        <w:t xml:space="preserve"> to statistically quantify the diurnal, </w:t>
      </w:r>
      <w:r w:rsidR="00A87069" w:rsidRPr="00C8719E">
        <w:rPr>
          <w:rFonts w:ascii="Times New Roman" w:eastAsia="Times New Roman" w:hAnsi="Times New Roman"/>
          <w:sz w:val="24"/>
        </w:rPr>
        <w:t>season,</w:t>
      </w:r>
      <w:r w:rsidRPr="00C8719E">
        <w:rPr>
          <w:rFonts w:ascii="Times New Roman" w:eastAsia="Times New Roman" w:hAnsi="Times New Roman"/>
          <w:sz w:val="24"/>
        </w:rPr>
        <w:t xml:space="preserve"> and intermittency variability to assess expected </w:t>
      </w:r>
      <w:proofErr w:type="spellStart"/>
      <w:r w:rsidRPr="00C8719E">
        <w:rPr>
          <w:rFonts w:ascii="Times New Roman" w:eastAsia="Times New Roman" w:hAnsi="Times New Roman"/>
          <w:sz w:val="24"/>
        </w:rPr>
        <w:t>ELCC</w:t>
      </w:r>
      <w:proofErr w:type="spellEnd"/>
      <w:r w:rsidRPr="00C8719E">
        <w:rPr>
          <w:rFonts w:ascii="Times New Roman" w:eastAsia="Times New Roman" w:hAnsi="Times New Roman"/>
          <w:sz w:val="24"/>
        </w:rPr>
        <w:t xml:space="preserve"> values at increasing wind integration levels.</w:t>
      </w:r>
    </w:p>
    <w:p w14:paraId="52220489" w14:textId="7D008B51" w:rsidR="00EF5BBB" w:rsidRDefault="00EF5BBB" w:rsidP="00EF5BBB">
      <w:pPr>
        <w:pStyle w:val="ListParagraph"/>
        <w:spacing w:after="0" w:line="276" w:lineRule="auto"/>
        <w:ind w:left="0"/>
        <w:contextualSpacing w:val="0"/>
        <w:jc w:val="both"/>
        <w:rPr>
          <w:rFonts w:ascii="Times New Roman" w:eastAsia="Times New Roman" w:hAnsi="Times New Roman"/>
          <w:sz w:val="24"/>
        </w:rPr>
      </w:pPr>
    </w:p>
    <w:p w14:paraId="18ED9751" w14:textId="3C8B1F5B" w:rsidR="007C4E10" w:rsidRPr="00CB2CB5" w:rsidRDefault="007C4E10" w:rsidP="00691544">
      <w:pPr>
        <w:pStyle w:val="ListParagraph"/>
        <w:spacing w:after="0" w:line="276" w:lineRule="auto"/>
        <w:ind w:left="0"/>
        <w:contextualSpacing w:val="0"/>
        <w:jc w:val="center"/>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14:anchorId="589C8E2F" wp14:editId="54B19AC3">
            <wp:extent cx="4023995" cy="43160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3995" cy="4316095"/>
                    </a:xfrm>
                    <a:prstGeom prst="rect">
                      <a:avLst/>
                    </a:prstGeom>
                    <a:noFill/>
                  </pic:spPr>
                </pic:pic>
              </a:graphicData>
            </a:graphic>
          </wp:inline>
        </w:drawing>
      </w:r>
    </w:p>
    <w:p w14:paraId="7E14CE0A" w14:textId="58BA5FBC" w:rsidR="00EF5BBB" w:rsidRPr="00C8719E" w:rsidRDefault="00C8719E" w:rsidP="00C8719E">
      <w:pPr>
        <w:pStyle w:val="ListParagraph"/>
        <w:keepNext/>
        <w:spacing w:after="0" w:line="276" w:lineRule="auto"/>
        <w:ind w:left="0"/>
        <w:contextualSpacing w:val="0"/>
        <w:jc w:val="center"/>
        <w:rPr>
          <w:rFonts w:ascii="Times New Roman" w:hAnsi="Times New Roman"/>
          <w:b/>
          <w:bCs/>
          <w:sz w:val="24"/>
        </w:rPr>
      </w:pPr>
      <w:r>
        <w:rPr>
          <w:rFonts w:ascii="Times New Roman" w:hAnsi="Times New Roman"/>
          <w:b/>
          <w:bCs/>
          <w:sz w:val="24"/>
        </w:rPr>
        <w:t xml:space="preserve">Figure </w:t>
      </w:r>
      <w:r w:rsidR="00405563">
        <w:rPr>
          <w:rFonts w:ascii="Times New Roman" w:hAnsi="Times New Roman"/>
          <w:b/>
          <w:bCs/>
          <w:sz w:val="24"/>
        </w:rPr>
        <w:t>10</w:t>
      </w:r>
      <w:r>
        <w:rPr>
          <w:rFonts w:ascii="Times New Roman" w:hAnsi="Times New Roman"/>
          <w:b/>
          <w:bCs/>
          <w:sz w:val="24"/>
        </w:rPr>
        <w:t xml:space="preserve">.  </w:t>
      </w:r>
      <w:proofErr w:type="spellStart"/>
      <w:r>
        <w:rPr>
          <w:rFonts w:ascii="Times New Roman" w:hAnsi="Times New Roman"/>
          <w:b/>
          <w:bCs/>
          <w:sz w:val="24"/>
        </w:rPr>
        <w:t>ELCC</w:t>
      </w:r>
      <w:proofErr w:type="spellEnd"/>
      <w:r>
        <w:rPr>
          <w:rFonts w:ascii="Times New Roman" w:hAnsi="Times New Roman"/>
          <w:b/>
          <w:bCs/>
          <w:sz w:val="24"/>
        </w:rPr>
        <w:t xml:space="preserve"> for Wind Resource</w:t>
      </w:r>
    </w:p>
    <w:p w14:paraId="2A963471" w14:textId="77777777" w:rsidR="00480265" w:rsidRDefault="00480265" w:rsidP="00EF5BBB">
      <w:pPr>
        <w:pStyle w:val="ListParagraph"/>
        <w:spacing w:after="0" w:line="276" w:lineRule="auto"/>
        <w:ind w:left="0"/>
        <w:contextualSpacing w:val="0"/>
        <w:jc w:val="both"/>
        <w:rPr>
          <w:rFonts w:ascii="Times New Roman" w:eastAsia="Times New Roman" w:hAnsi="Times New Roman"/>
          <w:sz w:val="24"/>
          <w:u w:val="single"/>
        </w:rPr>
      </w:pPr>
    </w:p>
    <w:p w14:paraId="1F80A97A" w14:textId="5F932242" w:rsidR="00EF5BBB" w:rsidRPr="00480265" w:rsidRDefault="00EF5BBB" w:rsidP="00EF5BBB">
      <w:pPr>
        <w:pStyle w:val="ListParagraph"/>
        <w:spacing w:after="0" w:line="276" w:lineRule="auto"/>
        <w:ind w:left="0"/>
        <w:contextualSpacing w:val="0"/>
        <w:jc w:val="both"/>
        <w:rPr>
          <w:rFonts w:ascii="Times New Roman" w:eastAsia="Times New Roman" w:hAnsi="Times New Roman"/>
          <w:caps/>
          <w:sz w:val="24"/>
          <w:u w:val="single"/>
        </w:rPr>
      </w:pPr>
      <w:r w:rsidRPr="00480265">
        <w:rPr>
          <w:rFonts w:ascii="Times New Roman" w:eastAsia="Times New Roman" w:hAnsi="Times New Roman"/>
          <w:sz w:val="24"/>
          <w:u w:val="single"/>
        </w:rPr>
        <w:t>Geothermal</w:t>
      </w:r>
      <w:r w:rsidR="00480265">
        <w:rPr>
          <w:rFonts w:ascii="Times New Roman" w:eastAsia="Times New Roman" w:hAnsi="Times New Roman"/>
          <w:sz w:val="24"/>
          <w:u w:val="single"/>
        </w:rPr>
        <w:t xml:space="preserve"> Resources</w:t>
      </w:r>
    </w:p>
    <w:p w14:paraId="25F2831D" w14:textId="77777777" w:rsidR="00EF5BBB" w:rsidRPr="00CB2CB5" w:rsidRDefault="00EF5BBB" w:rsidP="00EF5BBB">
      <w:pPr>
        <w:pStyle w:val="ListParagraph"/>
        <w:spacing w:after="0" w:line="276" w:lineRule="auto"/>
        <w:ind w:left="0"/>
        <w:contextualSpacing w:val="0"/>
        <w:jc w:val="both"/>
        <w:rPr>
          <w:rFonts w:ascii="Times New Roman" w:eastAsia="Times New Roman" w:hAnsi="Times New Roman"/>
          <w:sz w:val="24"/>
        </w:rPr>
      </w:pPr>
    </w:p>
    <w:p w14:paraId="639CC88C" w14:textId="6E7BF2FE" w:rsidR="00EF5BBB" w:rsidRPr="00C8719E" w:rsidRDefault="00EF5BBB"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t xml:space="preserve">Geothermal has at times been thought of as a resource available at 100% nameplate throughout the year and all of hours of the day.  However, as more geothermal facilities have been constructed, it has been learned that geothermal resources also have diurnal and seasonal output patterns most likely attributed to ambient conditions.  </w:t>
      </w:r>
      <w:r w:rsidRPr="00C8719E">
        <w:rPr>
          <w:rFonts w:ascii="Times New Roman" w:eastAsia="Times New Roman" w:hAnsi="Times New Roman"/>
          <w:sz w:val="24"/>
        </w:rPr>
        <w:t xml:space="preserve">In a similar fashion, the RECAP analysis utilizes </w:t>
      </w:r>
      <w:r w:rsidR="00CD22C0" w:rsidRPr="00C8719E">
        <w:rPr>
          <w:rFonts w:ascii="Times New Roman" w:eastAsia="Times New Roman" w:hAnsi="Times New Roman"/>
          <w:sz w:val="24"/>
        </w:rPr>
        <w:t>simulated generation profiles for potential</w:t>
      </w:r>
      <w:r w:rsidRPr="00C8719E">
        <w:rPr>
          <w:rFonts w:ascii="Times New Roman" w:eastAsia="Times New Roman" w:hAnsi="Times New Roman"/>
          <w:sz w:val="24"/>
        </w:rPr>
        <w:t xml:space="preserve"> geothermal resource</w:t>
      </w:r>
      <w:r w:rsidR="00CD22C0" w:rsidRPr="00C8719E">
        <w:rPr>
          <w:rFonts w:ascii="Times New Roman" w:eastAsia="Times New Roman" w:hAnsi="Times New Roman"/>
          <w:sz w:val="24"/>
        </w:rPr>
        <w:t xml:space="preserve"> projects</w:t>
      </w:r>
      <w:r w:rsidRPr="00C8719E">
        <w:rPr>
          <w:rFonts w:ascii="Times New Roman" w:eastAsia="Times New Roman" w:hAnsi="Times New Roman"/>
          <w:sz w:val="24"/>
        </w:rPr>
        <w:t xml:space="preserve"> to statistically quantify the diurnal and season variability to assess expected </w:t>
      </w:r>
      <w:proofErr w:type="spellStart"/>
      <w:r w:rsidRPr="00C8719E">
        <w:rPr>
          <w:rFonts w:ascii="Times New Roman" w:eastAsia="Times New Roman" w:hAnsi="Times New Roman"/>
          <w:sz w:val="24"/>
        </w:rPr>
        <w:t>ELCC</w:t>
      </w:r>
      <w:proofErr w:type="spellEnd"/>
      <w:r w:rsidRPr="00C8719E">
        <w:rPr>
          <w:rFonts w:ascii="Times New Roman" w:eastAsia="Times New Roman" w:hAnsi="Times New Roman"/>
          <w:sz w:val="24"/>
        </w:rPr>
        <w:t xml:space="preserve"> values for geothermal resources.</w:t>
      </w:r>
    </w:p>
    <w:p w14:paraId="10C69AF9" w14:textId="7F736B04" w:rsidR="00EF5BBB" w:rsidRDefault="00EF5BBB" w:rsidP="00EF5BBB">
      <w:pPr>
        <w:pStyle w:val="ListParagraph"/>
        <w:spacing w:after="0" w:line="276" w:lineRule="auto"/>
        <w:ind w:left="0"/>
        <w:contextualSpacing w:val="0"/>
        <w:jc w:val="both"/>
        <w:rPr>
          <w:rFonts w:ascii="Times New Roman" w:eastAsia="Times New Roman" w:hAnsi="Times New Roman"/>
          <w:sz w:val="24"/>
          <w:u w:val="single"/>
        </w:rPr>
      </w:pPr>
    </w:p>
    <w:p w14:paraId="09DD7643" w14:textId="5BB5423D" w:rsidR="007C4E10" w:rsidRDefault="007C4E10" w:rsidP="00691544">
      <w:pPr>
        <w:pStyle w:val="ListParagraph"/>
        <w:spacing w:after="0" w:line="276" w:lineRule="auto"/>
        <w:ind w:left="0"/>
        <w:contextualSpacing w:val="0"/>
        <w:jc w:val="center"/>
        <w:rPr>
          <w:rFonts w:ascii="Times New Roman" w:eastAsia="Times New Roman" w:hAnsi="Times New Roman"/>
          <w:sz w:val="24"/>
          <w:u w:val="single"/>
        </w:rPr>
      </w:pPr>
      <w:r>
        <w:rPr>
          <w:rFonts w:ascii="Times New Roman" w:eastAsia="Times New Roman" w:hAnsi="Times New Roman"/>
          <w:noProof/>
          <w:sz w:val="24"/>
          <w:u w:val="single"/>
        </w:rPr>
        <w:lastRenderedPageBreak/>
        <w:drawing>
          <wp:inline distT="0" distB="0" distL="0" distR="0" wp14:anchorId="1A574151" wp14:editId="3F41D5D6">
            <wp:extent cx="4023995" cy="4395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3995" cy="4395470"/>
                    </a:xfrm>
                    <a:prstGeom prst="rect">
                      <a:avLst/>
                    </a:prstGeom>
                    <a:noFill/>
                  </pic:spPr>
                </pic:pic>
              </a:graphicData>
            </a:graphic>
          </wp:inline>
        </w:drawing>
      </w:r>
    </w:p>
    <w:p w14:paraId="21E0CC40" w14:textId="17D3DE4B" w:rsidR="007C4E10" w:rsidRDefault="007C4E10" w:rsidP="00EF5BBB">
      <w:pPr>
        <w:pStyle w:val="ListParagraph"/>
        <w:spacing w:after="0" w:line="276" w:lineRule="auto"/>
        <w:ind w:left="0"/>
        <w:contextualSpacing w:val="0"/>
        <w:jc w:val="both"/>
        <w:rPr>
          <w:rFonts w:ascii="Times New Roman" w:eastAsia="Times New Roman" w:hAnsi="Times New Roman"/>
          <w:sz w:val="24"/>
          <w:u w:val="single"/>
        </w:rPr>
      </w:pPr>
    </w:p>
    <w:p w14:paraId="3603AC14" w14:textId="4CA5438B" w:rsidR="00C8719E" w:rsidRPr="00C8719E" w:rsidRDefault="00C8719E" w:rsidP="00C8719E">
      <w:pPr>
        <w:pStyle w:val="ListParagraph"/>
        <w:spacing w:after="0" w:line="276" w:lineRule="auto"/>
        <w:ind w:left="0"/>
        <w:contextualSpacing w:val="0"/>
        <w:jc w:val="center"/>
        <w:rPr>
          <w:rFonts w:ascii="Times New Roman" w:eastAsia="Times New Roman" w:hAnsi="Times New Roman"/>
          <w:b/>
          <w:bCs/>
          <w:sz w:val="24"/>
        </w:rPr>
      </w:pPr>
      <w:r>
        <w:rPr>
          <w:rFonts w:ascii="Times New Roman" w:eastAsia="Times New Roman" w:hAnsi="Times New Roman"/>
          <w:b/>
          <w:bCs/>
          <w:sz w:val="24"/>
        </w:rPr>
        <w:t xml:space="preserve">Figure </w:t>
      </w:r>
      <w:r w:rsidR="00405563">
        <w:rPr>
          <w:rFonts w:ascii="Times New Roman" w:eastAsia="Times New Roman" w:hAnsi="Times New Roman"/>
          <w:b/>
          <w:bCs/>
          <w:sz w:val="24"/>
        </w:rPr>
        <w:t>11</w:t>
      </w:r>
      <w:r>
        <w:rPr>
          <w:rFonts w:ascii="Times New Roman" w:eastAsia="Times New Roman" w:hAnsi="Times New Roman"/>
          <w:b/>
          <w:bCs/>
          <w:sz w:val="24"/>
        </w:rPr>
        <w:t xml:space="preserve">.  </w:t>
      </w:r>
      <w:proofErr w:type="spellStart"/>
      <w:r>
        <w:rPr>
          <w:rFonts w:ascii="Times New Roman" w:eastAsia="Times New Roman" w:hAnsi="Times New Roman"/>
          <w:b/>
          <w:bCs/>
          <w:sz w:val="24"/>
        </w:rPr>
        <w:t>ELCC</w:t>
      </w:r>
      <w:proofErr w:type="spellEnd"/>
      <w:r>
        <w:rPr>
          <w:rFonts w:ascii="Times New Roman" w:eastAsia="Times New Roman" w:hAnsi="Times New Roman"/>
          <w:b/>
          <w:bCs/>
          <w:sz w:val="24"/>
        </w:rPr>
        <w:t xml:space="preserve"> for Geothermal Resource</w:t>
      </w:r>
    </w:p>
    <w:p w14:paraId="7C438F34" w14:textId="77777777" w:rsidR="00480265" w:rsidRDefault="00480265" w:rsidP="00EF5BBB">
      <w:pPr>
        <w:pStyle w:val="ListParagraph"/>
        <w:spacing w:after="0" w:line="276" w:lineRule="auto"/>
        <w:ind w:left="0"/>
        <w:contextualSpacing w:val="0"/>
        <w:jc w:val="both"/>
        <w:rPr>
          <w:rFonts w:ascii="Times New Roman" w:eastAsia="Times New Roman" w:hAnsi="Times New Roman"/>
          <w:sz w:val="24"/>
          <w:u w:val="single"/>
        </w:rPr>
      </w:pPr>
    </w:p>
    <w:p w14:paraId="2E33FC74" w14:textId="5F668D32" w:rsidR="00EF5BBB" w:rsidRPr="00246D7D" w:rsidRDefault="00EF5BBB" w:rsidP="00EF5BBB">
      <w:pPr>
        <w:pStyle w:val="ListParagraph"/>
        <w:spacing w:after="0" w:line="276" w:lineRule="auto"/>
        <w:ind w:left="0"/>
        <w:contextualSpacing w:val="0"/>
        <w:jc w:val="both"/>
        <w:rPr>
          <w:rFonts w:ascii="Times New Roman" w:eastAsia="Times New Roman" w:hAnsi="Times New Roman"/>
          <w:caps/>
          <w:sz w:val="24"/>
          <w:u w:val="single"/>
        </w:rPr>
      </w:pPr>
      <w:r w:rsidRPr="00246D7D">
        <w:rPr>
          <w:rFonts w:ascii="Times New Roman" w:eastAsia="Times New Roman" w:hAnsi="Times New Roman"/>
          <w:sz w:val="24"/>
          <w:u w:val="single"/>
        </w:rPr>
        <w:t>Storage</w:t>
      </w:r>
    </w:p>
    <w:p w14:paraId="1B68B83F" w14:textId="77777777" w:rsidR="00EF5BBB" w:rsidRPr="00CB2CB5" w:rsidRDefault="00EF5BBB" w:rsidP="00EF5BBB">
      <w:pPr>
        <w:pStyle w:val="ListParagraph"/>
        <w:spacing w:after="0" w:line="276" w:lineRule="auto"/>
        <w:ind w:left="0"/>
        <w:contextualSpacing w:val="0"/>
        <w:jc w:val="both"/>
        <w:rPr>
          <w:rFonts w:ascii="Times New Roman" w:eastAsia="Times New Roman" w:hAnsi="Times New Roman"/>
          <w:sz w:val="24"/>
        </w:rPr>
      </w:pPr>
    </w:p>
    <w:p w14:paraId="1B711504" w14:textId="656D6003" w:rsidR="00EF5BBB" w:rsidRPr="00CB2CB5" w:rsidRDefault="00EF5BBB" w:rsidP="00EF5BBB">
      <w:pPr>
        <w:pStyle w:val="ListParagraph"/>
        <w:spacing w:after="0" w:line="276" w:lineRule="auto"/>
        <w:ind w:left="0"/>
        <w:contextualSpacing w:val="0"/>
        <w:jc w:val="both"/>
        <w:rPr>
          <w:rFonts w:ascii="Times New Roman" w:eastAsia="Times New Roman" w:hAnsi="Times New Roman"/>
          <w:caps/>
          <w:sz w:val="24"/>
          <w:u w:val="single"/>
        </w:rPr>
      </w:pPr>
      <w:r w:rsidRPr="00CB2CB5">
        <w:rPr>
          <w:rFonts w:ascii="Times New Roman" w:eastAsia="Times New Roman" w:hAnsi="Times New Roman"/>
          <w:sz w:val="24"/>
        </w:rPr>
        <w:t xml:space="preserve">Storage is modeled as a </w:t>
      </w:r>
      <w:r w:rsidR="00A87069">
        <w:rPr>
          <w:rFonts w:ascii="Times New Roman" w:eastAsia="Times New Roman" w:hAnsi="Times New Roman"/>
          <w:sz w:val="24"/>
        </w:rPr>
        <w:t>four-hour</w:t>
      </w:r>
      <w:r>
        <w:rPr>
          <w:rFonts w:ascii="Times New Roman" w:eastAsia="Times New Roman" w:hAnsi="Times New Roman"/>
          <w:sz w:val="24"/>
        </w:rPr>
        <w:t xml:space="preserve"> duration </w:t>
      </w:r>
      <w:r w:rsidRPr="00CB2CB5">
        <w:rPr>
          <w:rFonts w:ascii="Times New Roman" w:eastAsia="Times New Roman" w:hAnsi="Times New Roman"/>
          <w:sz w:val="24"/>
        </w:rPr>
        <w:t xml:space="preserve">lithium ion battery storage system.  The storage system is modeled </w:t>
      </w:r>
      <w:r>
        <w:rPr>
          <w:rFonts w:ascii="Times New Roman" w:eastAsia="Times New Roman" w:hAnsi="Times New Roman"/>
          <w:sz w:val="24"/>
        </w:rPr>
        <w:t xml:space="preserve">to incorporate </w:t>
      </w:r>
      <w:r w:rsidR="00A87069">
        <w:rPr>
          <w:rFonts w:ascii="Times New Roman" w:eastAsia="Times New Roman" w:hAnsi="Times New Roman"/>
          <w:sz w:val="24"/>
        </w:rPr>
        <w:t xml:space="preserve">the </w:t>
      </w:r>
      <w:r w:rsidR="00A87069" w:rsidRPr="00C8719E">
        <w:rPr>
          <w:rFonts w:ascii="Times New Roman" w:eastAsia="Times New Roman" w:hAnsi="Times New Roman"/>
          <w:sz w:val="24"/>
        </w:rPr>
        <w:t>85</w:t>
      </w:r>
      <w:r w:rsidRPr="00C8719E">
        <w:rPr>
          <w:rFonts w:ascii="Times New Roman" w:eastAsia="Times New Roman" w:hAnsi="Times New Roman"/>
          <w:sz w:val="24"/>
        </w:rPr>
        <w:t>% efficiency and</w:t>
      </w:r>
      <w:r w:rsidRPr="00CB2CB5">
        <w:rPr>
          <w:rFonts w:ascii="Times New Roman" w:eastAsia="Times New Roman" w:hAnsi="Times New Roman"/>
          <w:sz w:val="24"/>
        </w:rPr>
        <w:t xml:space="preserve"> </w:t>
      </w:r>
      <w:r>
        <w:rPr>
          <w:rFonts w:ascii="Times New Roman" w:eastAsia="Times New Roman" w:hAnsi="Times New Roman"/>
          <w:sz w:val="24"/>
        </w:rPr>
        <w:t xml:space="preserve">furthermore evaluates the availability of a charging energy resource.  Similarly, RECAP </w:t>
      </w:r>
      <w:proofErr w:type="gramStart"/>
      <w:r>
        <w:rPr>
          <w:rFonts w:ascii="Times New Roman" w:eastAsia="Times New Roman" w:hAnsi="Times New Roman"/>
          <w:sz w:val="24"/>
        </w:rPr>
        <w:t>is able to</w:t>
      </w:r>
      <w:proofErr w:type="gramEnd"/>
      <w:r>
        <w:rPr>
          <w:rFonts w:ascii="Times New Roman" w:eastAsia="Times New Roman" w:hAnsi="Times New Roman"/>
          <w:sz w:val="24"/>
        </w:rPr>
        <w:t xml:space="preserve"> consider the benefits of coupling battery storage with solar or wind to shift outputs and assess an </w:t>
      </w:r>
      <w:proofErr w:type="spellStart"/>
      <w:r>
        <w:rPr>
          <w:rFonts w:ascii="Times New Roman" w:eastAsia="Times New Roman" w:hAnsi="Times New Roman"/>
          <w:sz w:val="24"/>
        </w:rPr>
        <w:t>ELCC</w:t>
      </w:r>
      <w:proofErr w:type="spellEnd"/>
      <w:r>
        <w:rPr>
          <w:rFonts w:ascii="Times New Roman" w:eastAsia="Times New Roman" w:hAnsi="Times New Roman"/>
          <w:sz w:val="24"/>
        </w:rPr>
        <w:t xml:space="preserve"> value for battery storage at greater integration levels.</w:t>
      </w:r>
    </w:p>
    <w:p w14:paraId="5C4002E8" w14:textId="4AED99F3" w:rsidR="00EF5BBB" w:rsidRDefault="00EF5BBB" w:rsidP="00EF5BBB">
      <w:pPr>
        <w:pStyle w:val="ListParagraph"/>
        <w:spacing w:after="0" w:line="276" w:lineRule="auto"/>
        <w:ind w:left="0"/>
        <w:contextualSpacing w:val="0"/>
        <w:jc w:val="both"/>
        <w:rPr>
          <w:rFonts w:ascii="Times New Roman" w:eastAsia="Times New Roman" w:hAnsi="Times New Roman"/>
          <w:sz w:val="24"/>
        </w:rPr>
      </w:pPr>
    </w:p>
    <w:p w14:paraId="1837E688" w14:textId="22683886" w:rsidR="007C4E10" w:rsidRPr="00CB2CB5" w:rsidRDefault="007C4E10" w:rsidP="00691544">
      <w:pPr>
        <w:pStyle w:val="ListParagraph"/>
        <w:spacing w:after="0" w:line="276" w:lineRule="auto"/>
        <w:ind w:left="0"/>
        <w:contextualSpacing w:val="0"/>
        <w:jc w:val="center"/>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14:anchorId="135FCE0F" wp14:editId="21144A04">
            <wp:extent cx="3584575" cy="4572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4575" cy="4572635"/>
                    </a:xfrm>
                    <a:prstGeom prst="rect">
                      <a:avLst/>
                    </a:prstGeom>
                    <a:noFill/>
                  </pic:spPr>
                </pic:pic>
              </a:graphicData>
            </a:graphic>
          </wp:inline>
        </w:drawing>
      </w:r>
    </w:p>
    <w:p w14:paraId="1EBC70ED" w14:textId="34D02CB9" w:rsidR="00EF5BBB" w:rsidRPr="00C8719E" w:rsidRDefault="00C8719E" w:rsidP="00C8719E">
      <w:pPr>
        <w:keepNext/>
        <w:keepLines/>
        <w:spacing w:line="276" w:lineRule="auto"/>
        <w:jc w:val="center"/>
        <w:rPr>
          <w:rFonts w:eastAsia="Times New Roman"/>
          <w:b/>
          <w:bCs/>
        </w:rPr>
      </w:pPr>
      <w:r>
        <w:rPr>
          <w:rFonts w:eastAsia="Times New Roman"/>
          <w:b/>
          <w:bCs/>
        </w:rPr>
        <w:t xml:space="preserve">Figure </w:t>
      </w:r>
      <w:r w:rsidR="00405563">
        <w:rPr>
          <w:rFonts w:eastAsia="Times New Roman"/>
          <w:b/>
          <w:bCs/>
        </w:rPr>
        <w:t>12</w:t>
      </w:r>
      <w:r>
        <w:rPr>
          <w:rFonts w:eastAsia="Times New Roman"/>
          <w:b/>
          <w:bCs/>
        </w:rPr>
        <w:t xml:space="preserve">.  </w:t>
      </w:r>
      <w:proofErr w:type="spellStart"/>
      <w:r>
        <w:rPr>
          <w:rFonts w:eastAsia="Times New Roman"/>
          <w:b/>
          <w:bCs/>
        </w:rPr>
        <w:t>ELCC</w:t>
      </w:r>
      <w:proofErr w:type="spellEnd"/>
      <w:r>
        <w:rPr>
          <w:rFonts w:eastAsia="Times New Roman"/>
          <w:b/>
          <w:bCs/>
        </w:rPr>
        <w:t xml:space="preserve"> for Energy Storage</w:t>
      </w:r>
    </w:p>
    <w:p w14:paraId="3D61ED18" w14:textId="77777777" w:rsidR="008A5446" w:rsidRDefault="008A5446" w:rsidP="00EF5BBB">
      <w:pPr>
        <w:keepNext/>
        <w:keepLines/>
        <w:spacing w:line="276" w:lineRule="auto"/>
        <w:rPr>
          <w:rFonts w:eastAsia="Times New Roman"/>
          <w:b/>
          <w:bCs/>
        </w:rPr>
      </w:pPr>
    </w:p>
    <w:p w14:paraId="3E44E421" w14:textId="3AFE0065" w:rsidR="00EF5BBB" w:rsidRPr="00CB2CB5" w:rsidRDefault="00EF5BBB" w:rsidP="00EF5BBB">
      <w:pPr>
        <w:keepNext/>
        <w:keepLines/>
        <w:spacing w:line="276" w:lineRule="auto"/>
        <w:rPr>
          <w:rFonts w:eastAsia="Times New Roman"/>
          <w:u w:val="single"/>
        </w:rPr>
      </w:pPr>
      <w:r w:rsidRPr="007C2FCC">
        <w:rPr>
          <w:rFonts w:eastAsia="Times New Roman"/>
          <w:b/>
          <w:bCs/>
        </w:rPr>
        <w:t>RESOLVE</w:t>
      </w:r>
      <w:r w:rsidR="007418F9">
        <w:rPr>
          <w:rFonts w:eastAsia="Times New Roman"/>
          <w:b/>
          <w:bCs/>
        </w:rPr>
        <w:t xml:space="preserve"> MODELING</w:t>
      </w:r>
    </w:p>
    <w:p w14:paraId="73F08A05" w14:textId="77777777" w:rsidR="00EF5BBB" w:rsidRPr="00CB2CB5" w:rsidRDefault="00EF5BBB" w:rsidP="00EF5BBB">
      <w:pPr>
        <w:keepNext/>
        <w:keepLines/>
        <w:spacing w:line="276" w:lineRule="auto"/>
        <w:ind w:left="547"/>
      </w:pPr>
    </w:p>
    <w:p w14:paraId="0CE33039" w14:textId="02695329" w:rsidR="00EF5BBB" w:rsidRDefault="00EF5BBB" w:rsidP="00405563">
      <w:pPr>
        <w:spacing w:line="276" w:lineRule="auto"/>
      </w:pPr>
      <w:r>
        <w:t>RESOLVE</w:t>
      </w:r>
      <w:r w:rsidRPr="00CB2CB5">
        <w:t xml:space="preserve"> is a </w:t>
      </w:r>
      <w:r w:rsidR="00CD22C0">
        <w:t>capacity</w:t>
      </w:r>
      <w:r w:rsidRPr="00CB2CB5">
        <w:t xml:space="preserve"> expansion planning model that determines the optimal integrated demand-side and supply-side portfolio for a utility system under a prescribed set of inputs and assumptions.  </w:t>
      </w:r>
      <w:r>
        <w:t xml:space="preserve">RESOLVE is a linear </w:t>
      </w:r>
      <w:r w:rsidR="00CD22C0">
        <w:t xml:space="preserve">program </w:t>
      </w:r>
      <w:r>
        <w:t>model which allows it to efficiently analyze a multitude o</w:t>
      </w:r>
      <w:r w:rsidR="00CD22C0">
        <w:t>f</w:t>
      </w:r>
      <w:r>
        <w:t xml:space="preserve"> resource options and combination of resource options to identify the most cost-effective portfolio.  This includes the ability to evaluate the combination of storage with solar and wind as well as the synergies that exist between solar and wind resources.  </w:t>
      </w:r>
      <w:r w:rsidRPr="00CB2CB5">
        <w:t xml:space="preserve">In addition, </w:t>
      </w:r>
      <w:r>
        <w:t>RESOLVE</w:t>
      </w:r>
      <w:r w:rsidRPr="00CB2CB5">
        <w:t xml:space="preserve"> can assess the impacts of various scenarios and sensitivities based on total plan costs</w:t>
      </w:r>
      <w:r>
        <w:t xml:space="preserve"> by imposing renewable energy targets, decarbonization targets or various </w:t>
      </w:r>
      <w:r w:rsidR="00A87069">
        <w:t xml:space="preserve">sensitivities </w:t>
      </w:r>
      <w:r>
        <w:t>to inputs such as a carbon tax or fuel cost levels.  RESOLVE</w:t>
      </w:r>
      <w:r w:rsidRPr="00CB2CB5">
        <w:t xml:space="preserve"> enables EPE to study a wide variety of long-term expansion planning resource options and their costs (described in Section VI), unit retirements, unit capacity variations, demand-side management options, fuel costs, and reliability limits in order to develop a coordinated integrated plan which would be best suited for the EPE system.  </w:t>
      </w:r>
      <w:r>
        <w:t>RESOLVE</w:t>
      </w:r>
      <w:r w:rsidRPr="00CB2CB5">
        <w:t xml:space="preserve"> simulates the operation of a utility system to determine the cost and reliability effects of adding various resources to the system or modifying the load through </w:t>
      </w:r>
      <w:r w:rsidR="00CD22C0">
        <w:t>demand side management options</w:t>
      </w:r>
      <w:r w:rsidRPr="00CB2CB5">
        <w:t xml:space="preserve">.  </w:t>
      </w:r>
      <w:r>
        <w:t xml:space="preserve">  </w:t>
      </w:r>
      <w:r>
        <w:lastRenderedPageBreak/>
        <w:t xml:space="preserve">The E3 report provided </w:t>
      </w:r>
      <w:r w:rsidR="000B4F9B">
        <w:t xml:space="preserve">in </w:t>
      </w:r>
      <w:r w:rsidR="000B4F9B">
        <w:rPr>
          <w:rFonts w:eastAsia="Times New Roman"/>
        </w:rPr>
        <w:t>E3’s EPE Report</w:t>
      </w:r>
      <w:r w:rsidR="000B4F9B">
        <w:t xml:space="preserve"> </w:t>
      </w:r>
      <w:r>
        <w:t>provides a more detailed description of the RESOLVE model, modeling inputs, and scenarios.</w:t>
      </w:r>
    </w:p>
    <w:p w14:paraId="78A05C0D" w14:textId="77777777" w:rsidR="00405563" w:rsidRDefault="00405563" w:rsidP="00405563">
      <w:pPr>
        <w:pStyle w:val="ListParagraph"/>
        <w:spacing w:after="0" w:line="276" w:lineRule="auto"/>
        <w:ind w:left="0"/>
        <w:contextualSpacing w:val="0"/>
        <w:jc w:val="both"/>
        <w:rPr>
          <w:rFonts w:eastAsia="Times New Roman"/>
        </w:rPr>
      </w:pPr>
    </w:p>
    <w:p w14:paraId="19D171FB" w14:textId="1E7E59DE" w:rsidR="00EF5BBB" w:rsidRPr="007C2FCC" w:rsidRDefault="00EF5BBB" w:rsidP="00EF5BBB">
      <w:pPr>
        <w:pStyle w:val="ListParagraph"/>
        <w:spacing w:after="0" w:line="276" w:lineRule="auto"/>
        <w:ind w:left="0"/>
        <w:contextualSpacing w:val="0"/>
        <w:jc w:val="both"/>
        <w:rPr>
          <w:rFonts w:ascii="Times New Roman" w:eastAsia="Times New Roman" w:hAnsi="Times New Roman"/>
          <w:sz w:val="24"/>
          <w:u w:val="single"/>
        </w:rPr>
      </w:pPr>
      <w:bookmarkStart w:id="63" w:name="_Hlk74636579"/>
      <w:r w:rsidRPr="007C2FCC">
        <w:rPr>
          <w:rFonts w:ascii="Times New Roman" w:eastAsia="Times New Roman" w:hAnsi="Times New Roman"/>
          <w:sz w:val="24"/>
          <w:u w:val="single"/>
        </w:rPr>
        <w:t xml:space="preserve">RESOLVE MODELING </w:t>
      </w:r>
      <w:bookmarkEnd w:id="63"/>
      <w:r w:rsidRPr="007C2FCC">
        <w:rPr>
          <w:rFonts w:ascii="Times New Roman" w:eastAsia="Times New Roman" w:hAnsi="Times New Roman"/>
          <w:sz w:val="24"/>
          <w:u w:val="single"/>
        </w:rPr>
        <w:t>– PRELIMINARY DECARBONIZATION SCENARIOS</w:t>
      </w:r>
    </w:p>
    <w:p w14:paraId="130E6CA6" w14:textId="77777777" w:rsidR="00EF5BBB" w:rsidRDefault="00EF5BBB" w:rsidP="00EF5BBB">
      <w:pPr>
        <w:pStyle w:val="ListParagraph"/>
        <w:spacing w:after="0" w:line="276" w:lineRule="auto"/>
        <w:ind w:left="0"/>
        <w:contextualSpacing w:val="0"/>
        <w:jc w:val="both"/>
        <w:rPr>
          <w:rFonts w:ascii="Times New Roman" w:eastAsia="Times New Roman" w:hAnsi="Times New Roman"/>
          <w:sz w:val="24"/>
        </w:rPr>
      </w:pPr>
    </w:p>
    <w:p w14:paraId="09B5C2E9" w14:textId="46D9A824" w:rsidR="006A054F" w:rsidRDefault="00EF5BBB"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t>EPE initiated the RESOLVE modeling efforts by first running a range of decarbonization scenarios including up to 100 percent carbon free portfolios</w:t>
      </w:r>
      <w:r w:rsidR="007F2203">
        <w:rPr>
          <w:rFonts w:ascii="Times New Roman" w:eastAsia="Times New Roman" w:hAnsi="Times New Roman"/>
          <w:sz w:val="24"/>
        </w:rPr>
        <w:t xml:space="preserve"> by 2040</w:t>
      </w:r>
      <w:r w:rsidR="00DE0416">
        <w:rPr>
          <w:rFonts w:ascii="Times New Roman" w:eastAsia="Times New Roman" w:hAnsi="Times New Roman"/>
          <w:sz w:val="24"/>
        </w:rPr>
        <w:t xml:space="preserve"> utilizing the </w:t>
      </w:r>
      <w:proofErr w:type="spellStart"/>
      <w:r w:rsidR="00DE0416">
        <w:rPr>
          <w:rFonts w:ascii="Times New Roman" w:eastAsia="Times New Roman" w:hAnsi="Times New Roman"/>
          <w:sz w:val="24"/>
        </w:rPr>
        <w:t>ELCC</w:t>
      </w:r>
      <w:proofErr w:type="spellEnd"/>
      <w:r w:rsidR="00DE0416">
        <w:rPr>
          <w:rFonts w:ascii="Times New Roman" w:eastAsia="Times New Roman" w:hAnsi="Times New Roman"/>
          <w:sz w:val="24"/>
        </w:rPr>
        <w:t xml:space="preserve"> values determined by RECAP for each resource type</w:t>
      </w:r>
      <w:r w:rsidR="009C45BC">
        <w:rPr>
          <w:rFonts w:ascii="Times New Roman" w:eastAsia="Times New Roman" w:hAnsi="Times New Roman"/>
          <w:sz w:val="24"/>
        </w:rPr>
        <w:t>s</w:t>
      </w:r>
      <w:r>
        <w:rPr>
          <w:rFonts w:ascii="Times New Roman" w:eastAsia="Times New Roman" w:hAnsi="Times New Roman"/>
          <w:sz w:val="24"/>
        </w:rPr>
        <w:t xml:space="preserve">. </w:t>
      </w:r>
      <w:r w:rsidR="00A350AA">
        <w:rPr>
          <w:rFonts w:ascii="Times New Roman" w:eastAsia="Times New Roman" w:hAnsi="Times New Roman"/>
          <w:sz w:val="24"/>
        </w:rPr>
        <w:t>T</w:t>
      </w:r>
      <w:r w:rsidR="007F2203">
        <w:rPr>
          <w:rFonts w:ascii="Times New Roman" w:eastAsia="Times New Roman" w:hAnsi="Times New Roman"/>
          <w:sz w:val="24"/>
        </w:rPr>
        <w:t>he two</w:t>
      </w:r>
      <w:r w:rsidR="00A350AA">
        <w:rPr>
          <w:rFonts w:ascii="Times New Roman" w:eastAsia="Times New Roman" w:hAnsi="Times New Roman"/>
          <w:sz w:val="24"/>
        </w:rPr>
        <w:t xml:space="preserve"> carbon free </w:t>
      </w:r>
      <w:r w:rsidR="00DE0416">
        <w:rPr>
          <w:rFonts w:ascii="Times New Roman" w:eastAsia="Times New Roman" w:hAnsi="Times New Roman"/>
          <w:sz w:val="24"/>
        </w:rPr>
        <w:t>scenarios</w:t>
      </w:r>
      <w:r w:rsidR="00A350AA">
        <w:rPr>
          <w:rFonts w:ascii="Times New Roman" w:eastAsia="Times New Roman" w:hAnsi="Times New Roman"/>
          <w:sz w:val="24"/>
        </w:rPr>
        <w:t xml:space="preserve"> analyzed</w:t>
      </w:r>
      <w:r w:rsidR="007F2203">
        <w:rPr>
          <w:rFonts w:ascii="Times New Roman" w:eastAsia="Times New Roman" w:hAnsi="Times New Roman"/>
          <w:sz w:val="24"/>
        </w:rPr>
        <w:t xml:space="preserve"> were</w:t>
      </w:r>
      <w:r w:rsidR="00A350AA">
        <w:rPr>
          <w:rFonts w:ascii="Times New Roman" w:eastAsia="Times New Roman" w:hAnsi="Times New Roman"/>
          <w:sz w:val="24"/>
        </w:rPr>
        <w:t xml:space="preserve">: (1) </w:t>
      </w:r>
      <w:r w:rsidR="007F2203">
        <w:rPr>
          <w:rFonts w:ascii="Times New Roman" w:eastAsia="Times New Roman" w:hAnsi="Times New Roman"/>
          <w:sz w:val="24"/>
        </w:rPr>
        <w:t xml:space="preserve">100 percent carbon emission reduction by 2040 with hydrogen fuel (100% H2); </w:t>
      </w:r>
      <w:r w:rsidR="008816E7">
        <w:rPr>
          <w:rFonts w:ascii="Times New Roman" w:eastAsia="Times New Roman" w:hAnsi="Times New Roman"/>
          <w:sz w:val="24"/>
        </w:rPr>
        <w:t xml:space="preserve">and </w:t>
      </w:r>
      <w:r w:rsidR="007F2203">
        <w:rPr>
          <w:rFonts w:ascii="Times New Roman" w:eastAsia="Times New Roman" w:hAnsi="Times New Roman"/>
          <w:sz w:val="24"/>
        </w:rPr>
        <w:t xml:space="preserve">(2) 100 percent carbon emission reduction by 2040 with only renewable and existing nuclear (100% No CT).  </w:t>
      </w:r>
      <w:r w:rsidR="008816E7">
        <w:rPr>
          <w:rFonts w:ascii="Times New Roman" w:eastAsia="Times New Roman" w:hAnsi="Times New Roman"/>
          <w:sz w:val="24"/>
        </w:rPr>
        <w:t xml:space="preserve">Under the first carbon free scenario, all existing </w:t>
      </w:r>
      <w:r w:rsidR="00DE0416">
        <w:rPr>
          <w:rFonts w:ascii="Times New Roman" w:eastAsia="Times New Roman" w:hAnsi="Times New Roman"/>
          <w:sz w:val="24"/>
        </w:rPr>
        <w:t xml:space="preserve">gas plant would be converted to hydrogen fuel </w:t>
      </w:r>
      <w:r w:rsidR="008816E7">
        <w:rPr>
          <w:rFonts w:ascii="Times New Roman" w:eastAsia="Times New Roman" w:hAnsi="Times New Roman"/>
          <w:sz w:val="24"/>
        </w:rPr>
        <w:t xml:space="preserve">and </w:t>
      </w:r>
      <w:r w:rsidR="00DE0416">
        <w:rPr>
          <w:rFonts w:ascii="Times New Roman" w:eastAsia="Times New Roman" w:hAnsi="Times New Roman"/>
          <w:sz w:val="24"/>
        </w:rPr>
        <w:t xml:space="preserve">all </w:t>
      </w:r>
      <w:r w:rsidR="008816E7">
        <w:rPr>
          <w:rFonts w:ascii="Times New Roman" w:eastAsia="Times New Roman" w:hAnsi="Times New Roman"/>
          <w:sz w:val="24"/>
        </w:rPr>
        <w:t xml:space="preserve">new gas plant would be hydrogen fueled.  Under the second carbon free scenario, all </w:t>
      </w:r>
      <w:r w:rsidR="00DE0416">
        <w:rPr>
          <w:rFonts w:ascii="Times New Roman" w:eastAsia="Times New Roman" w:hAnsi="Times New Roman"/>
          <w:sz w:val="24"/>
        </w:rPr>
        <w:t xml:space="preserve">existing and planned </w:t>
      </w:r>
      <w:r w:rsidR="008816E7">
        <w:rPr>
          <w:rFonts w:ascii="Times New Roman" w:eastAsia="Times New Roman" w:hAnsi="Times New Roman"/>
          <w:sz w:val="24"/>
        </w:rPr>
        <w:t xml:space="preserve">gas plant would be </w:t>
      </w:r>
      <w:r w:rsidR="006A2CC5">
        <w:rPr>
          <w:rFonts w:ascii="Times New Roman" w:eastAsia="Times New Roman" w:hAnsi="Times New Roman"/>
          <w:sz w:val="24"/>
        </w:rPr>
        <w:t>used only for planning reserve margin and reliability</w:t>
      </w:r>
      <w:r w:rsidR="00DE0416">
        <w:rPr>
          <w:rFonts w:ascii="Times New Roman" w:eastAsia="Times New Roman" w:hAnsi="Times New Roman"/>
          <w:sz w:val="24"/>
        </w:rPr>
        <w:t xml:space="preserve">.  </w:t>
      </w:r>
      <w:r w:rsidR="007F2203">
        <w:rPr>
          <w:rFonts w:ascii="Times New Roman" w:eastAsia="Times New Roman" w:hAnsi="Times New Roman"/>
          <w:sz w:val="24"/>
        </w:rPr>
        <w:t>EPE also</w:t>
      </w:r>
      <w:r w:rsidR="008816E7">
        <w:rPr>
          <w:rFonts w:ascii="Times New Roman" w:eastAsia="Times New Roman" w:hAnsi="Times New Roman"/>
          <w:sz w:val="24"/>
        </w:rPr>
        <w:t xml:space="preserve"> modeled a scenario with no new combustion turbines </w:t>
      </w:r>
      <w:r w:rsidR="00DE0416">
        <w:rPr>
          <w:rFonts w:ascii="Times New Roman" w:eastAsia="Times New Roman" w:hAnsi="Times New Roman"/>
          <w:sz w:val="24"/>
        </w:rPr>
        <w:t>after the</w:t>
      </w:r>
      <w:r w:rsidR="008816E7">
        <w:rPr>
          <w:rFonts w:ascii="Times New Roman" w:eastAsia="Times New Roman" w:hAnsi="Times New Roman"/>
          <w:sz w:val="24"/>
        </w:rPr>
        <w:t xml:space="preserve"> 2024</w:t>
      </w:r>
      <w:r w:rsidR="00DE0416">
        <w:rPr>
          <w:rFonts w:ascii="Times New Roman" w:eastAsia="Times New Roman" w:hAnsi="Times New Roman"/>
          <w:sz w:val="24"/>
        </w:rPr>
        <w:t xml:space="preserve"> operations of Newman 6</w:t>
      </w:r>
      <w:r w:rsidR="007F2203">
        <w:rPr>
          <w:rFonts w:ascii="Times New Roman" w:eastAsia="Times New Roman" w:hAnsi="Times New Roman"/>
          <w:sz w:val="24"/>
        </w:rPr>
        <w:t xml:space="preserve"> </w:t>
      </w:r>
      <w:r w:rsidR="008816E7">
        <w:rPr>
          <w:rFonts w:ascii="Times New Roman" w:eastAsia="Times New Roman" w:hAnsi="Times New Roman"/>
          <w:sz w:val="24"/>
        </w:rPr>
        <w:t xml:space="preserve">(No New </w:t>
      </w:r>
      <w:proofErr w:type="spellStart"/>
      <w:r w:rsidR="008816E7">
        <w:rPr>
          <w:rFonts w:ascii="Times New Roman" w:eastAsia="Times New Roman" w:hAnsi="Times New Roman"/>
          <w:sz w:val="24"/>
        </w:rPr>
        <w:t>CTs</w:t>
      </w:r>
      <w:proofErr w:type="spellEnd"/>
      <w:r w:rsidR="008816E7">
        <w:rPr>
          <w:rFonts w:ascii="Times New Roman" w:eastAsia="Times New Roman" w:hAnsi="Times New Roman"/>
          <w:sz w:val="24"/>
        </w:rPr>
        <w:t xml:space="preserve">). </w:t>
      </w:r>
      <w:r w:rsidR="006A054F">
        <w:rPr>
          <w:rFonts w:ascii="Times New Roman" w:eastAsia="Times New Roman" w:hAnsi="Times New Roman"/>
          <w:sz w:val="24"/>
        </w:rPr>
        <w:t xml:space="preserve">The purpose of this preliminary analysis was to </w:t>
      </w:r>
      <w:r w:rsidR="00A350AA">
        <w:rPr>
          <w:rFonts w:ascii="Times New Roman" w:eastAsia="Times New Roman" w:hAnsi="Times New Roman"/>
          <w:sz w:val="24"/>
        </w:rPr>
        <w:t>evaluate on a total company basis the cost of increased renewables and decarbonization up to 100 percent carbon free por</w:t>
      </w:r>
      <w:r w:rsidR="007F2203">
        <w:rPr>
          <w:rFonts w:ascii="Times New Roman" w:eastAsia="Times New Roman" w:hAnsi="Times New Roman"/>
          <w:sz w:val="24"/>
        </w:rPr>
        <w:t>t</w:t>
      </w:r>
      <w:r w:rsidR="00A350AA">
        <w:rPr>
          <w:rFonts w:ascii="Times New Roman" w:eastAsia="Times New Roman" w:hAnsi="Times New Roman"/>
          <w:sz w:val="24"/>
        </w:rPr>
        <w:t>folios</w:t>
      </w:r>
      <w:r w:rsidR="00DE0416">
        <w:rPr>
          <w:rFonts w:ascii="Times New Roman" w:eastAsia="Times New Roman" w:hAnsi="Times New Roman"/>
          <w:sz w:val="24"/>
        </w:rPr>
        <w:t xml:space="preserve"> by 2040</w:t>
      </w:r>
      <w:r w:rsidR="006A054F">
        <w:rPr>
          <w:rFonts w:ascii="Times New Roman" w:eastAsia="Times New Roman" w:hAnsi="Times New Roman"/>
          <w:sz w:val="24"/>
        </w:rPr>
        <w:t xml:space="preserve">.  </w:t>
      </w:r>
      <w:r>
        <w:rPr>
          <w:rFonts w:ascii="Times New Roman" w:eastAsia="Times New Roman" w:hAnsi="Times New Roman"/>
          <w:sz w:val="24"/>
        </w:rPr>
        <w:t>These modeling scenarios were performed for EPE’s full system requirements inclusive of New Mexico and Texas load requirements</w:t>
      </w:r>
      <w:r w:rsidR="006A054F">
        <w:rPr>
          <w:rFonts w:ascii="Times New Roman" w:eastAsia="Times New Roman" w:hAnsi="Times New Roman"/>
          <w:sz w:val="24"/>
        </w:rPr>
        <w:t xml:space="preserve"> in the following order</w:t>
      </w:r>
      <w:r>
        <w:rPr>
          <w:rFonts w:ascii="Times New Roman" w:eastAsia="Times New Roman" w:hAnsi="Times New Roman"/>
          <w:sz w:val="24"/>
        </w:rPr>
        <w:t xml:space="preserve">.  </w:t>
      </w:r>
    </w:p>
    <w:p w14:paraId="1D27D8E1" w14:textId="06639366" w:rsidR="006A054F" w:rsidRDefault="00EF5BBB" w:rsidP="006A054F">
      <w:pPr>
        <w:pStyle w:val="ListParagraph"/>
        <w:numPr>
          <w:ilvl w:val="0"/>
          <w:numId w:val="143"/>
        </w:numPr>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First the RESOLVE model </w:t>
      </w:r>
      <w:proofErr w:type="gramStart"/>
      <w:r>
        <w:rPr>
          <w:rFonts w:ascii="Times New Roman" w:eastAsia="Times New Roman" w:hAnsi="Times New Roman"/>
          <w:sz w:val="24"/>
        </w:rPr>
        <w:t>was allowed to</w:t>
      </w:r>
      <w:proofErr w:type="gramEnd"/>
      <w:r>
        <w:rPr>
          <w:rFonts w:ascii="Times New Roman" w:eastAsia="Times New Roman" w:hAnsi="Times New Roman"/>
          <w:sz w:val="24"/>
        </w:rPr>
        <w:t xml:space="preserve"> select the lowest cost portfolio with no imposed renewable energy or carbon reduction requirements to establish a baseline portfolio</w:t>
      </w:r>
      <w:r w:rsidR="006A054F">
        <w:rPr>
          <w:rFonts w:ascii="Times New Roman" w:eastAsia="Times New Roman" w:hAnsi="Times New Roman"/>
          <w:sz w:val="24"/>
        </w:rPr>
        <w:t xml:space="preserve"> for the preliminary decarbonization scenarios</w:t>
      </w:r>
      <w:r>
        <w:rPr>
          <w:rFonts w:ascii="Times New Roman" w:eastAsia="Times New Roman" w:hAnsi="Times New Roman"/>
          <w:sz w:val="24"/>
        </w:rPr>
        <w:t>.</w:t>
      </w:r>
    </w:p>
    <w:p w14:paraId="4E6EB17B" w14:textId="50C525F0" w:rsidR="006A054F" w:rsidRDefault="00EF5BBB" w:rsidP="006A054F">
      <w:pPr>
        <w:pStyle w:val="ListParagraph"/>
        <w:numPr>
          <w:ilvl w:val="0"/>
          <w:numId w:val="143"/>
        </w:numPr>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Second, both the New Mexico </w:t>
      </w:r>
      <w:r w:rsidR="00E8487B">
        <w:rPr>
          <w:rFonts w:ascii="Times New Roman" w:eastAsia="Times New Roman" w:hAnsi="Times New Roman"/>
          <w:sz w:val="24"/>
        </w:rPr>
        <w:t xml:space="preserve">RPS </w:t>
      </w:r>
      <w:r>
        <w:rPr>
          <w:rFonts w:ascii="Times New Roman" w:eastAsia="Times New Roman" w:hAnsi="Times New Roman"/>
          <w:sz w:val="24"/>
        </w:rPr>
        <w:t xml:space="preserve">and Texas </w:t>
      </w:r>
      <w:r w:rsidR="00E8487B">
        <w:rPr>
          <w:rFonts w:ascii="Times New Roman" w:eastAsia="Times New Roman" w:hAnsi="Times New Roman"/>
          <w:sz w:val="24"/>
        </w:rPr>
        <w:t xml:space="preserve">renewable </w:t>
      </w:r>
      <w:r>
        <w:rPr>
          <w:rFonts w:ascii="Times New Roman" w:eastAsia="Times New Roman" w:hAnsi="Times New Roman"/>
          <w:sz w:val="24"/>
        </w:rPr>
        <w:t>requirements</w:t>
      </w:r>
      <w:r w:rsidR="007418F9">
        <w:rPr>
          <w:rStyle w:val="FootnoteReference"/>
          <w:rFonts w:ascii="Times New Roman" w:eastAsia="Times New Roman" w:hAnsi="Times New Roman"/>
          <w:sz w:val="24"/>
        </w:rPr>
        <w:footnoteReference w:id="7"/>
      </w:r>
      <w:r>
        <w:rPr>
          <w:rFonts w:ascii="Times New Roman" w:eastAsia="Times New Roman" w:hAnsi="Times New Roman"/>
          <w:sz w:val="24"/>
        </w:rPr>
        <w:t xml:space="preserve"> were imposed, and the model optimized inclusive of the </w:t>
      </w:r>
      <w:r w:rsidR="00E8487B">
        <w:rPr>
          <w:rFonts w:ascii="Times New Roman" w:eastAsia="Times New Roman" w:hAnsi="Times New Roman"/>
          <w:sz w:val="24"/>
        </w:rPr>
        <w:t>state</w:t>
      </w:r>
      <w:r>
        <w:rPr>
          <w:rFonts w:ascii="Times New Roman" w:eastAsia="Times New Roman" w:hAnsi="Times New Roman"/>
          <w:sz w:val="24"/>
        </w:rPr>
        <w:t xml:space="preserve"> requirements.  </w:t>
      </w:r>
    </w:p>
    <w:p w14:paraId="081622AC" w14:textId="77777777" w:rsidR="00E13625" w:rsidRDefault="00EF5BBB" w:rsidP="006A054F">
      <w:pPr>
        <w:pStyle w:val="ListParagraph"/>
        <w:numPr>
          <w:ilvl w:val="0"/>
          <w:numId w:val="143"/>
        </w:numPr>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Then RESOLVE was utilized to run further decarbonization scenarios in 20 percent increments.  </w:t>
      </w:r>
    </w:p>
    <w:p w14:paraId="3407A199" w14:textId="77777777" w:rsidR="00E13625" w:rsidRDefault="00E13625" w:rsidP="00E13625">
      <w:pPr>
        <w:spacing w:line="276" w:lineRule="auto"/>
        <w:rPr>
          <w:rFonts w:eastAsia="Times New Roman"/>
        </w:rPr>
      </w:pPr>
    </w:p>
    <w:p w14:paraId="2B6AD434" w14:textId="2F4056DA" w:rsidR="00EF5BBB" w:rsidRPr="00E13625" w:rsidRDefault="00EF5BBB" w:rsidP="00E13625">
      <w:pPr>
        <w:spacing w:line="276" w:lineRule="auto"/>
        <w:rPr>
          <w:rFonts w:eastAsia="Times New Roman"/>
        </w:rPr>
      </w:pPr>
      <w:r w:rsidRPr="00E13625">
        <w:rPr>
          <w:rFonts w:eastAsia="Times New Roman"/>
        </w:rPr>
        <w:t xml:space="preserve">The scenarios analyzed </w:t>
      </w:r>
      <w:r w:rsidR="00E13625">
        <w:rPr>
          <w:rFonts w:eastAsia="Times New Roman"/>
        </w:rPr>
        <w:t xml:space="preserve">through these three steps </w:t>
      </w:r>
      <w:r w:rsidRPr="00E13625">
        <w:rPr>
          <w:rFonts w:eastAsia="Times New Roman"/>
        </w:rPr>
        <w:t xml:space="preserve">and </w:t>
      </w:r>
      <w:r w:rsidR="00E8487B" w:rsidRPr="00E13625">
        <w:rPr>
          <w:rFonts w:eastAsia="Times New Roman"/>
        </w:rPr>
        <w:t xml:space="preserve">the </w:t>
      </w:r>
      <w:r w:rsidRPr="00E13625">
        <w:rPr>
          <w:rFonts w:eastAsia="Times New Roman"/>
        </w:rPr>
        <w:t xml:space="preserve">resulting carbon free and renewable percentages are denoted in </w:t>
      </w:r>
      <w:r w:rsidR="00D53E41">
        <w:rPr>
          <w:rFonts w:eastAsia="Times New Roman"/>
        </w:rPr>
        <w:t>Table 12 below</w:t>
      </w:r>
      <w:r w:rsidRPr="00E13625">
        <w:rPr>
          <w:rFonts w:eastAsia="Times New Roman"/>
        </w:rPr>
        <w:t>.</w:t>
      </w:r>
      <w:r w:rsidR="00E13625">
        <w:rPr>
          <w:rFonts w:eastAsia="Times New Roman"/>
        </w:rPr>
        <w:t xml:space="preserve"> Significantly, as discussed below, step 1 and step 2 of this preliminary decarbonization analysis, resulted in the same least cost baseline portfolio.</w:t>
      </w:r>
    </w:p>
    <w:p w14:paraId="13BA0CD6" w14:textId="638B1813" w:rsidR="00405563" w:rsidRDefault="00405563" w:rsidP="00EF5BBB">
      <w:pPr>
        <w:pStyle w:val="ListParagraph"/>
        <w:spacing w:after="0" w:line="276" w:lineRule="auto"/>
        <w:ind w:left="0"/>
        <w:contextualSpacing w:val="0"/>
        <w:jc w:val="both"/>
        <w:rPr>
          <w:rFonts w:ascii="Times New Roman" w:eastAsia="Times New Roman" w:hAnsi="Times New Roman"/>
          <w:sz w:val="24"/>
        </w:rPr>
      </w:pPr>
    </w:p>
    <w:p w14:paraId="6A2782CB" w14:textId="08D1832F" w:rsidR="00405563" w:rsidRDefault="00405563" w:rsidP="00EF5BBB">
      <w:pPr>
        <w:pStyle w:val="ListParagraph"/>
        <w:spacing w:after="0" w:line="276" w:lineRule="auto"/>
        <w:ind w:left="0"/>
        <w:contextualSpacing w:val="0"/>
        <w:jc w:val="both"/>
        <w:rPr>
          <w:rFonts w:ascii="Times New Roman" w:eastAsia="Times New Roman" w:hAnsi="Times New Roman"/>
          <w:sz w:val="24"/>
        </w:rPr>
      </w:pPr>
    </w:p>
    <w:p w14:paraId="68A268F4" w14:textId="28DB7D1C" w:rsidR="00405563" w:rsidRDefault="00405563" w:rsidP="00EF5BBB">
      <w:pPr>
        <w:pStyle w:val="ListParagraph"/>
        <w:spacing w:after="0" w:line="276" w:lineRule="auto"/>
        <w:ind w:left="0"/>
        <w:contextualSpacing w:val="0"/>
        <w:jc w:val="both"/>
        <w:rPr>
          <w:rFonts w:ascii="Times New Roman" w:eastAsia="Times New Roman" w:hAnsi="Times New Roman"/>
          <w:sz w:val="24"/>
        </w:rPr>
      </w:pPr>
    </w:p>
    <w:p w14:paraId="7CE2F342" w14:textId="299B33DF" w:rsidR="00405563" w:rsidRDefault="00405563" w:rsidP="00EF5BBB">
      <w:pPr>
        <w:pStyle w:val="ListParagraph"/>
        <w:spacing w:after="0" w:line="276" w:lineRule="auto"/>
        <w:ind w:left="0"/>
        <w:contextualSpacing w:val="0"/>
        <w:jc w:val="both"/>
        <w:rPr>
          <w:rFonts w:ascii="Times New Roman" w:eastAsia="Times New Roman" w:hAnsi="Times New Roman"/>
          <w:sz w:val="24"/>
        </w:rPr>
      </w:pPr>
    </w:p>
    <w:p w14:paraId="4221C675" w14:textId="24C7452E" w:rsidR="00405563" w:rsidRDefault="00405563" w:rsidP="00EF5BBB">
      <w:pPr>
        <w:pStyle w:val="ListParagraph"/>
        <w:spacing w:after="0" w:line="276" w:lineRule="auto"/>
        <w:ind w:left="0"/>
        <w:contextualSpacing w:val="0"/>
        <w:jc w:val="both"/>
        <w:rPr>
          <w:rFonts w:ascii="Times New Roman" w:eastAsia="Times New Roman" w:hAnsi="Times New Roman"/>
          <w:sz w:val="24"/>
        </w:rPr>
      </w:pPr>
    </w:p>
    <w:p w14:paraId="0BB5C4EA" w14:textId="574FF842" w:rsidR="00405563" w:rsidRDefault="00405563" w:rsidP="00EF5BBB">
      <w:pPr>
        <w:pStyle w:val="ListParagraph"/>
        <w:spacing w:after="0" w:line="276" w:lineRule="auto"/>
        <w:ind w:left="0"/>
        <w:contextualSpacing w:val="0"/>
        <w:jc w:val="both"/>
        <w:rPr>
          <w:rFonts w:ascii="Times New Roman" w:eastAsia="Times New Roman" w:hAnsi="Times New Roman"/>
          <w:sz w:val="24"/>
        </w:rPr>
      </w:pPr>
    </w:p>
    <w:p w14:paraId="053AF285" w14:textId="77777777" w:rsidR="00480265" w:rsidRDefault="00480265" w:rsidP="00480265">
      <w:pPr>
        <w:spacing w:after="160" w:line="259" w:lineRule="auto"/>
        <w:jc w:val="center"/>
        <w:rPr>
          <w:rFonts w:eastAsia="Times New Roman"/>
          <w:b/>
          <w:bCs/>
        </w:rPr>
      </w:pPr>
      <w:r>
        <w:rPr>
          <w:rFonts w:eastAsia="Times New Roman"/>
          <w:b/>
          <w:bCs/>
        </w:rPr>
        <w:lastRenderedPageBreak/>
        <w:t>Table 12.  Decarbonization Scenarios Modeled in Resolve</w:t>
      </w:r>
    </w:p>
    <w:p w14:paraId="3C5B95B3" w14:textId="2714366F" w:rsidR="00EF5BBB" w:rsidRPr="00CB2CB5" w:rsidRDefault="00EF5BBB" w:rsidP="00EF5BBB">
      <w:pPr>
        <w:pStyle w:val="ListParagraph"/>
        <w:spacing w:after="0" w:line="276" w:lineRule="auto"/>
        <w:ind w:left="0"/>
        <w:contextualSpacing w:val="0"/>
        <w:jc w:val="both"/>
        <w:rPr>
          <w:rFonts w:ascii="Times New Roman" w:eastAsia="Times New Roman" w:hAnsi="Times New Roman"/>
          <w:sz w:val="24"/>
        </w:rPr>
      </w:pPr>
    </w:p>
    <w:tbl>
      <w:tblPr>
        <w:tblW w:w="9170" w:type="dxa"/>
        <w:tblCellMar>
          <w:left w:w="0" w:type="dxa"/>
          <w:right w:w="0" w:type="dxa"/>
        </w:tblCellMar>
        <w:tblLook w:val="0600" w:firstRow="0" w:lastRow="0" w:firstColumn="0" w:lastColumn="0" w:noHBand="1" w:noVBand="1"/>
      </w:tblPr>
      <w:tblGrid>
        <w:gridCol w:w="1821"/>
        <w:gridCol w:w="4152"/>
        <w:gridCol w:w="1375"/>
        <w:gridCol w:w="1822"/>
      </w:tblGrid>
      <w:tr w:rsidR="00EF5BBB" w:rsidRPr="003D6A1D" w14:paraId="62C41BE3" w14:textId="77777777" w:rsidTr="00460053">
        <w:trPr>
          <w:trHeight w:val="717"/>
        </w:trPr>
        <w:tc>
          <w:tcPr>
            <w:tcW w:w="1859" w:type="dxa"/>
            <w:tcBorders>
              <w:top w:val="single" w:sz="8" w:space="0" w:color="FFFFFF"/>
              <w:left w:val="single" w:sz="8" w:space="0" w:color="FFFFFF"/>
              <w:bottom w:val="single" w:sz="8" w:space="0" w:color="FFFFFF"/>
              <w:right w:val="single" w:sz="8" w:space="0" w:color="FFFFFF"/>
            </w:tcBorders>
            <w:shd w:val="clear" w:color="auto" w:fill="0054BB"/>
            <w:tcMar>
              <w:top w:w="72" w:type="dxa"/>
              <w:left w:w="144" w:type="dxa"/>
              <w:bottom w:w="72" w:type="dxa"/>
              <w:right w:w="144" w:type="dxa"/>
            </w:tcMar>
            <w:vAlign w:val="center"/>
            <w:hideMark/>
          </w:tcPr>
          <w:p w14:paraId="208AC075"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b/>
                <w:bCs/>
                <w:color w:val="FFFFFF" w:themeColor="background1"/>
                <w:kern w:val="24"/>
              </w:rPr>
              <w:t>PORTFOLIO NAME</w:t>
            </w:r>
          </w:p>
        </w:tc>
        <w:tc>
          <w:tcPr>
            <w:tcW w:w="4791" w:type="dxa"/>
            <w:tcBorders>
              <w:top w:val="single" w:sz="8" w:space="0" w:color="FFFFFF"/>
              <w:left w:val="single" w:sz="8" w:space="0" w:color="FFFFFF"/>
              <w:bottom w:val="single" w:sz="8" w:space="0" w:color="FFFFFF"/>
              <w:right w:val="single" w:sz="8" w:space="0" w:color="FFFFFF"/>
            </w:tcBorders>
            <w:shd w:val="clear" w:color="auto" w:fill="0054BB"/>
            <w:tcMar>
              <w:top w:w="72" w:type="dxa"/>
              <w:left w:w="144" w:type="dxa"/>
              <w:bottom w:w="72" w:type="dxa"/>
              <w:right w:w="144" w:type="dxa"/>
            </w:tcMar>
            <w:vAlign w:val="center"/>
            <w:hideMark/>
          </w:tcPr>
          <w:p w14:paraId="06060679"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b/>
                <w:bCs/>
                <w:color w:val="FFFFFF" w:themeColor="background1"/>
                <w:kern w:val="24"/>
              </w:rPr>
              <w:t>PORTFOLIO DESCRIPTION</w:t>
            </w:r>
          </w:p>
        </w:tc>
        <w:tc>
          <w:tcPr>
            <w:tcW w:w="1440" w:type="dxa"/>
            <w:tcBorders>
              <w:top w:val="single" w:sz="8" w:space="0" w:color="FFFFFF"/>
              <w:left w:val="single" w:sz="8" w:space="0" w:color="FFFFFF"/>
              <w:bottom w:val="single" w:sz="8" w:space="0" w:color="FFFFFF"/>
              <w:right w:val="single" w:sz="8" w:space="0" w:color="FFFFFF"/>
            </w:tcBorders>
            <w:shd w:val="clear" w:color="auto" w:fill="0054BB"/>
            <w:tcMar>
              <w:top w:w="72" w:type="dxa"/>
              <w:left w:w="144" w:type="dxa"/>
              <w:bottom w:w="72" w:type="dxa"/>
              <w:right w:w="144" w:type="dxa"/>
            </w:tcMar>
            <w:vAlign w:val="center"/>
            <w:hideMark/>
          </w:tcPr>
          <w:p w14:paraId="30330BC0"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Calibri" w:eastAsia="Times New Roman" w:hAnsi="Calibri" w:cs="Calibri"/>
                <w:b/>
                <w:bCs/>
                <w:color w:val="FFFFFF" w:themeColor="background1"/>
                <w:kern w:val="24"/>
              </w:rPr>
              <w:t>CARBON FREE (%)</w:t>
            </w:r>
          </w:p>
        </w:tc>
        <w:tc>
          <w:tcPr>
            <w:tcW w:w="1080" w:type="dxa"/>
            <w:tcBorders>
              <w:top w:val="single" w:sz="8" w:space="0" w:color="FFFFFF"/>
              <w:left w:val="single" w:sz="8" w:space="0" w:color="FFFFFF"/>
              <w:bottom w:val="single" w:sz="8" w:space="0" w:color="FFFFFF"/>
              <w:right w:val="single" w:sz="8" w:space="0" w:color="FFFFFF"/>
            </w:tcBorders>
            <w:shd w:val="clear" w:color="auto" w:fill="0054BB"/>
            <w:tcMar>
              <w:top w:w="72" w:type="dxa"/>
              <w:left w:w="144" w:type="dxa"/>
              <w:bottom w:w="72" w:type="dxa"/>
              <w:right w:w="144" w:type="dxa"/>
            </w:tcMar>
            <w:vAlign w:val="center"/>
            <w:hideMark/>
          </w:tcPr>
          <w:p w14:paraId="31569CA4"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b/>
                <w:bCs/>
                <w:color w:val="FFFFFF" w:themeColor="background1"/>
                <w:kern w:val="24"/>
              </w:rPr>
              <w:t>RENEWABLE (%)</w:t>
            </w:r>
          </w:p>
        </w:tc>
      </w:tr>
      <w:tr w:rsidR="00EF5BBB" w:rsidRPr="003D6A1D" w14:paraId="167D90D9" w14:textId="77777777" w:rsidTr="00460053">
        <w:trPr>
          <w:trHeight w:val="391"/>
        </w:trPr>
        <w:tc>
          <w:tcPr>
            <w:tcW w:w="185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186ECB47"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Lowest Cost</w:t>
            </w:r>
          </w:p>
        </w:tc>
        <w:tc>
          <w:tcPr>
            <w:tcW w:w="479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6D792746"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Meets State RPS</w:t>
            </w:r>
          </w:p>
        </w:tc>
        <w:tc>
          <w:tcPr>
            <w:tcW w:w="144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5BE4A961"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74</w:t>
            </w:r>
          </w:p>
        </w:tc>
        <w:tc>
          <w:tcPr>
            <w:tcW w:w="108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6E42DF4D"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34</w:t>
            </w:r>
          </w:p>
        </w:tc>
      </w:tr>
      <w:tr w:rsidR="00EF5BBB" w:rsidRPr="003D6A1D" w14:paraId="206D8D9F" w14:textId="77777777" w:rsidTr="00460053">
        <w:trPr>
          <w:trHeight w:val="391"/>
        </w:trPr>
        <w:tc>
          <w:tcPr>
            <w:tcW w:w="185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6A2AA2AE"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20%</w:t>
            </w:r>
          </w:p>
        </w:tc>
        <w:tc>
          <w:tcPr>
            <w:tcW w:w="479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00AFE2DA"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20% Carbon Emission Reduction by 2040</w:t>
            </w:r>
          </w:p>
        </w:tc>
        <w:tc>
          <w:tcPr>
            <w:tcW w:w="144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769E7F69"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79</w:t>
            </w:r>
          </w:p>
        </w:tc>
        <w:tc>
          <w:tcPr>
            <w:tcW w:w="108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398AE485"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40</w:t>
            </w:r>
          </w:p>
        </w:tc>
      </w:tr>
      <w:tr w:rsidR="00EF5BBB" w:rsidRPr="003D6A1D" w14:paraId="4F39F1ED" w14:textId="77777777" w:rsidTr="00460053">
        <w:trPr>
          <w:trHeight w:val="391"/>
        </w:trPr>
        <w:tc>
          <w:tcPr>
            <w:tcW w:w="185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25DED54B"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40%</w:t>
            </w:r>
          </w:p>
        </w:tc>
        <w:tc>
          <w:tcPr>
            <w:tcW w:w="479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70A9717D"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40% Carbon Emission Reduction by 2040</w:t>
            </w:r>
          </w:p>
        </w:tc>
        <w:tc>
          <w:tcPr>
            <w:tcW w:w="144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2F73C10C"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84</w:t>
            </w:r>
          </w:p>
        </w:tc>
        <w:tc>
          <w:tcPr>
            <w:tcW w:w="108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06C1ADEC"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44</w:t>
            </w:r>
          </w:p>
        </w:tc>
      </w:tr>
      <w:tr w:rsidR="00EF5BBB" w:rsidRPr="003D6A1D" w14:paraId="45D53C3B" w14:textId="77777777" w:rsidTr="00460053">
        <w:trPr>
          <w:trHeight w:val="391"/>
        </w:trPr>
        <w:tc>
          <w:tcPr>
            <w:tcW w:w="185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7D02FDF7"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60%</w:t>
            </w:r>
          </w:p>
        </w:tc>
        <w:tc>
          <w:tcPr>
            <w:tcW w:w="479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76D5EA02"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60% Carbon Emission Reduction by 2040</w:t>
            </w:r>
          </w:p>
        </w:tc>
        <w:tc>
          <w:tcPr>
            <w:tcW w:w="144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077F438B"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89</w:t>
            </w:r>
          </w:p>
        </w:tc>
        <w:tc>
          <w:tcPr>
            <w:tcW w:w="108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384EE5DE"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49</w:t>
            </w:r>
          </w:p>
        </w:tc>
      </w:tr>
      <w:tr w:rsidR="00EF5BBB" w:rsidRPr="003D6A1D" w14:paraId="3F832CC6" w14:textId="77777777" w:rsidTr="00460053">
        <w:trPr>
          <w:trHeight w:val="391"/>
        </w:trPr>
        <w:tc>
          <w:tcPr>
            <w:tcW w:w="185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20748152"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80%</w:t>
            </w:r>
          </w:p>
        </w:tc>
        <w:tc>
          <w:tcPr>
            <w:tcW w:w="479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3091F11F"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80% Carbon Emission Reduction by 2040</w:t>
            </w:r>
          </w:p>
        </w:tc>
        <w:tc>
          <w:tcPr>
            <w:tcW w:w="144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69DBECEE"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94</w:t>
            </w:r>
          </w:p>
        </w:tc>
        <w:tc>
          <w:tcPr>
            <w:tcW w:w="108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351D48EB"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55</w:t>
            </w:r>
          </w:p>
        </w:tc>
      </w:tr>
      <w:tr w:rsidR="00EF5BBB" w:rsidRPr="003D6A1D" w14:paraId="2E403187" w14:textId="77777777" w:rsidTr="00460053">
        <w:trPr>
          <w:trHeight w:val="553"/>
        </w:trPr>
        <w:tc>
          <w:tcPr>
            <w:tcW w:w="185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265973C2"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90%</w:t>
            </w:r>
          </w:p>
        </w:tc>
        <w:tc>
          <w:tcPr>
            <w:tcW w:w="479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50BAAC6C"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90% Carbon Emission Reduction by 2040</w:t>
            </w:r>
          </w:p>
        </w:tc>
        <w:tc>
          <w:tcPr>
            <w:tcW w:w="144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247587FF"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97</w:t>
            </w:r>
          </w:p>
        </w:tc>
        <w:tc>
          <w:tcPr>
            <w:tcW w:w="108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4BEF1688"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58</w:t>
            </w:r>
          </w:p>
        </w:tc>
      </w:tr>
      <w:tr w:rsidR="00EF5BBB" w:rsidRPr="003D6A1D" w14:paraId="7C1520BE" w14:textId="77777777" w:rsidTr="00460053">
        <w:trPr>
          <w:trHeight w:val="782"/>
        </w:trPr>
        <w:tc>
          <w:tcPr>
            <w:tcW w:w="185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6FB8E4E0"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100% H2</w:t>
            </w:r>
          </w:p>
        </w:tc>
        <w:tc>
          <w:tcPr>
            <w:tcW w:w="479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2331679A"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100% Carbon Emission Reduction by 2040 with Hydrogen Fuel</w:t>
            </w:r>
          </w:p>
        </w:tc>
        <w:tc>
          <w:tcPr>
            <w:tcW w:w="144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39604D19"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100</w:t>
            </w:r>
          </w:p>
        </w:tc>
        <w:tc>
          <w:tcPr>
            <w:tcW w:w="108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3E7A7CDE"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59</w:t>
            </w:r>
          </w:p>
        </w:tc>
      </w:tr>
      <w:tr w:rsidR="00EF5BBB" w:rsidRPr="003D6A1D" w14:paraId="22301CE5" w14:textId="77777777" w:rsidTr="00460053">
        <w:trPr>
          <w:trHeight w:val="391"/>
        </w:trPr>
        <w:tc>
          <w:tcPr>
            <w:tcW w:w="1859"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51961FE5"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No New CT</w:t>
            </w:r>
          </w:p>
        </w:tc>
        <w:tc>
          <w:tcPr>
            <w:tcW w:w="479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07526C3C"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No New Combustion Turbines after 2024</w:t>
            </w:r>
          </w:p>
        </w:tc>
        <w:tc>
          <w:tcPr>
            <w:tcW w:w="144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000EFDB0"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94</w:t>
            </w:r>
          </w:p>
        </w:tc>
        <w:tc>
          <w:tcPr>
            <w:tcW w:w="1080"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vAlign w:val="center"/>
            <w:hideMark/>
          </w:tcPr>
          <w:p w14:paraId="5A26EBC7"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55</w:t>
            </w:r>
          </w:p>
        </w:tc>
      </w:tr>
      <w:tr w:rsidR="00EF5BBB" w:rsidRPr="003D6A1D" w14:paraId="3C244977" w14:textId="77777777" w:rsidTr="00460053">
        <w:trPr>
          <w:trHeight w:val="802"/>
        </w:trPr>
        <w:tc>
          <w:tcPr>
            <w:tcW w:w="1859"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2AD13803"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b/>
                <w:bCs/>
                <w:color w:val="000000" w:themeColor="dark1"/>
                <w:kern w:val="24"/>
              </w:rPr>
              <w:t>100% No CT</w:t>
            </w:r>
          </w:p>
        </w:tc>
        <w:tc>
          <w:tcPr>
            <w:tcW w:w="479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375E951F" w14:textId="77777777" w:rsidR="00EF5BBB" w:rsidRPr="003D6A1D" w:rsidRDefault="00EF5BBB" w:rsidP="00460053">
            <w:pPr>
              <w:spacing w:line="240" w:lineRule="auto"/>
              <w:jc w:val="left"/>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100% Carbon Emission Reduction by 2040 with Only Renewables (Existing Nuclear)</w:t>
            </w:r>
          </w:p>
        </w:tc>
        <w:tc>
          <w:tcPr>
            <w:tcW w:w="144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428B8B6C"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100</w:t>
            </w:r>
          </w:p>
        </w:tc>
        <w:tc>
          <w:tcPr>
            <w:tcW w:w="1080"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vAlign w:val="center"/>
            <w:hideMark/>
          </w:tcPr>
          <w:p w14:paraId="7E707ACF" w14:textId="77777777" w:rsidR="00EF5BBB" w:rsidRPr="003D6A1D" w:rsidRDefault="00EF5BBB" w:rsidP="00460053">
            <w:pPr>
              <w:spacing w:line="240" w:lineRule="auto"/>
              <w:jc w:val="center"/>
              <w:textAlignment w:val="bottom"/>
              <w:rPr>
                <w:rFonts w:ascii="Arial" w:eastAsia="Times New Roman" w:hAnsi="Arial" w:cs="Arial"/>
                <w:color w:val="auto"/>
                <w:sz w:val="36"/>
                <w:szCs w:val="36"/>
              </w:rPr>
            </w:pPr>
            <w:r w:rsidRPr="003D6A1D">
              <w:rPr>
                <w:rFonts w:ascii="Arial" w:eastAsia="Times New Roman" w:hAnsi="Arial" w:cs="Arial"/>
                <w:color w:val="000000" w:themeColor="dark1"/>
                <w:kern w:val="24"/>
              </w:rPr>
              <w:t>61</w:t>
            </w:r>
          </w:p>
        </w:tc>
      </w:tr>
    </w:tbl>
    <w:p w14:paraId="57233438" w14:textId="77777777" w:rsidR="00EF5BBB" w:rsidRDefault="00EF5BBB" w:rsidP="00EF5BBB">
      <w:pPr>
        <w:pStyle w:val="ListParagraph"/>
        <w:spacing w:after="0" w:line="276" w:lineRule="auto"/>
        <w:ind w:left="0"/>
        <w:contextualSpacing w:val="0"/>
        <w:jc w:val="both"/>
        <w:rPr>
          <w:rFonts w:ascii="Times New Roman" w:eastAsia="Times New Roman" w:hAnsi="Times New Roman"/>
          <w:sz w:val="24"/>
        </w:rPr>
      </w:pPr>
    </w:p>
    <w:p w14:paraId="0C0C2A3D" w14:textId="77777777" w:rsidR="00491E9E" w:rsidRPr="00C8719E" w:rsidRDefault="00491E9E" w:rsidP="00C8719E">
      <w:pPr>
        <w:spacing w:after="160" w:line="259" w:lineRule="auto"/>
        <w:jc w:val="center"/>
        <w:rPr>
          <w:rFonts w:eastAsia="Times New Roman"/>
          <w:b/>
          <w:bCs/>
        </w:rPr>
      </w:pPr>
    </w:p>
    <w:p w14:paraId="4DE48CCA" w14:textId="61FE6609" w:rsidR="00EF5BBB" w:rsidRDefault="00EF5BBB"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t xml:space="preserve">The specific </w:t>
      </w:r>
      <w:r w:rsidR="00E13625">
        <w:rPr>
          <w:rFonts w:ascii="Times New Roman" w:eastAsia="Times New Roman" w:hAnsi="Times New Roman"/>
          <w:sz w:val="24"/>
        </w:rPr>
        <w:t>scenario</w:t>
      </w:r>
      <w:r>
        <w:rPr>
          <w:rFonts w:ascii="Times New Roman" w:eastAsia="Times New Roman" w:hAnsi="Times New Roman"/>
          <w:sz w:val="24"/>
        </w:rPr>
        <w:t xml:space="preserve"> details</w:t>
      </w:r>
      <w:r w:rsidR="009C45BC">
        <w:rPr>
          <w:rFonts w:ascii="Times New Roman" w:eastAsia="Times New Roman" w:hAnsi="Times New Roman"/>
          <w:sz w:val="24"/>
        </w:rPr>
        <w:t xml:space="preserve"> are set forth</w:t>
      </w:r>
      <w:r>
        <w:rPr>
          <w:rFonts w:ascii="Times New Roman" w:eastAsia="Times New Roman" w:hAnsi="Times New Roman"/>
          <w:sz w:val="24"/>
        </w:rPr>
        <w:t xml:space="preserve"> in </w:t>
      </w:r>
      <w:r w:rsidR="000B4F9B">
        <w:rPr>
          <w:rFonts w:ascii="Times New Roman" w:eastAsia="Times New Roman" w:hAnsi="Times New Roman"/>
          <w:sz w:val="24"/>
        </w:rPr>
        <w:t>E3’s EPE Report</w:t>
      </w:r>
      <w:r>
        <w:rPr>
          <w:rFonts w:ascii="Times New Roman" w:eastAsia="Times New Roman" w:hAnsi="Times New Roman"/>
          <w:sz w:val="24"/>
        </w:rPr>
        <w:t xml:space="preserve">.  </w:t>
      </w:r>
      <w:r w:rsidR="00491E9E">
        <w:rPr>
          <w:rFonts w:ascii="Times New Roman" w:eastAsia="Times New Roman" w:hAnsi="Times New Roman"/>
          <w:sz w:val="24"/>
        </w:rPr>
        <w:t>Figure 1</w:t>
      </w:r>
      <w:r w:rsidR="00480265">
        <w:rPr>
          <w:rFonts w:ascii="Times New Roman" w:eastAsia="Times New Roman" w:hAnsi="Times New Roman"/>
          <w:sz w:val="24"/>
        </w:rPr>
        <w:t>3</w:t>
      </w:r>
      <w:r w:rsidR="00491E9E">
        <w:rPr>
          <w:rFonts w:ascii="Times New Roman" w:eastAsia="Times New Roman" w:hAnsi="Times New Roman"/>
          <w:sz w:val="24"/>
        </w:rPr>
        <w:t xml:space="preserve"> below</w:t>
      </w:r>
      <w:r>
        <w:rPr>
          <w:rFonts w:ascii="Times New Roman" w:eastAsia="Times New Roman" w:hAnsi="Times New Roman"/>
          <w:sz w:val="24"/>
        </w:rPr>
        <w:t xml:space="preserve"> </w:t>
      </w:r>
      <w:r w:rsidR="00F12E72">
        <w:rPr>
          <w:rFonts w:ascii="Times New Roman" w:eastAsia="Times New Roman" w:hAnsi="Times New Roman"/>
          <w:sz w:val="24"/>
        </w:rPr>
        <w:t>shows</w:t>
      </w:r>
      <w:r>
        <w:rPr>
          <w:rFonts w:ascii="Times New Roman" w:eastAsia="Times New Roman" w:hAnsi="Times New Roman"/>
          <w:sz w:val="24"/>
        </w:rPr>
        <w:t xml:space="preserve"> the </w:t>
      </w:r>
      <w:r w:rsidR="00CD22C0">
        <w:rPr>
          <w:rFonts w:ascii="Times New Roman" w:eastAsia="Times New Roman" w:hAnsi="Times New Roman"/>
          <w:sz w:val="24"/>
        </w:rPr>
        <w:t>additional nameplate capacity in 2040</w:t>
      </w:r>
      <w:r>
        <w:rPr>
          <w:rFonts w:ascii="Times New Roman" w:eastAsia="Times New Roman" w:hAnsi="Times New Roman"/>
          <w:sz w:val="24"/>
        </w:rPr>
        <w:t xml:space="preserve"> </w:t>
      </w:r>
      <w:r w:rsidR="006A2CC5">
        <w:rPr>
          <w:rFonts w:ascii="Times New Roman" w:eastAsia="Times New Roman" w:hAnsi="Times New Roman"/>
          <w:sz w:val="24"/>
        </w:rPr>
        <w:t>for each</w:t>
      </w:r>
      <w:r>
        <w:rPr>
          <w:rFonts w:ascii="Times New Roman" w:eastAsia="Times New Roman" w:hAnsi="Times New Roman"/>
          <w:sz w:val="24"/>
        </w:rPr>
        <w:t xml:space="preserve"> corresponding portfolio cost (excluding grid reliability costs) for each respective</w:t>
      </w:r>
      <w:r w:rsidR="009C45BC">
        <w:rPr>
          <w:rFonts w:ascii="Times New Roman" w:eastAsia="Times New Roman" w:hAnsi="Times New Roman"/>
          <w:sz w:val="24"/>
        </w:rPr>
        <w:t xml:space="preserve"> scenario analyzed</w:t>
      </w:r>
      <w:r>
        <w:rPr>
          <w:rFonts w:ascii="Times New Roman" w:eastAsia="Times New Roman" w:hAnsi="Times New Roman"/>
          <w:sz w:val="24"/>
        </w:rPr>
        <w:t xml:space="preserve">.  </w:t>
      </w:r>
    </w:p>
    <w:p w14:paraId="53F9F06E" w14:textId="77777777" w:rsidR="00EF5BBB" w:rsidRDefault="00EF5BBB" w:rsidP="00EF5BBB">
      <w:pPr>
        <w:pStyle w:val="ListParagraph"/>
        <w:spacing w:after="0" w:line="276" w:lineRule="auto"/>
        <w:ind w:left="0"/>
        <w:contextualSpacing w:val="0"/>
        <w:jc w:val="both"/>
        <w:rPr>
          <w:rFonts w:ascii="Times New Roman" w:eastAsia="Times New Roman" w:hAnsi="Times New Roman"/>
          <w:sz w:val="24"/>
        </w:rPr>
      </w:pPr>
    </w:p>
    <w:p w14:paraId="36899E01" w14:textId="77777777" w:rsidR="00EF5BBB" w:rsidRDefault="00EF5BBB"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14:anchorId="3FF41229" wp14:editId="116993FA">
            <wp:extent cx="5943600" cy="274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45600"/>
                    </a:xfrm>
                    <a:prstGeom prst="rect">
                      <a:avLst/>
                    </a:prstGeom>
                    <a:noFill/>
                  </pic:spPr>
                </pic:pic>
              </a:graphicData>
            </a:graphic>
          </wp:inline>
        </w:drawing>
      </w:r>
    </w:p>
    <w:p w14:paraId="587F515F" w14:textId="53D2B544" w:rsidR="00EF5BBB" w:rsidRPr="00491E9E" w:rsidRDefault="00491E9E" w:rsidP="00491E9E">
      <w:pPr>
        <w:pStyle w:val="ListParagraph"/>
        <w:spacing w:after="0" w:line="276" w:lineRule="auto"/>
        <w:ind w:left="0"/>
        <w:contextualSpacing w:val="0"/>
        <w:jc w:val="center"/>
        <w:rPr>
          <w:rFonts w:ascii="Times New Roman" w:eastAsia="Times New Roman" w:hAnsi="Times New Roman"/>
          <w:b/>
          <w:bCs/>
          <w:sz w:val="24"/>
        </w:rPr>
      </w:pPr>
      <w:r>
        <w:rPr>
          <w:rFonts w:ascii="Times New Roman" w:eastAsia="Times New Roman" w:hAnsi="Times New Roman"/>
          <w:b/>
          <w:bCs/>
          <w:sz w:val="24"/>
        </w:rPr>
        <w:t>Figure 1</w:t>
      </w:r>
      <w:r w:rsidR="00405563">
        <w:rPr>
          <w:rFonts w:ascii="Times New Roman" w:eastAsia="Times New Roman" w:hAnsi="Times New Roman"/>
          <w:b/>
          <w:bCs/>
          <w:sz w:val="24"/>
        </w:rPr>
        <w:t>3</w:t>
      </w:r>
      <w:r>
        <w:rPr>
          <w:rFonts w:ascii="Times New Roman" w:eastAsia="Times New Roman" w:hAnsi="Times New Roman"/>
          <w:b/>
          <w:bCs/>
          <w:sz w:val="24"/>
        </w:rPr>
        <w:t xml:space="preserve">.  </w:t>
      </w:r>
      <w:r w:rsidR="00F12E72">
        <w:rPr>
          <w:rFonts w:ascii="Times New Roman" w:eastAsia="Times New Roman" w:hAnsi="Times New Roman"/>
          <w:b/>
          <w:bCs/>
          <w:sz w:val="24"/>
        </w:rPr>
        <w:t>2040 Capacity Addition by Resource Type with Cost Impact</w:t>
      </w:r>
    </w:p>
    <w:p w14:paraId="799B30B5" w14:textId="77777777" w:rsidR="00491E9E" w:rsidRDefault="00491E9E" w:rsidP="00EF5BBB">
      <w:pPr>
        <w:pStyle w:val="ListParagraph"/>
        <w:spacing w:after="0" w:line="276" w:lineRule="auto"/>
        <w:ind w:left="0"/>
        <w:contextualSpacing w:val="0"/>
        <w:jc w:val="both"/>
        <w:rPr>
          <w:rFonts w:ascii="Times New Roman" w:eastAsia="Times New Roman" w:hAnsi="Times New Roman"/>
          <w:sz w:val="24"/>
        </w:rPr>
      </w:pPr>
    </w:p>
    <w:p w14:paraId="27618E84" w14:textId="69E355BE" w:rsidR="00EF5BBB" w:rsidRDefault="00EF5BBB"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t>As illustrated by</w:t>
      </w:r>
      <w:r w:rsidR="00491E9E">
        <w:rPr>
          <w:rFonts w:ascii="Times New Roman" w:eastAsia="Times New Roman" w:hAnsi="Times New Roman"/>
          <w:sz w:val="24"/>
        </w:rPr>
        <w:t xml:space="preserve"> Figure 1</w:t>
      </w:r>
      <w:r w:rsidR="00480265">
        <w:rPr>
          <w:rFonts w:ascii="Times New Roman" w:eastAsia="Times New Roman" w:hAnsi="Times New Roman"/>
          <w:sz w:val="24"/>
        </w:rPr>
        <w:t>3</w:t>
      </w:r>
      <w:r>
        <w:rPr>
          <w:rFonts w:ascii="Times New Roman" w:eastAsia="Times New Roman" w:hAnsi="Times New Roman"/>
          <w:sz w:val="24"/>
        </w:rPr>
        <w:t xml:space="preserve">, </w:t>
      </w:r>
      <w:r w:rsidR="009526B5">
        <w:rPr>
          <w:rFonts w:ascii="Times New Roman" w:eastAsia="Times New Roman" w:hAnsi="Times New Roman"/>
          <w:sz w:val="24"/>
        </w:rPr>
        <w:t>increased</w:t>
      </w:r>
      <w:r>
        <w:rPr>
          <w:rFonts w:ascii="Times New Roman" w:eastAsia="Times New Roman" w:hAnsi="Times New Roman"/>
          <w:sz w:val="24"/>
        </w:rPr>
        <w:t xml:space="preserve"> decarbonization and renewable integration results in </w:t>
      </w:r>
      <w:r w:rsidR="009526B5">
        <w:rPr>
          <w:rFonts w:ascii="Times New Roman" w:eastAsia="Times New Roman" w:hAnsi="Times New Roman"/>
          <w:sz w:val="24"/>
        </w:rPr>
        <w:t>increased</w:t>
      </w:r>
      <w:r>
        <w:rPr>
          <w:rFonts w:ascii="Times New Roman" w:eastAsia="Times New Roman" w:hAnsi="Times New Roman"/>
          <w:sz w:val="24"/>
        </w:rPr>
        <w:t xml:space="preserve"> cost.  More importantly, note the </w:t>
      </w:r>
      <w:r w:rsidR="009C45BC">
        <w:rPr>
          <w:rFonts w:ascii="Times New Roman" w:eastAsia="Times New Roman" w:hAnsi="Times New Roman"/>
          <w:sz w:val="24"/>
        </w:rPr>
        <w:t xml:space="preserve">cost </w:t>
      </w:r>
      <w:r>
        <w:rPr>
          <w:rFonts w:ascii="Times New Roman" w:eastAsia="Times New Roman" w:hAnsi="Times New Roman"/>
          <w:sz w:val="24"/>
        </w:rPr>
        <w:t>differen</w:t>
      </w:r>
      <w:r w:rsidR="00CA2538">
        <w:rPr>
          <w:rFonts w:ascii="Times New Roman" w:eastAsia="Times New Roman" w:hAnsi="Times New Roman"/>
          <w:sz w:val="24"/>
        </w:rPr>
        <w:t>ce for the two</w:t>
      </w:r>
      <w:r>
        <w:rPr>
          <w:rFonts w:ascii="Times New Roman" w:eastAsia="Times New Roman" w:hAnsi="Times New Roman"/>
          <w:sz w:val="24"/>
        </w:rPr>
        <w:t xml:space="preserve"> 100 percent carbon free</w:t>
      </w:r>
      <w:r w:rsidR="00CA2538">
        <w:rPr>
          <w:rFonts w:ascii="Times New Roman" w:eastAsia="Times New Roman" w:hAnsi="Times New Roman"/>
          <w:sz w:val="24"/>
        </w:rPr>
        <w:t xml:space="preserve"> scenarios</w:t>
      </w:r>
      <w:r>
        <w:rPr>
          <w:rFonts w:ascii="Times New Roman" w:eastAsia="Times New Roman" w:hAnsi="Times New Roman"/>
          <w:sz w:val="24"/>
        </w:rPr>
        <w:t xml:space="preserve">.  The </w:t>
      </w:r>
      <w:r w:rsidR="00CA2538">
        <w:rPr>
          <w:rFonts w:ascii="Times New Roman" w:eastAsia="Times New Roman" w:hAnsi="Times New Roman"/>
          <w:sz w:val="24"/>
        </w:rPr>
        <w:t xml:space="preserve">100% </w:t>
      </w:r>
      <w:r w:rsidR="005C73FE">
        <w:rPr>
          <w:rFonts w:ascii="Times New Roman" w:eastAsia="Times New Roman" w:hAnsi="Times New Roman"/>
          <w:sz w:val="24"/>
        </w:rPr>
        <w:t>N</w:t>
      </w:r>
      <w:r w:rsidR="00CA2538">
        <w:rPr>
          <w:rFonts w:ascii="Times New Roman" w:eastAsia="Times New Roman" w:hAnsi="Times New Roman"/>
          <w:sz w:val="24"/>
        </w:rPr>
        <w:t>o CT scenario</w:t>
      </w:r>
      <w:r>
        <w:rPr>
          <w:rFonts w:ascii="Times New Roman" w:eastAsia="Times New Roman" w:hAnsi="Times New Roman"/>
          <w:sz w:val="24"/>
        </w:rPr>
        <w:t xml:space="preserve"> which </w:t>
      </w:r>
      <w:r w:rsidR="00CA2538">
        <w:rPr>
          <w:rFonts w:ascii="Times New Roman" w:eastAsia="Times New Roman" w:hAnsi="Times New Roman"/>
          <w:sz w:val="24"/>
        </w:rPr>
        <w:t xml:space="preserve">does not include </w:t>
      </w:r>
      <w:r>
        <w:rPr>
          <w:rFonts w:ascii="Times New Roman" w:eastAsia="Times New Roman" w:hAnsi="Times New Roman"/>
          <w:sz w:val="24"/>
        </w:rPr>
        <w:t>combustion turbines, whether gas or hydrogen fueled, results in a significantly greater cost</w:t>
      </w:r>
      <w:r w:rsidR="00CA2538">
        <w:rPr>
          <w:rFonts w:ascii="Times New Roman" w:eastAsia="Times New Roman" w:hAnsi="Times New Roman"/>
          <w:sz w:val="24"/>
        </w:rPr>
        <w:t xml:space="preserve"> than the 100% H2 scenario.</w:t>
      </w:r>
      <w:r>
        <w:rPr>
          <w:rFonts w:ascii="Times New Roman" w:eastAsia="Times New Roman" w:hAnsi="Times New Roman"/>
          <w:sz w:val="24"/>
        </w:rPr>
        <w:t xml:space="preserve">  This is because significantly greater amounts of renewables and storage </w:t>
      </w:r>
      <w:r w:rsidR="00CD22C0">
        <w:rPr>
          <w:rFonts w:ascii="Times New Roman" w:eastAsia="Times New Roman" w:hAnsi="Times New Roman"/>
          <w:sz w:val="24"/>
        </w:rPr>
        <w:t>are</w:t>
      </w:r>
      <w:r>
        <w:rPr>
          <w:rFonts w:ascii="Times New Roman" w:eastAsia="Times New Roman" w:hAnsi="Times New Roman"/>
          <w:sz w:val="24"/>
        </w:rPr>
        <w:t xml:space="preserve"> required </w:t>
      </w:r>
      <w:r w:rsidR="00A87069">
        <w:rPr>
          <w:rFonts w:ascii="Times New Roman" w:eastAsia="Times New Roman" w:hAnsi="Times New Roman"/>
          <w:sz w:val="24"/>
        </w:rPr>
        <w:t>to</w:t>
      </w:r>
      <w:r>
        <w:rPr>
          <w:rFonts w:ascii="Times New Roman" w:eastAsia="Times New Roman" w:hAnsi="Times New Roman"/>
          <w:sz w:val="24"/>
        </w:rPr>
        <w:t xml:space="preserve"> eliminate the last 10 percent of carbon</w:t>
      </w:r>
      <w:r w:rsidR="00CA2538">
        <w:rPr>
          <w:rFonts w:ascii="Times New Roman" w:eastAsia="Times New Roman" w:hAnsi="Times New Roman"/>
          <w:sz w:val="24"/>
        </w:rPr>
        <w:t xml:space="preserve"> wi</w:t>
      </w:r>
      <w:r w:rsidR="005C73FE">
        <w:rPr>
          <w:rFonts w:ascii="Times New Roman" w:eastAsia="Times New Roman" w:hAnsi="Times New Roman"/>
          <w:sz w:val="24"/>
        </w:rPr>
        <w:t>thout</w:t>
      </w:r>
      <w:r w:rsidR="00E13625">
        <w:rPr>
          <w:rFonts w:ascii="Times New Roman" w:eastAsia="Times New Roman" w:hAnsi="Times New Roman"/>
          <w:sz w:val="24"/>
        </w:rPr>
        <w:t xml:space="preserve"> a transition to </w:t>
      </w:r>
      <w:r w:rsidR="005C73FE">
        <w:rPr>
          <w:rFonts w:ascii="Times New Roman" w:eastAsia="Times New Roman" w:hAnsi="Times New Roman"/>
          <w:sz w:val="24"/>
        </w:rPr>
        <w:t xml:space="preserve">hydrogen fueled </w:t>
      </w:r>
      <w:proofErr w:type="spellStart"/>
      <w:r w:rsidR="005C73FE">
        <w:rPr>
          <w:rFonts w:ascii="Times New Roman" w:eastAsia="Times New Roman" w:hAnsi="Times New Roman"/>
          <w:sz w:val="24"/>
        </w:rPr>
        <w:t>CTs</w:t>
      </w:r>
      <w:proofErr w:type="spellEnd"/>
      <w:r>
        <w:rPr>
          <w:rFonts w:ascii="Times New Roman" w:eastAsia="Times New Roman" w:hAnsi="Times New Roman"/>
          <w:sz w:val="24"/>
        </w:rPr>
        <w:t xml:space="preserve">.  This is an important finding in evaluating options for full decarbonization while considering customer affordability.  Also, noteworthy, is the </w:t>
      </w:r>
      <w:r w:rsidR="00CA2538">
        <w:rPr>
          <w:rFonts w:ascii="Times New Roman" w:eastAsia="Times New Roman" w:hAnsi="Times New Roman"/>
          <w:sz w:val="24"/>
        </w:rPr>
        <w:t>greater cost of the No New CT scenario</w:t>
      </w:r>
      <w:r>
        <w:rPr>
          <w:rFonts w:ascii="Times New Roman" w:eastAsia="Times New Roman" w:hAnsi="Times New Roman"/>
          <w:sz w:val="24"/>
        </w:rPr>
        <w:t xml:space="preserve"> that assumes no new combustion turbines after </w:t>
      </w:r>
      <w:r w:rsidR="00CA2538">
        <w:rPr>
          <w:rFonts w:ascii="Times New Roman" w:eastAsia="Times New Roman" w:hAnsi="Times New Roman"/>
          <w:sz w:val="24"/>
        </w:rPr>
        <w:t xml:space="preserve">2024 or after </w:t>
      </w:r>
      <w:r>
        <w:rPr>
          <w:rFonts w:ascii="Times New Roman" w:eastAsia="Times New Roman" w:hAnsi="Times New Roman"/>
          <w:sz w:val="24"/>
        </w:rPr>
        <w:t>EPE’s Newman Unit 6 planned for 2023.  Th</w:t>
      </w:r>
      <w:r w:rsidR="00CA2538">
        <w:rPr>
          <w:rFonts w:ascii="Times New Roman" w:eastAsia="Times New Roman" w:hAnsi="Times New Roman"/>
          <w:sz w:val="24"/>
        </w:rPr>
        <w:t>ese</w:t>
      </w:r>
      <w:r>
        <w:rPr>
          <w:rFonts w:ascii="Times New Roman" w:eastAsia="Times New Roman" w:hAnsi="Times New Roman"/>
          <w:sz w:val="24"/>
        </w:rPr>
        <w:t xml:space="preserve"> finding</w:t>
      </w:r>
      <w:r w:rsidR="00CA2538">
        <w:rPr>
          <w:rFonts w:ascii="Times New Roman" w:eastAsia="Times New Roman" w:hAnsi="Times New Roman"/>
          <w:sz w:val="24"/>
        </w:rPr>
        <w:t>s</w:t>
      </w:r>
      <w:r>
        <w:rPr>
          <w:rFonts w:ascii="Times New Roman" w:eastAsia="Times New Roman" w:hAnsi="Times New Roman"/>
          <w:sz w:val="24"/>
        </w:rPr>
        <w:t xml:space="preserve"> </w:t>
      </w:r>
      <w:r w:rsidR="00CA2538">
        <w:rPr>
          <w:rFonts w:ascii="Times New Roman" w:eastAsia="Times New Roman" w:hAnsi="Times New Roman"/>
          <w:sz w:val="24"/>
        </w:rPr>
        <w:t>are</w:t>
      </w:r>
      <w:r>
        <w:rPr>
          <w:rFonts w:ascii="Times New Roman" w:eastAsia="Times New Roman" w:hAnsi="Times New Roman"/>
          <w:sz w:val="24"/>
        </w:rPr>
        <w:t xml:space="preserve"> consistent with similar analyses for other regions that </w:t>
      </w:r>
      <w:r w:rsidR="00CA2538">
        <w:rPr>
          <w:rFonts w:ascii="Times New Roman" w:eastAsia="Times New Roman" w:hAnsi="Times New Roman"/>
          <w:sz w:val="24"/>
        </w:rPr>
        <w:t xml:space="preserve">include </w:t>
      </w:r>
      <w:r>
        <w:rPr>
          <w:rFonts w:ascii="Times New Roman" w:eastAsia="Times New Roman" w:hAnsi="Times New Roman"/>
          <w:sz w:val="24"/>
        </w:rPr>
        <w:t xml:space="preserve">combustion turbines </w:t>
      </w:r>
      <w:r w:rsidR="00CA2538">
        <w:rPr>
          <w:rFonts w:ascii="Times New Roman" w:eastAsia="Times New Roman" w:hAnsi="Times New Roman"/>
          <w:sz w:val="24"/>
        </w:rPr>
        <w:t>as</w:t>
      </w:r>
      <w:r>
        <w:rPr>
          <w:rFonts w:ascii="Times New Roman" w:eastAsia="Times New Roman" w:hAnsi="Times New Roman"/>
          <w:sz w:val="24"/>
        </w:rPr>
        <w:t xml:space="preserve"> part of the transition to decarbonization</w:t>
      </w:r>
      <w:r w:rsidR="00700006">
        <w:rPr>
          <w:rFonts w:ascii="Times New Roman" w:eastAsia="Times New Roman" w:hAnsi="Times New Roman"/>
          <w:sz w:val="24"/>
        </w:rPr>
        <w:t xml:space="preserve"> because </w:t>
      </w:r>
      <w:proofErr w:type="spellStart"/>
      <w:r w:rsidR="00E13625">
        <w:rPr>
          <w:rFonts w:ascii="Times New Roman" w:eastAsia="Times New Roman" w:hAnsi="Times New Roman"/>
          <w:sz w:val="24"/>
        </w:rPr>
        <w:t>CTs</w:t>
      </w:r>
      <w:proofErr w:type="spellEnd"/>
      <w:r>
        <w:rPr>
          <w:rFonts w:ascii="Times New Roman" w:eastAsia="Times New Roman" w:hAnsi="Times New Roman"/>
          <w:sz w:val="24"/>
        </w:rPr>
        <w:t xml:space="preserve"> provide needed firm capacity for resource adequacy and grid reliability, even if utilized a</w:t>
      </w:r>
      <w:r w:rsidR="00A87069">
        <w:rPr>
          <w:rFonts w:ascii="Times New Roman" w:eastAsia="Times New Roman" w:hAnsi="Times New Roman"/>
          <w:sz w:val="24"/>
        </w:rPr>
        <w:t>t a</w:t>
      </w:r>
      <w:r>
        <w:rPr>
          <w:rFonts w:ascii="Times New Roman" w:eastAsia="Times New Roman" w:hAnsi="Times New Roman"/>
          <w:sz w:val="24"/>
        </w:rPr>
        <w:t xml:space="preserve"> </w:t>
      </w:r>
      <w:r w:rsidR="00E13625">
        <w:rPr>
          <w:rFonts w:ascii="Times New Roman" w:eastAsia="Times New Roman" w:hAnsi="Times New Roman"/>
          <w:sz w:val="24"/>
        </w:rPr>
        <w:t xml:space="preserve">very </w:t>
      </w:r>
      <w:r>
        <w:rPr>
          <w:rFonts w:ascii="Times New Roman" w:eastAsia="Times New Roman" w:hAnsi="Times New Roman"/>
          <w:sz w:val="24"/>
        </w:rPr>
        <w:t>low capacity factor.  The units may then transition to hydrogen fuel options</w:t>
      </w:r>
      <w:r w:rsidR="004B3889">
        <w:rPr>
          <w:rFonts w:ascii="Times New Roman" w:eastAsia="Times New Roman" w:hAnsi="Times New Roman"/>
          <w:sz w:val="24"/>
        </w:rPr>
        <w:t xml:space="preserve"> as the technology evolves, </w:t>
      </w:r>
      <w:r>
        <w:rPr>
          <w:rFonts w:ascii="Times New Roman" w:eastAsia="Times New Roman" w:hAnsi="Times New Roman"/>
          <w:sz w:val="24"/>
        </w:rPr>
        <w:t xml:space="preserve">which is carbon free.  It is important to note that EPE has not completed </w:t>
      </w:r>
      <w:r w:rsidR="00BD764D">
        <w:rPr>
          <w:rFonts w:ascii="Times New Roman" w:eastAsia="Times New Roman" w:hAnsi="Times New Roman"/>
          <w:sz w:val="24"/>
        </w:rPr>
        <w:t xml:space="preserve">a </w:t>
      </w:r>
      <w:r>
        <w:rPr>
          <w:rFonts w:ascii="Times New Roman" w:eastAsia="Times New Roman" w:hAnsi="Times New Roman"/>
          <w:sz w:val="24"/>
        </w:rPr>
        <w:t xml:space="preserve">grid reliability assessment for a 100 percent carbon free portfolio without combustion turbines.  EPE has assessed an 80 percent carbon free portfolio equivalent and deemed it is viable with </w:t>
      </w:r>
      <w:r w:rsidRPr="004E2B85">
        <w:rPr>
          <w:rFonts w:ascii="Times New Roman" w:eastAsia="Times New Roman" w:hAnsi="Times New Roman"/>
          <w:sz w:val="24"/>
        </w:rPr>
        <w:t>increased transmission infrastructure upgrades.  However,</w:t>
      </w:r>
      <w:r w:rsidR="00700006" w:rsidRPr="004E2B85">
        <w:rPr>
          <w:rFonts w:ascii="Times New Roman" w:eastAsia="Times New Roman" w:hAnsi="Times New Roman"/>
          <w:sz w:val="24"/>
        </w:rPr>
        <w:t xml:space="preserve"> that </w:t>
      </w:r>
      <w:r w:rsidR="004E2B85" w:rsidRPr="004E2B85">
        <w:rPr>
          <w:rFonts w:ascii="Times New Roman" w:eastAsia="Times New Roman" w:hAnsi="Times New Roman"/>
          <w:sz w:val="24"/>
        </w:rPr>
        <w:t>preliminary</w:t>
      </w:r>
      <w:r w:rsidR="00E13625" w:rsidRPr="004E2B85">
        <w:rPr>
          <w:rFonts w:ascii="Times New Roman" w:eastAsia="Times New Roman" w:hAnsi="Times New Roman"/>
          <w:sz w:val="24"/>
        </w:rPr>
        <w:t xml:space="preserve"> </w:t>
      </w:r>
      <w:r w:rsidR="00700006" w:rsidRPr="004E2B85">
        <w:rPr>
          <w:rFonts w:ascii="Times New Roman" w:eastAsia="Times New Roman" w:hAnsi="Times New Roman"/>
          <w:sz w:val="24"/>
        </w:rPr>
        <w:t>study</w:t>
      </w:r>
      <w:r w:rsidR="00E13625" w:rsidRPr="004E2B85">
        <w:rPr>
          <w:rFonts w:ascii="Times New Roman" w:eastAsia="Times New Roman" w:hAnsi="Times New Roman"/>
          <w:sz w:val="24"/>
        </w:rPr>
        <w:t xml:space="preserve"> addressed above in Section </w:t>
      </w:r>
      <w:r w:rsidR="004E2B85" w:rsidRPr="004E2B85">
        <w:rPr>
          <w:rFonts w:ascii="Times New Roman" w:eastAsia="Times New Roman" w:hAnsi="Times New Roman"/>
          <w:sz w:val="24"/>
        </w:rPr>
        <w:t>I</w:t>
      </w:r>
      <w:r w:rsidR="00E13625" w:rsidRPr="004E2B85">
        <w:rPr>
          <w:rFonts w:ascii="Times New Roman" w:eastAsia="Times New Roman" w:hAnsi="Times New Roman"/>
          <w:sz w:val="24"/>
        </w:rPr>
        <w:t>X</w:t>
      </w:r>
      <w:r w:rsidRPr="004E2B85">
        <w:rPr>
          <w:rFonts w:ascii="Times New Roman" w:eastAsia="Times New Roman" w:hAnsi="Times New Roman"/>
          <w:sz w:val="24"/>
        </w:rPr>
        <w:t xml:space="preserve"> encroaches</w:t>
      </w:r>
      <w:r>
        <w:rPr>
          <w:rFonts w:ascii="Times New Roman" w:eastAsia="Times New Roman" w:hAnsi="Times New Roman"/>
          <w:sz w:val="24"/>
        </w:rPr>
        <w:t xml:space="preserve"> on the limits of grid reliability</w:t>
      </w:r>
      <w:r w:rsidR="00700006">
        <w:rPr>
          <w:rFonts w:ascii="Times New Roman" w:eastAsia="Times New Roman" w:hAnsi="Times New Roman"/>
          <w:sz w:val="24"/>
        </w:rPr>
        <w:t>.</w:t>
      </w:r>
      <w:r>
        <w:rPr>
          <w:rFonts w:ascii="Times New Roman" w:eastAsia="Times New Roman" w:hAnsi="Times New Roman"/>
          <w:sz w:val="24"/>
        </w:rPr>
        <w:t xml:space="preserve"> </w:t>
      </w:r>
      <w:r w:rsidR="00700006">
        <w:rPr>
          <w:rFonts w:ascii="Times New Roman" w:eastAsia="Times New Roman" w:hAnsi="Times New Roman"/>
          <w:sz w:val="24"/>
        </w:rPr>
        <w:t xml:space="preserve">Further, </w:t>
      </w:r>
      <w:r>
        <w:rPr>
          <w:rFonts w:ascii="Times New Roman" w:eastAsia="Times New Roman" w:hAnsi="Times New Roman"/>
          <w:sz w:val="24"/>
        </w:rPr>
        <w:t xml:space="preserve">EPE does not currently see the grid technology to eliminate combustion turbines completely </w:t>
      </w:r>
      <w:proofErr w:type="gramStart"/>
      <w:r>
        <w:rPr>
          <w:rFonts w:ascii="Times New Roman" w:eastAsia="Times New Roman" w:hAnsi="Times New Roman"/>
          <w:sz w:val="24"/>
        </w:rPr>
        <w:t>at this time</w:t>
      </w:r>
      <w:proofErr w:type="gramEnd"/>
      <w:r>
        <w:rPr>
          <w:rFonts w:ascii="Times New Roman" w:eastAsia="Times New Roman" w:hAnsi="Times New Roman"/>
          <w:sz w:val="24"/>
        </w:rPr>
        <w:t>.  But given time and technology evolution, solutions may develop in the future.</w:t>
      </w:r>
    </w:p>
    <w:p w14:paraId="307FC23F" w14:textId="515D52BB" w:rsidR="00EF5BBB" w:rsidRDefault="00EF5BBB" w:rsidP="00EF5BBB">
      <w:pPr>
        <w:tabs>
          <w:tab w:val="left" w:pos="7830"/>
        </w:tabs>
        <w:spacing w:after="160" w:line="259" w:lineRule="auto"/>
        <w:jc w:val="left"/>
        <w:rPr>
          <w:rFonts w:eastAsia="Times New Roman"/>
        </w:rPr>
      </w:pPr>
    </w:p>
    <w:p w14:paraId="304BCA92" w14:textId="1A846DD3" w:rsidR="00EF5BBB" w:rsidRDefault="00EF5BBB"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t xml:space="preserve">The following graphs more clearly illustrate the correlation of increased cost at </w:t>
      </w:r>
      <w:r w:rsidR="00CA2538">
        <w:rPr>
          <w:rFonts w:ascii="Times New Roman" w:eastAsia="Times New Roman" w:hAnsi="Times New Roman"/>
          <w:sz w:val="24"/>
        </w:rPr>
        <w:t>increased</w:t>
      </w:r>
      <w:r>
        <w:rPr>
          <w:rFonts w:ascii="Times New Roman" w:eastAsia="Times New Roman" w:hAnsi="Times New Roman"/>
          <w:sz w:val="24"/>
        </w:rPr>
        <w:t xml:space="preserve"> renewable integration and decarbonization.  </w:t>
      </w:r>
      <w:r w:rsidR="002854D3">
        <w:rPr>
          <w:rFonts w:ascii="Times New Roman" w:eastAsia="Times New Roman" w:hAnsi="Times New Roman"/>
          <w:sz w:val="24"/>
        </w:rPr>
        <w:t xml:space="preserve">These graphs illustrate </w:t>
      </w:r>
      <w:r w:rsidR="005C73FE">
        <w:rPr>
          <w:rFonts w:ascii="Times New Roman" w:eastAsia="Times New Roman" w:hAnsi="Times New Roman"/>
          <w:sz w:val="24"/>
        </w:rPr>
        <w:t xml:space="preserve">the following </w:t>
      </w:r>
      <w:r w:rsidR="002854D3">
        <w:rPr>
          <w:rFonts w:ascii="Times New Roman" w:eastAsia="Times New Roman" w:hAnsi="Times New Roman"/>
          <w:sz w:val="24"/>
        </w:rPr>
        <w:t xml:space="preserve">three important </w:t>
      </w:r>
      <w:r w:rsidR="005C73FE">
        <w:rPr>
          <w:rFonts w:ascii="Times New Roman" w:eastAsia="Times New Roman" w:hAnsi="Times New Roman"/>
          <w:sz w:val="24"/>
        </w:rPr>
        <w:t>points:</w:t>
      </w:r>
    </w:p>
    <w:p w14:paraId="66A71B27" w14:textId="79904E39" w:rsidR="00EF5BBB" w:rsidRDefault="005C73FE" w:rsidP="00EF5BBB">
      <w:pPr>
        <w:pStyle w:val="ListParagraph"/>
        <w:numPr>
          <w:ilvl w:val="1"/>
          <w:numId w:val="134"/>
        </w:numPr>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a</w:t>
      </w:r>
      <w:r w:rsidR="00EF5BBB">
        <w:rPr>
          <w:rFonts w:ascii="Times New Roman" w:eastAsia="Times New Roman" w:hAnsi="Times New Roman"/>
          <w:sz w:val="24"/>
        </w:rPr>
        <w:t xml:space="preserve">ttaining 60 to 80 percent decarbonization is possible with marginal cost </w:t>
      </w:r>
      <w:proofErr w:type="gramStart"/>
      <w:r w:rsidR="00EF5BBB">
        <w:rPr>
          <w:rFonts w:ascii="Times New Roman" w:eastAsia="Times New Roman" w:hAnsi="Times New Roman"/>
          <w:sz w:val="24"/>
        </w:rPr>
        <w:t>increase</w:t>
      </w:r>
      <w:r>
        <w:rPr>
          <w:rFonts w:ascii="Times New Roman" w:eastAsia="Times New Roman" w:hAnsi="Times New Roman"/>
          <w:sz w:val="24"/>
        </w:rPr>
        <w:t>;</w:t>
      </w:r>
      <w:proofErr w:type="gramEnd"/>
    </w:p>
    <w:p w14:paraId="33C99863" w14:textId="3DC1AF1E" w:rsidR="00EF5BBB" w:rsidRDefault="005C73FE" w:rsidP="00EF5BBB">
      <w:pPr>
        <w:pStyle w:val="ListParagraph"/>
        <w:numPr>
          <w:ilvl w:val="1"/>
          <w:numId w:val="134"/>
        </w:numPr>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lastRenderedPageBreak/>
        <w:t>a</w:t>
      </w:r>
      <w:r w:rsidR="00EF5BBB">
        <w:rPr>
          <w:rFonts w:ascii="Times New Roman" w:eastAsia="Times New Roman" w:hAnsi="Times New Roman"/>
          <w:sz w:val="24"/>
        </w:rPr>
        <w:t>ttaining the last 10 to 20 percent decarbonization is more reasonably attainable</w:t>
      </w:r>
      <w:r w:rsidR="002424C5">
        <w:rPr>
          <w:rFonts w:ascii="Times New Roman" w:eastAsia="Times New Roman" w:hAnsi="Times New Roman"/>
          <w:sz w:val="24"/>
        </w:rPr>
        <w:t>, based on cost,</w:t>
      </w:r>
      <w:r w:rsidR="00480265">
        <w:rPr>
          <w:rFonts w:ascii="Times New Roman" w:eastAsia="Times New Roman" w:hAnsi="Times New Roman"/>
          <w:sz w:val="24"/>
        </w:rPr>
        <w:t xml:space="preserve"> </w:t>
      </w:r>
      <w:r w:rsidR="00EF5BBB">
        <w:rPr>
          <w:rFonts w:ascii="Times New Roman" w:eastAsia="Times New Roman" w:hAnsi="Times New Roman"/>
          <w:sz w:val="24"/>
        </w:rPr>
        <w:t>with the planned use of hydrogen fueled combustion turbines</w:t>
      </w:r>
      <w:r w:rsidR="00480265">
        <w:rPr>
          <w:rFonts w:ascii="Times New Roman" w:eastAsia="Times New Roman" w:hAnsi="Times New Roman"/>
          <w:sz w:val="24"/>
        </w:rPr>
        <w:t>; and,</w:t>
      </w:r>
    </w:p>
    <w:p w14:paraId="57E7D30C" w14:textId="10F39604" w:rsidR="00EF5BBB" w:rsidRPr="007C2FCC" w:rsidRDefault="00480265" w:rsidP="00EF5BBB">
      <w:pPr>
        <w:pStyle w:val="ListParagraph"/>
        <w:numPr>
          <w:ilvl w:val="1"/>
          <w:numId w:val="134"/>
        </w:numPr>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e</w:t>
      </w:r>
      <w:r w:rsidR="00EF5BBB">
        <w:rPr>
          <w:rFonts w:ascii="Times New Roman" w:eastAsia="Times New Roman" w:hAnsi="Times New Roman"/>
          <w:sz w:val="24"/>
        </w:rPr>
        <w:t xml:space="preserve">liminating the use of hydrogen combustion turbines greatly increases the cost </w:t>
      </w:r>
      <w:r w:rsidR="004B3889">
        <w:rPr>
          <w:rFonts w:ascii="Times New Roman" w:eastAsia="Times New Roman" w:hAnsi="Times New Roman"/>
          <w:sz w:val="24"/>
        </w:rPr>
        <w:t>of the</w:t>
      </w:r>
      <w:r w:rsidR="00EF5BBB">
        <w:rPr>
          <w:rFonts w:ascii="Times New Roman" w:eastAsia="Times New Roman" w:hAnsi="Times New Roman"/>
          <w:sz w:val="24"/>
        </w:rPr>
        <w:t xml:space="preserve"> last 10 percent decarbonization.</w:t>
      </w:r>
      <w:r w:rsidR="00EF5BBB" w:rsidRPr="007C2FCC">
        <w:rPr>
          <w:rFonts w:eastAsia="Times New Roman"/>
        </w:rPr>
        <w:t xml:space="preserve"> </w:t>
      </w:r>
    </w:p>
    <w:p w14:paraId="73985F54" w14:textId="77777777" w:rsidR="00EF5BBB" w:rsidRDefault="00EF5BBB" w:rsidP="00EF5BBB">
      <w:pPr>
        <w:pStyle w:val="ListParagraph"/>
        <w:spacing w:after="0" w:line="276" w:lineRule="auto"/>
        <w:ind w:left="0"/>
        <w:contextualSpacing w:val="0"/>
        <w:jc w:val="both"/>
        <w:rPr>
          <w:rFonts w:ascii="Times New Roman" w:eastAsia="Times New Roman" w:hAnsi="Times New Roman"/>
          <w:sz w:val="24"/>
        </w:rPr>
      </w:pPr>
    </w:p>
    <w:p w14:paraId="378E0FE7" w14:textId="77777777" w:rsidR="00EF5BBB" w:rsidRDefault="00EF5BBB"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noProof/>
          <w:sz w:val="24"/>
        </w:rPr>
        <w:drawing>
          <wp:inline distT="0" distB="0" distL="0" distR="0" wp14:anchorId="1A5E9293" wp14:editId="3929C015">
            <wp:extent cx="6291580" cy="33959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1580" cy="3395980"/>
                    </a:xfrm>
                    <a:prstGeom prst="rect">
                      <a:avLst/>
                    </a:prstGeom>
                    <a:noFill/>
                  </pic:spPr>
                </pic:pic>
              </a:graphicData>
            </a:graphic>
          </wp:inline>
        </w:drawing>
      </w:r>
    </w:p>
    <w:p w14:paraId="4D0D84F1" w14:textId="77777777" w:rsidR="00491E9E" w:rsidRDefault="00491E9E" w:rsidP="00491E9E">
      <w:pPr>
        <w:pStyle w:val="ListParagraph"/>
        <w:spacing w:after="0" w:line="276" w:lineRule="auto"/>
        <w:ind w:left="0"/>
        <w:contextualSpacing w:val="0"/>
        <w:jc w:val="center"/>
        <w:rPr>
          <w:rFonts w:ascii="Times New Roman" w:eastAsia="Times New Roman" w:hAnsi="Times New Roman"/>
          <w:sz w:val="24"/>
        </w:rPr>
      </w:pPr>
    </w:p>
    <w:p w14:paraId="6F3E4257" w14:textId="49DA541D" w:rsidR="00491E9E" w:rsidRDefault="00491E9E" w:rsidP="00491E9E">
      <w:pPr>
        <w:pStyle w:val="ListParagraph"/>
        <w:spacing w:after="0" w:line="276" w:lineRule="auto"/>
        <w:ind w:left="0"/>
        <w:contextualSpacing w:val="0"/>
        <w:jc w:val="center"/>
        <w:rPr>
          <w:rFonts w:ascii="Times New Roman" w:eastAsia="Times New Roman" w:hAnsi="Times New Roman"/>
          <w:b/>
          <w:bCs/>
          <w:sz w:val="24"/>
        </w:rPr>
      </w:pPr>
      <w:r>
        <w:rPr>
          <w:rFonts w:ascii="Times New Roman" w:eastAsia="Times New Roman" w:hAnsi="Times New Roman"/>
          <w:b/>
          <w:bCs/>
          <w:sz w:val="24"/>
        </w:rPr>
        <w:t>Figure 1</w:t>
      </w:r>
      <w:r w:rsidR="00CF53ED">
        <w:rPr>
          <w:rFonts w:ascii="Times New Roman" w:eastAsia="Times New Roman" w:hAnsi="Times New Roman"/>
          <w:b/>
          <w:bCs/>
          <w:sz w:val="24"/>
        </w:rPr>
        <w:t>4</w:t>
      </w:r>
      <w:r>
        <w:rPr>
          <w:rFonts w:ascii="Times New Roman" w:eastAsia="Times New Roman" w:hAnsi="Times New Roman"/>
          <w:b/>
          <w:bCs/>
          <w:sz w:val="24"/>
        </w:rPr>
        <w:t xml:space="preserve">.  </w:t>
      </w:r>
      <w:r w:rsidR="00D676D1">
        <w:rPr>
          <w:rFonts w:ascii="Times New Roman" w:eastAsia="Times New Roman" w:hAnsi="Times New Roman"/>
          <w:b/>
          <w:bCs/>
          <w:sz w:val="24"/>
        </w:rPr>
        <w:t xml:space="preserve">Percent </w:t>
      </w:r>
      <w:r w:rsidR="00F12E72">
        <w:rPr>
          <w:rFonts w:ascii="Times New Roman" w:eastAsia="Times New Roman" w:hAnsi="Times New Roman"/>
          <w:b/>
          <w:bCs/>
          <w:sz w:val="24"/>
        </w:rPr>
        <w:t>Renewable and Decarbonization for Scenarios</w:t>
      </w:r>
    </w:p>
    <w:p w14:paraId="3A577AE7" w14:textId="77777777" w:rsidR="00F12E72" w:rsidRDefault="00F12E72" w:rsidP="00491E9E">
      <w:pPr>
        <w:pStyle w:val="ListParagraph"/>
        <w:spacing w:after="0" w:line="276" w:lineRule="auto"/>
        <w:ind w:left="0"/>
        <w:contextualSpacing w:val="0"/>
        <w:jc w:val="center"/>
        <w:rPr>
          <w:rFonts w:ascii="Times New Roman" w:eastAsia="Times New Roman" w:hAnsi="Times New Roman"/>
          <w:sz w:val="24"/>
        </w:rPr>
      </w:pPr>
    </w:p>
    <w:p w14:paraId="6004EA75" w14:textId="4912C9C2" w:rsidR="00EF5BBB" w:rsidRDefault="00EF5BBB" w:rsidP="00491E9E">
      <w:pPr>
        <w:pStyle w:val="ListParagraph"/>
        <w:spacing w:after="0" w:line="276" w:lineRule="auto"/>
        <w:ind w:left="0"/>
        <w:contextualSpacing w:val="0"/>
        <w:jc w:val="center"/>
        <w:rPr>
          <w:rFonts w:ascii="Times New Roman" w:eastAsia="Times New Roman" w:hAnsi="Times New Roman"/>
          <w:sz w:val="24"/>
        </w:rPr>
      </w:pPr>
      <w:r>
        <w:rPr>
          <w:noProof/>
        </w:rPr>
        <w:drawing>
          <wp:inline distT="0" distB="0" distL="0" distR="0" wp14:anchorId="11BAC5B1" wp14:editId="453EC588">
            <wp:extent cx="6324600" cy="2586990"/>
            <wp:effectExtent l="0" t="0" r="0" b="3810"/>
            <wp:docPr id="54" name="Chart 54">
              <a:extLst xmlns:a="http://schemas.openxmlformats.org/drawingml/2006/main">
                <a:ext uri="{FF2B5EF4-FFF2-40B4-BE49-F238E27FC236}">
                  <a16:creationId xmlns:a16="http://schemas.microsoft.com/office/drawing/2014/main" id="{08E067C3-CC4D-4303-B68D-7936EC8E0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D2E925" w14:textId="66473031" w:rsidR="00F12E72" w:rsidRDefault="00F12E72" w:rsidP="00491E9E">
      <w:pPr>
        <w:pStyle w:val="ListParagraph"/>
        <w:spacing w:after="0" w:line="276" w:lineRule="auto"/>
        <w:ind w:left="0"/>
        <w:contextualSpacing w:val="0"/>
        <w:jc w:val="center"/>
        <w:rPr>
          <w:rFonts w:ascii="Times New Roman" w:eastAsia="Times New Roman" w:hAnsi="Times New Roman"/>
          <w:sz w:val="24"/>
        </w:rPr>
      </w:pPr>
    </w:p>
    <w:p w14:paraId="48B38BD5" w14:textId="57C5E092" w:rsidR="00D676D1" w:rsidRDefault="00D676D1" w:rsidP="00D676D1">
      <w:pPr>
        <w:pStyle w:val="ListParagraph"/>
        <w:spacing w:after="0" w:line="276" w:lineRule="auto"/>
        <w:ind w:left="0"/>
        <w:contextualSpacing w:val="0"/>
        <w:jc w:val="center"/>
        <w:rPr>
          <w:rFonts w:ascii="Times New Roman" w:eastAsia="Times New Roman" w:hAnsi="Times New Roman"/>
          <w:b/>
          <w:bCs/>
          <w:sz w:val="24"/>
        </w:rPr>
      </w:pPr>
      <w:r>
        <w:rPr>
          <w:rFonts w:ascii="Times New Roman" w:eastAsia="Times New Roman" w:hAnsi="Times New Roman"/>
          <w:b/>
          <w:bCs/>
          <w:sz w:val="24"/>
        </w:rPr>
        <w:t>Figure 1</w:t>
      </w:r>
      <w:r w:rsidR="00CF53ED">
        <w:rPr>
          <w:rFonts w:ascii="Times New Roman" w:eastAsia="Times New Roman" w:hAnsi="Times New Roman"/>
          <w:b/>
          <w:bCs/>
          <w:sz w:val="24"/>
        </w:rPr>
        <w:t>5</w:t>
      </w:r>
      <w:r>
        <w:rPr>
          <w:rFonts w:ascii="Times New Roman" w:eastAsia="Times New Roman" w:hAnsi="Times New Roman"/>
          <w:b/>
          <w:bCs/>
          <w:sz w:val="24"/>
        </w:rPr>
        <w:t>.  Annual Cost for Decarbonization Scenarios</w:t>
      </w:r>
    </w:p>
    <w:p w14:paraId="5410BC77" w14:textId="61139E7A" w:rsidR="00F12E72" w:rsidRPr="00F12E72" w:rsidRDefault="00F12E72" w:rsidP="00491E9E">
      <w:pPr>
        <w:pStyle w:val="ListParagraph"/>
        <w:spacing w:after="0" w:line="276" w:lineRule="auto"/>
        <w:ind w:left="0"/>
        <w:contextualSpacing w:val="0"/>
        <w:jc w:val="center"/>
        <w:rPr>
          <w:rFonts w:ascii="Times New Roman" w:eastAsia="Times New Roman" w:hAnsi="Times New Roman"/>
          <w:b/>
          <w:bCs/>
          <w:sz w:val="24"/>
        </w:rPr>
      </w:pPr>
      <w:r>
        <w:rPr>
          <w:rFonts w:ascii="Times New Roman" w:eastAsia="Times New Roman" w:hAnsi="Times New Roman"/>
          <w:b/>
          <w:bCs/>
          <w:sz w:val="24"/>
        </w:rPr>
        <w:t xml:space="preserve"> </w:t>
      </w:r>
    </w:p>
    <w:p w14:paraId="37A366AB" w14:textId="77777777" w:rsidR="00EF5BBB" w:rsidRDefault="00EF5BBB" w:rsidP="00EF5BBB">
      <w:pPr>
        <w:spacing w:line="276" w:lineRule="auto"/>
        <w:rPr>
          <w:rFonts w:eastAsia="Times New Roman"/>
          <w:u w:val="single"/>
        </w:rPr>
      </w:pPr>
    </w:p>
    <w:p w14:paraId="12A671A2" w14:textId="1755C80D" w:rsidR="00EF5BBB" w:rsidRPr="004B3889" w:rsidRDefault="00EF5BBB" w:rsidP="00EF5BBB">
      <w:pPr>
        <w:spacing w:line="276" w:lineRule="auto"/>
        <w:rPr>
          <w:rFonts w:eastAsia="Times New Roman"/>
        </w:rPr>
      </w:pPr>
      <w:r w:rsidRPr="004B3889">
        <w:rPr>
          <w:rFonts w:eastAsia="Times New Roman"/>
        </w:rPr>
        <w:t xml:space="preserve">A positive finding is that the continued projected </w:t>
      </w:r>
      <w:r w:rsidR="005C73FE">
        <w:rPr>
          <w:rFonts w:eastAsia="Times New Roman"/>
        </w:rPr>
        <w:t xml:space="preserve">cost </w:t>
      </w:r>
      <w:r w:rsidRPr="004B3889">
        <w:rPr>
          <w:rFonts w:eastAsia="Times New Roman"/>
        </w:rPr>
        <w:t xml:space="preserve">declines for renewable and storage costs results in continued increased renewable integration.  The lowest cost portfolio selected sufficient renewable energy resources to comply with both New Mexico and Texas </w:t>
      </w:r>
      <w:r w:rsidR="00A51755">
        <w:rPr>
          <w:rFonts w:eastAsia="Times New Roman"/>
        </w:rPr>
        <w:t>renewable</w:t>
      </w:r>
      <w:r w:rsidRPr="004B3889">
        <w:rPr>
          <w:rFonts w:eastAsia="Times New Roman"/>
        </w:rPr>
        <w:t xml:space="preserve"> requirements in </w:t>
      </w:r>
      <w:r w:rsidR="00A51755">
        <w:rPr>
          <w:rFonts w:eastAsia="Times New Roman"/>
        </w:rPr>
        <w:t xml:space="preserve">an </w:t>
      </w:r>
      <w:r w:rsidRPr="004B3889">
        <w:rPr>
          <w:rFonts w:eastAsia="Times New Roman"/>
        </w:rPr>
        <w:t>aggregate</w:t>
      </w:r>
      <w:r w:rsidR="00A51755">
        <w:rPr>
          <w:rFonts w:eastAsia="Times New Roman"/>
        </w:rPr>
        <w:t xml:space="preserve"> on a total system basis</w:t>
      </w:r>
      <w:r w:rsidRPr="004B3889">
        <w:rPr>
          <w:rFonts w:eastAsia="Times New Roman"/>
        </w:rPr>
        <w:t>.  A</w:t>
      </w:r>
      <w:r w:rsidR="00A51755">
        <w:rPr>
          <w:rFonts w:eastAsia="Times New Roman"/>
        </w:rPr>
        <w:t>dditionally, a</w:t>
      </w:r>
      <w:r w:rsidRPr="004B3889">
        <w:rPr>
          <w:rFonts w:eastAsia="Times New Roman"/>
        </w:rPr>
        <w:t>s de</w:t>
      </w:r>
      <w:r w:rsidR="00A51755">
        <w:rPr>
          <w:rFonts w:eastAsia="Times New Roman"/>
        </w:rPr>
        <w:t xml:space="preserve">picted </w:t>
      </w:r>
      <w:r w:rsidRPr="004B3889">
        <w:rPr>
          <w:rFonts w:eastAsia="Times New Roman"/>
        </w:rPr>
        <w:t>in the figure below,</w:t>
      </w:r>
      <w:r w:rsidR="00A51755">
        <w:rPr>
          <w:rFonts w:eastAsia="Times New Roman"/>
        </w:rPr>
        <w:t xml:space="preserve"> an</w:t>
      </w:r>
      <w:r w:rsidRPr="004B3889">
        <w:rPr>
          <w:rFonts w:eastAsia="Times New Roman"/>
        </w:rPr>
        <w:t xml:space="preserve"> 80 percent carbon free </w:t>
      </w:r>
      <w:r w:rsidR="00A51755">
        <w:rPr>
          <w:rFonts w:eastAsia="Times New Roman"/>
        </w:rPr>
        <w:t xml:space="preserve">scenario </w:t>
      </w:r>
      <w:r w:rsidRPr="004B3889">
        <w:rPr>
          <w:rFonts w:eastAsia="Times New Roman"/>
        </w:rPr>
        <w:t>is attainable with marginal cost impact</w:t>
      </w:r>
      <w:r w:rsidR="00A51755">
        <w:rPr>
          <w:rFonts w:eastAsia="Times New Roman"/>
        </w:rPr>
        <w:t xml:space="preserve"> to customers</w:t>
      </w:r>
      <w:r w:rsidRPr="004B3889">
        <w:rPr>
          <w:rFonts w:eastAsia="Times New Roman"/>
        </w:rPr>
        <w:t xml:space="preserve">.  The 80 percent carbon free </w:t>
      </w:r>
      <w:r w:rsidR="00A51755">
        <w:rPr>
          <w:rFonts w:eastAsia="Times New Roman"/>
        </w:rPr>
        <w:t>scenario</w:t>
      </w:r>
      <w:r w:rsidRPr="004B3889">
        <w:rPr>
          <w:rFonts w:eastAsia="Times New Roman"/>
        </w:rPr>
        <w:t xml:space="preserve"> results in approximately 45 percent renewables for the total system (</w:t>
      </w:r>
      <w:r w:rsidR="00A51755">
        <w:rPr>
          <w:rFonts w:eastAsia="Times New Roman"/>
        </w:rPr>
        <w:t xml:space="preserve">the presentation of </w:t>
      </w:r>
      <w:r w:rsidRPr="004B3889">
        <w:rPr>
          <w:rFonts w:eastAsia="Times New Roman"/>
        </w:rPr>
        <w:t xml:space="preserve">New Mexico REA </w:t>
      </w:r>
      <w:r w:rsidR="00A51755">
        <w:rPr>
          <w:rFonts w:eastAsia="Times New Roman"/>
        </w:rPr>
        <w:t>compliant scenarios is addressed</w:t>
      </w:r>
      <w:r w:rsidRPr="004B3889">
        <w:rPr>
          <w:rFonts w:eastAsia="Times New Roman"/>
        </w:rPr>
        <w:t xml:space="preserve"> in the following section of the IRP report). </w:t>
      </w:r>
    </w:p>
    <w:p w14:paraId="16622095" w14:textId="4CEF61C3" w:rsidR="00EF5BBB" w:rsidRDefault="00EF5BBB" w:rsidP="00EF5BBB">
      <w:pPr>
        <w:spacing w:line="276" w:lineRule="auto"/>
        <w:rPr>
          <w:rFonts w:eastAsia="Times New Roman"/>
          <w:u w:val="single"/>
        </w:rPr>
      </w:pPr>
    </w:p>
    <w:p w14:paraId="3EC65138" w14:textId="23C18665" w:rsidR="00D676D1" w:rsidRDefault="00D676D1" w:rsidP="00EF5BBB">
      <w:pPr>
        <w:spacing w:line="276" w:lineRule="auto"/>
        <w:rPr>
          <w:rFonts w:eastAsia="Times New Roman"/>
          <w:u w:val="single"/>
        </w:rPr>
      </w:pPr>
      <w:r>
        <w:rPr>
          <w:rFonts w:eastAsia="Times New Roman"/>
          <w:noProof/>
          <w:u w:val="single"/>
        </w:rPr>
        <w:drawing>
          <wp:inline distT="0" distB="0" distL="0" distR="0" wp14:anchorId="1F3ADB05" wp14:editId="704506C0">
            <wp:extent cx="5943600" cy="27400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740025"/>
                    </a:xfrm>
                    <a:prstGeom prst="rect">
                      <a:avLst/>
                    </a:prstGeom>
                    <a:noFill/>
                  </pic:spPr>
                </pic:pic>
              </a:graphicData>
            </a:graphic>
          </wp:inline>
        </w:drawing>
      </w:r>
    </w:p>
    <w:p w14:paraId="524D83DE" w14:textId="5382B74D" w:rsidR="00D676D1" w:rsidRDefault="00D676D1" w:rsidP="00D676D1">
      <w:pPr>
        <w:pStyle w:val="ListParagraph"/>
        <w:spacing w:after="0" w:line="276" w:lineRule="auto"/>
        <w:ind w:left="0"/>
        <w:contextualSpacing w:val="0"/>
        <w:jc w:val="center"/>
        <w:rPr>
          <w:rFonts w:ascii="Times New Roman" w:eastAsia="Times New Roman" w:hAnsi="Times New Roman"/>
          <w:b/>
          <w:bCs/>
          <w:sz w:val="24"/>
        </w:rPr>
      </w:pPr>
      <w:r>
        <w:rPr>
          <w:rFonts w:ascii="Times New Roman" w:eastAsia="Times New Roman" w:hAnsi="Times New Roman"/>
          <w:b/>
          <w:bCs/>
          <w:sz w:val="24"/>
        </w:rPr>
        <w:t>Figure 1</w:t>
      </w:r>
      <w:r w:rsidR="00CF53ED">
        <w:rPr>
          <w:rFonts w:ascii="Times New Roman" w:eastAsia="Times New Roman" w:hAnsi="Times New Roman"/>
          <w:b/>
          <w:bCs/>
          <w:sz w:val="24"/>
        </w:rPr>
        <w:t>6</w:t>
      </w:r>
      <w:r>
        <w:rPr>
          <w:rFonts w:ascii="Times New Roman" w:eastAsia="Times New Roman" w:hAnsi="Times New Roman"/>
          <w:b/>
          <w:bCs/>
          <w:sz w:val="24"/>
        </w:rPr>
        <w:t xml:space="preserve">.  </w:t>
      </w:r>
      <w:r w:rsidR="004E2B85">
        <w:rPr>
          <w:rFonts w:ascii="Times New Roman" w:eastAsia="Times New Roman" w:hAnsi="Times New Roman"/>
          <w:b/>
          <w:bCs/>
          <w:sz w:val="24"/>
        </w:rPr>
        <w:t xml:space="preserve">2040 </w:t>
      </w:r>
      <w:r>
        <w:rPr>
          <w:rFonts w:ascii="Times New Roman" w:eastAsia="Times New Roman" w:hAnsi="Times New Roman"/>
          <w:b/>
          <w:bCs/>
          <w:sz w:val="24"/>
        </w:rPr>
        <w:t>Energy Mix of Carbon Scenarios with Cost Impact</w:t>
      </w:r>
    </w:p>
    <w:p w14:paraId="11E855FF" w14:textId="77777777" w:rsidR="00D676D1" w:rsidRPr="00CB2CB5" w:rsidRDefault="00D676D1" w:rsidP="00D676D1">
      <w:pPr>
        <w:spacing w:line="276" w:lineRule="auto"/>
        <w:jc w:val="center"/>
        <w:rPr>
          <w:rFonts w:eastAsia="Times New Roman"/>
          <w:u w:val="single"/>
        </w:rPr>
      </w:pPr>
    </w:p>
    <w:p w14:paraId="41599E4D" w14:textId="77777777" w:rsidR="00B63F15" w:rsidRPr="004E2B85" w:rsidRDefault="00B63F15" w:rsidP="00B63F15">
      <w:pPr>
        <w:pStyle w:val="ListParagraph"/>
        <w:spacing w:after="0" w:line="276" w:lineRule="auto"/>
        <w:ind w:left="0"/>
        <w:contextualSpacing w:val="0"/>
        <w:jc w:val="both"/>
        <w:rPr>
          <w:rFonts w:ascii="Times New Roman" w:eastAsia="Times New Roman" w:hAnsi="Times New Roman"/>
          <w:b/>
          <w:bCs/>
          <w:sz w:val="24"/>
          <w:u w:val="single"/>
        </w:rPr>
      </w:pPr>
      <w:r w:rsidRPr="004E2B85">
        <w:rPr>
          <w:rFonts w:ascii="Times New Roman" w:eastAsia="Times New Roman" w:hAnsi="Times New Roman"/>
          <w:b/>
          <w:bCs/>
          <w:sz w:val="24"/>
          <w:u w:val="single"/>
        </w:rPr>
        <w:t>RESOLVE MODELING –IRP ANALYSIS</w:t>
      </w:r>
    </w:p>
    <w:p w14:paraId="529317D3" w14:textId="77777777" w:rsidR="00A67B16" w:rsidRDefault="00A67B16" w:rsidP="00A67B16">
      <w:pPr>
        <w:pStyle w:val="ListParagraph"/>
        <w:spacing w:after="0" w:line="276" w:lineRule="auto"/>
        <w:ind w:left="0"/>
        <w:contextualSpacing w:val="0"/>
        <w:jc w:val="both"/>
        <w:rPr>
          <w:rFonts w:ascii="Times New Roman" w:eastAsia="Times New Roman" w:hAnsi="Times New Roman"/>
          <w:b/>
          <w:bCs/>
          <w:sz w:val="24"/>
          <w:u w:val="single"/>
        </w:rPr>
      </w:pPr>
    </w:p>
    <w:p w14:paraId="5A8622FF" w14:textId="76DBC32C" w:rsidR="0011499F" w:rsidRDefault="0011499F" w:rsidP="0011499F">
      <w:pPr>
        <w:pStyle w:val="ListParagraph"/>
        <w:spacing w:after="0" w:line="276" w:lineRule="auto"/>
        <w:ind w:left="0"/>
        <w:contextualSpacing w:val="0"/>
        <w:jc w:val="both"/>
        <w:rPr>
          <w:rFonts w:ascii="Times New Roman" w:eastAsia="Times New Roman" w:hAnsi="Times New Roman"/>
          <w:sz w:val="24"/>
          <w:u w:val="single"/>
        </w:rPr>
      </w:pPr>
      <w:r>
        <w:rPr>
          <w:rFonts w:ascii="Times New Roman" w:eastAsia="Times New Roman" w:hAnsi="Times New Roman"/>
          <w:sz w:val="24"/>
          <w:u w:val="single"/>
        </w:rPr>
        <w:t>Key Assumptions:</w:t>
      </w:r>
    </w:p>
    <w:p w14:paraId="67DB7614" w14:textId="77777777" w:rsidR="00480265" w:rsidRDefault="00480265" w:rsidP="0011499F">
      <w:pPr>
        <w:pStyle w:val="ListParagraph"/>
        <w:spacing w:after="0" w:line="276" w:lineRule="auto"/>
        <w:ind w:left="0"/>
        <w:contextualSpacing w:val="0"/>
        <w:jc w:val="both"/>
        <w:rPr>
          <w:rFonts w:ascii="Times New Roman" w:eastAsia="Times New Roman" w:hAnsi="Times New Roman"/>
          <w:sz w:val="24"/>
          <w:u w:val="single"/>
        </w:rPr>
      </w:pPr>
    </w:p>
    <w:p w14:paraId="521CFCBC" w14:textId="0FF8E56C" w:rsidR="0011499F" w:rsidRPr="0011499F" w:rsidRDefault="0011499F" w:rsidP="0011499F">
      <w:pPr>
        <w:pStyle w:val="ListParagraph"/>
        <w:numPr>
          <w:ilvl w:val="0"/>
          <w:numId w:val="144"/>
        </w:numPr>
        <w:spacing w:after="0" w:line="276" w:lineRule="auto"/>
        <w:contextualSpacing w:val="0"/>
        <w:jc w:val="both"/>
        <w:rPr>
          <w:rFonts w:ascii="Times New Roman" w:eastAsia="Times New Roman" w:hAnsi="Times New Roman"/>
          <w:b/>
          <w:bCs/>
          <w:sz w:val="24"/>
          <w:u w:val="single"/>
        </w:rPr>
      </w:pPr>
      <w:r w:rsidRPr="0011499F">
        <w:rPr>
          <w:rFonts w:ascii="Times New Roman" w:eastAsia="Times New Roman" w:hAnsi="Times New Roman"/>
          <w:b/>
          <w:bCs/>
          <w:sz w:val="24"/>
          <w:u w:val="single"/>
        </w:rPr>
        <w:t>Retirement Analysis</w:t>
      </w:r>
    </w:p>
    <w:p w14:paraId="3D1896EF" w14:textId="77777777" w:rsidR="0011499F" w:rsidRPr="00CB2CB5" w:rsidRDefault="0011499F" w:rsidP="0011499F">
      <w:pPr>
        <w:keepNext/>
        <w:keepLines/>
        <w:spacing w:line="276" w:lineRule="auto"/>
        <w:ind w:left="547"/>
        <w:rPr>
          <w:rFonts w:eastAsia="Times New Roman"/>
        </w:rPr>
      </w:pPr>
    </w:p>
    <w:p w14:paraId="7363121B" w14:textId="64A8BCAB" w:rsidR="0011499F" w:rsidRDefault="0011499F" w:rsidP="004E2B85">
      <w:pPr>
        <w:pStyle w:val="ListParagraph"/>
        <w:spacing w:after="0" w:line="276" w:lineRule="auto"/>
        <w:contextualSpacing w:val="0"/>
        <w:jc w:val="both"/>
        <w:rPr>
          <w:rFonts w:ascii="Times New Roman" w:eastAsia="Times New Roman" w:hAnsi="Times New Roman"/>
          <w:sz w:val="24"/>
        </w:rPr>
      </w:pPr>
      <w:r w:rsidRPr="00CB2CB5">
        <w:rPr>
          <w:rFonts w:ascii="Times New Roman" w:eastAsia="Times New Roman" w:hAnsi="Times New Roman"/>
          <w:sz w:val="24"/>
        </w:rPr>
        <w:t>Pursuant to the Stipulation Agreement, EPE analyzed any retirements planned within the first five years of the Planning Horizon.  This analysis applies to Rio Grande Unit 7</w:t>
      </w:r>
      <w:r>
        <w:rPr>
          <w:rFonts w:ascii="Times New Roman" w:eastAsia="Times New Roman" w:hAnsi="Times New Roman"/>
          <w:sz w:val="24"/>
        </w:rPr>
        <w:t xml:space="preserve"> and</w:t>
      </w:r>
      <w:r w:rsidRPr="00CB2CB5">
        <w:rPr>
          <w:rFonts w:ascii="Times New Roman" w:eastAsia="Times New Roman" w:hAnsi="Times New Roman"/>
          <w:sz w:val="24"/>
        </w:rPr>
        <w:t xml:space="preserve"> Newman Unit</w:t>
      </w:r>
      <w:r>
        <w:rPr>
          <w:rFonts w:ascii="Times New Roman" w:eastAsia="Times New Roman" w:hAnsi="Times New Roman"/>
          <w:sz w:val="24"/>
        </w:rPr>
        <w:t>s</w:t>
      </w:r>
      <w:r w:rsidRPr="00CB2CB5">
        <w:rPr>
          <w:rFonts w:ascii="Times New Roman" w:eastAsia="Times New Roman" w:hAnsi="Times New Roman"/>
          <w:sz w:val="24"/>
        </w:rPr>
        <w:t xml:space="preserve"> 1</w:t>
      </w:r>
      <w:r>
        <w:rPr>
          <w:rFonts w:ascii="Times New Roman" w:eastAsia="Times New Roman" w:hAnsi="Times New Roman"/>
          <w:sz w:val="24"/>
        </w:rPr>
        <w:t xml:space="preserve">-4 </w:t>
      </w:r>
      <w:r w:rsidRPr="00CB2CB5">
        <w:rPr>
          <w:rFonts w:ascii="Times New Roman" w:eastAsia="Times New Roman" w:hAnsi="Times New Roman"/>
          <w:sz w:val="24"/>
        </w:rPr>
        <w:t xml:space="preserve">for this IRP.  To </w:t>
      </w:r>
      <w:r>
        <w:rPr>
          <w:rFonts w:ascii="Times New Roman" w:eastAsia="Times New Roman" w:hAnsi="Times New Roman"/>
          <w:sz w:val="24"/>
        </w:rPr>
        <w:t xml:space="preserve">best </w:t>
      </w:r>
      <w:r w:rsidRPr="00CB2CB5">
        <w:rPr>
          <w:rFonts w:ascii="Times New Roman" w:eastAsia="Times New Roman" w:hAnsi="Times New Roman"/>
          <w:sz w:val="24"/>
        </w:rPr>
        <w:t>facilitate this evaluation, EPE hired the services of Burns and McDonnell to assess the conditions of the units and estimate of investment and operating costs to ensure safe and reliable energy for</w:t>
      </w:r>
      <w:r>
        <w:rPr>
          <w:rFonts w:ascii="Times New Roman" w:eastAsia="Times New Roman" w:hAnsi="Times New Roman"/>
          <w:sz w:val="24"/>
        </w:rPr>
        <w:t xml:space="preserve"> the following extensions.</w:t>
      </w:r>
      <w:r w:rsidRPr="00CB2CB5">
        <w:rPr>
          <w:rFonts w:ascii="Times New Roman" w:eastAsia="Times New Roman" w:hAnsi="Times New Roman"/>
          <w:sz w:val="24"/>
        </w:rPr>
        <w:t xml:space="preserve">  The retirement </w:t>
      </w:r>
      <w:r>
        <w:rPr>
          <w:rFonts w:ascii="Times New Roman" w:eastAsia="Times New Roman" w:hAnsi="Times New Roman"/>
          <w:sz w:val="24"/>
        </w:rPr>
        <w:t>options were considered in the base case RESOLVE model</w:t>
      </w:r>
      <w:r w:rsidRPr="00CB2CB5">
        <w:rPr>
          <w:rFonts w:ascii="Times New Roman" w:eastAsia="Times New Roman" w:hAnsi="Times New Roman"/>
          <w:sz w:val="24"/>
        </w:rPr>
        <w:t xml:space="preserve"> where the unit extensions were introduced as options competing against the IRP resource options as part of the Base Case.  The respective capital and projected </w:t>
      </w:r>
      <w:proofErr w:type="spellStart"/>
      <w:r w:rsidRPr="00CB2CB5">
        <w:rPr>
          <w:rFonts w:ascii="Times New Roman" w:eastAsia="Times New Roman" w:hAnsi="Times New Roman"/>
          <w:sz w:val="24"/>
        </w:rPr>
        <w:t>O&amp;M</w:t>
      </w:r>
      <w:proofErr w:type="spellEnd"/>
      <w:r w:rsidRPr="00CB2CB5">
        <w:rPr>
          <w:rFonts w:ascii="Times New Roman" w:eastAsia="Times New Roman" w:hAnsi="Times New Roman"/>
          <w:sz w:val="24"/>
        </w:rPr>
        <w:t xml:space="preserve"> expenditures were utilized for each option.</w:t>
      </w:r>
    </w:p>
    <w:p w14:paraId="385ACA02" w14:textId="77777777" w:rsidR="004E2B85" w:rsidRDefault="004E2B85" w:rsidP="004E2B85">
      <w:pPr>
        <w:pStyle w:val="ListParagraph"/>
        <w:spacing w:after="0" w:line="276" w:lineRule="auto"/>
        <w:contextualSpacing w:val="0"/>
        <w:jc w:val="both"/>
        <w:rPr>
          <w:rFonts w:ascii="Times New Roman" w:eastAsia="Times New Roman" w:hAnsi="Times New Roman"/>
          <w:sz w:val="24"/>
        </w:rPr>
      </w:pPr>
    </w:p>
    <w:p w14:paraId="06E60F18" w14:textId="58BEE88D" w:rsidR="0011499F" w:rsidRDefault="0011499F" w:rsidP="0011499F">
      <w:pPr>
        <w:pStyle w:val="ListParagraph"/>
        <w:numPr>
          <w:ilvl w:val="0"/>
          <w:numId w:val="144"/>
        </w:numPr>
        <w:spacing w:after="0" w:line="276" w:lineRule="auto"/>
        <w:contextualSpacing w:val="0"/>
        <w:jc w:val="both"/>
        <w:rPr>
          <w:rFonts w:ascii="Times New Roman" w:eastAsia="Times New Roman" w:hAnsi="Times New Roman"/>
          <w:b/>
          <w:bCs/>
          <w:sz w:val="24"/>
          <w:u w:val="single"/>
        </w:rPr>
      </w:pPr>
      <w:r>
        <w:rPr>
          <w:rFonts w:ascii="Times New Roman" w:eastAsia="Times New Roman" w:hAnsi="Times New Roman"/>
          <w:b/>
          <w:bCs/>
          <w:sz w:val="24"/>
          <w:u w:val="single"/>
        </w:rPr>
        <w:lastRenderedPageBreak/>
        <w:t>Newman 6</w:t>
      </w:r>
    </w:p>
    <w:p w14:paraId="5E5CBB54" w14:textId="77777777" w:rsidR="004E2B85" w:rsidRDefault="004E2B85" w:rsidP="004E2B85">
      <w:pPr>
        <w:spacing w:line="276" w:lineRule="auto"/>
        <w:ind w:left="720"/>
        <w:rPr>
          <w:rFonts w:eastAsia="Times New Roman"/>
        </w:rPr>
      </w:pPr>
    </w:p>
    <w:p w14:paraId="2EEC526C" w14:textId="0E048486" w:rsidR="004E2B85" w:rsidRPr="004E2B85" w:rsidRDefault="004E2B85" w:rsidP="004E2B85">
      <w:pPr>
        <w:spacing w:line="276" w:lineRule="auto"/>
        <w:ind w:left="720"/>
        <w:rPr>
          <w:rFonts w:eastAsia="Times New Roman"/>
        </w:rPr>
      </w:pPr>
      <w:r>
        <w:rPr>
          <w:rFonts w:eastAsia="Times New Roman"/>
        </w:rPr>
        <w:t>The full Newman 6 capacity is included at full nameplate for any system resource portfolio analysis.  However, Newman 6 is not allocated to New Mexico in any jurisdictional analysis.</w:t>
      </w:r>
    </w:p>
    <w:p w14:paraId="4E2DE7A8" w14:textId="0CF8D089" w:rsidR="0011499F" w:rsidRDefault="0011499F" w:rsidP="00A67B16">
      <w:pPr>
        <w:pStyle w:val="ListParagraph"/>
        <w:spacing w:after="0" w:line="276" w:lineRule="auto"/>
        <w:ind w:left="0"/>
        <w:contextualSpacing w:val="0"/>
        <w:jc w:val="both"/>
        <w:rPr>
          <w:rFonts w:ascii="Times New Roman" w:eastAsia="Times New Roman" w:hAnsi="Times New Roman"/>
          <w:b/>
          <w:bCs/>
          <w:sz w:val="24"/>
          <w:u w:val="single"/>
        </w:rPr>
      </w:pPr>
    </w:p>
    <w:p w14:paraId="4064D6C9" w14:textId="5034B123" w:rsidR="0011499F" w:rsidRDefault="0011499F" w:rsidP="0011499F">
      <w:pPr>
        <w:pStyle w:val="ListParagraph"/>
        <w:numPr>
          <w:ilvl w:val="0"/>
          <w:numId w:val="144"/>
        </w:numPr>
        <w:spacing w:after="0" w:line="276" w:lineRule="auto"/>
        <w:contextualSpacing w:val="0"/>
        <w:jc w:val="both"/>
        <w:rPr>
          <w:rFonts w:ascii="Times New Roman" w:eastAsia="Times New Roman" w:hAnsi="Times New Roman"/>
          <w:b/>
          <w:bCs/>
          <w:sz w:val="24"/>
          <w:u w:val="single"/>
        </w:rPr>
      </w:pPr>
      <w:r>
        <w:rPr>
          <w:rFonts w:ascii="Times New Roman" w:eastAsia="Times New Roman" w:hAnsi="Times New Roman"/>
          <w:b/>
          <w:bCs/>
          <w:sz w:val="24"/>
          <w:u w:val="single"/>
        </w:rPr>
        <w:t xml:space="preserve">PV 3 </w:t>
      </w:r>
    </w:p>
    <w:p w14:paraId="123C28A3" w14:textId="268B7DA1" w:rsidR="0011499F" w:rsidRDefault="0011499F" w:rsidP="0011499F">
      <w:pPr>
        <w:pStyle w:val="ListParagraph"/>
        <w:rPr>
          <w:rFonts w:ascii="Times New Roman" w:eastAsia="Times New Roman" w:hAnsi="Times New Roman"/>
          <w:b/>
          <w:bCs/>
          <w:sz w:val="24"/>
          <w:u w:val="single"/>
        </w:rPr>
      </w:pPr>
    </w:p>
    <w:p w14:paraId="505F437B" w14:textId="4FAA7228" w:rsidR="004E2B85" w:rsidRPr="004E2B85" w:rsidRDefault="004E2B85" w:rsidP="0011499F">
      <w:pPr>
        <w:pStyle w:val="ListParagraph"/>
        <w:rPr>
          <w:rFonts w:ascii="Times New Roman" w:eastAsia="Times New Roman" w:hAnsi="Times New Roman"/>
          <w:sz w:val="24"/>
        </w:rPr>
      </w:pPr>
      <w:r>
        <w:rPr>
          <w:rFonts w:ascii="Times New Roman" w:eastAsia="Times New Roman" w:hAnsi="Times New Roman"/>
          <w:sz w:val="24"/>
        </w:rPr>
        <w:t>The full EPE owned PV3 capacity is included at full nameplate for any system resource portfolio analysis.  However, PV3 is not allocated to New Mexico in any jurisdictional analysis.</w:t>
      </w:r>
    </w:p>
    <w:p w14:paraId="107C790A" w14:textId="77777777" w:rsidR="0011499F" w:rsidRPr="0011499F" w:rsidRDefault="0011499F" w:rsidP="0011499F">
      <w:pPr>
        <w:spacing w:line="276" w:lineRule="auto"/>
        <w:rPr>
          <w:rFonts w:eastAsia="Times New Roman"/>
          <w:b/>
          <w:bCs/>
          <w:u w:val="single"/>
        </w:rPr>
      </w:pPr>
    </w:p>
    <w:p w14:paraId="21A8B3B2" w14:textId="11A82850" w:rsidR="00A67B16" w:rsidRDefault="00A67B16" w:rsidP="00A67B16">
      <w:pPr>
        <w:pStyle w:val="ListParagraph"/>
        <w:spacing w:after="0" w:line="276" w:lineRule="auto"/>
        <w:ind w:left="0"/>
        <w:contextualSpacing w:val="0"/>
        <w:jc w:val="both"/>
        <w:rPr>
          <w:rFonts w:ascii="Times New Roman" w:eastAsia="Times New Roman" w:hAnsi="Times New Roman"/>
          <w:b/>
          <w:bCs/>
          <w:sz w:val="24"/>
          <w:u w:val="single"/>
        </w:rPr>
      </w:pPr>
      <w:r>
        <w:rPr>
          <w:rFonts w:ascii="Times New Roman" w:eastAsia="Times New Roman" w:hAnsi="Times New Roman"/>
          <w:b/>
          <w:bCs/>
          <w:sz w:val="24"/>
          <w:u w:val="single"/>
        </w:rPr>
        <w:t xml:space="preserve">Least Cost System-Wide Portfolio </w:t>
      </w:r>
      <w:r w:rsidR="004E2B85">
        <w:rPr>
          <w:rFonts w:ascii="Times New Roman" w:eastAsia="Times New Roman" w:hAnsi="Times New Roman"/>
          <w:b/>
          <w:bCs/>
          <w:sz w:val="24"/>
          <w:u w:val="single"/>
        </w:rPr>
        <w:t>Analysis</w:t>
      </w:r>
    </w:p>
    <w:p w14:paraId="54E4387F" w14:textId="5258328F" w:rsidR="00846797" w:rsidRDefault="00846797" w:rsidP="00846797">
      <w:pPr>
        <w:pStyle w:val="ListParagraph"/>
        <w:spacing w:after="0" w:line="276" w:lineRule="auto"/>
        <w:ind w:left="0"/>
        <w:contextualSpacing w:val="0"/>
        <w:jc w:val="both"/>
        <w:rPr>
          <w:rFonts w:ascii="Times New Roman" w:eastAsia="Times New Roman" w:hAnsi="Times New Roman"/>
          <w:b/>
          <w:bCs/>
          <w:sz w:val="24"/>
          <w:u w:val="single"/>
        </w:rPr>
      </w:pPr>
    </w:p>
    <w:p w14:paraId="1C986A4C" w14:textId="5F6626A3" w:rsidR="00846797" w:rsidRDefault="00A35D3D" w:rsidP="00846797">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t xml:space="preserve">EPE initiated the jurisdictional analysis for New Mexico RPS compliance by first establishing the Least Cost System-Wide Portfolio.  </w:t>
      </w:r>
      <w:r w:rsidR="00846797">
        <w:rPr>
          <w:rFonts w:ascii="Times New Roman" w:eastAsia="Times New Roman" w:hAnsi="Times New Roman"/>
          <w:sz w:val="24"/>
        </w:rPr>
        <w:t xml:space="preserve">The Least Cost System-Wide Portfolio </w:t>
      </w:r>
      <w:r w:rsidR="0033528A">
        <w:rPr>
          <w:rFonts w:ascii="Times New Roman" w:eastAsia="Times New Roman" w:hAnsi="Times New Roman"/>
          <w:sz w:val="24"/>
        </w:rPr>
        <w:t>capacity additions by year are de</w:t>
      </w:r>
      <w:r w:rsidR="00A51755">
        <w:rPr>
          <w:rFonts w:ascii="Times New Roman" w:eastAsia="Times New Roman" w:hAnsi="Times New Roman"/>
          <w:sz w:val="24"/>
        </w:rPr>
        <w:t>picted</w:t>
      </w:r>
      <w:r w:rsidR="0033528A">
        <w:rPr>
          <w:rFonts w:ascii="Times New Roman" w:eastAsia="Times New Roman" w:hAnsi="Times New Roman"/>
          <w:sz w:val="24"/>
        </w:rPr>
        <w:t xml:space="preserve"> </w:t>
      </w:r>
      <w:r w:rsidR="00CF53ED">
        <w:rPr>
          <w:rFonts w:ascii="Times New Roman" w:eastAsia="Times New Roman" w:hAnsi="Times New Roman"/>
          <w:sz w:val="24"/>
        </w:rPr>
        <w:t xml:space="preserve">in Figure 17 </w:t>
      </w:r>
      <w:r w:rsidR="0033528A">
        <w:rPr>
          <w:rFonts w:ascii="Times New Roman" w:eastAsia="Times New Roman" w:hAnsi="Times New Roman"/>
          <w:sz w:val="24"/>
        </w:rPr>
        <w:t xml:space="preserve">below.  The portfolio includes selection of retirement extensions for Newman 1, Newman </w:t>
      </w:r>
      <w:proofErr w:type="gramStart"/>
      <w:r w:rsidR="0033528A">
        <w:rPr>
          <w:rFonts w:ascii="Times New Roman" w:eastAsia="Times New Roman" w:hAnsi="Times New Roman"/>
          <w:sz w:val="24"/>
        </w:rPr>
        <w:t>3</w:t>
      </w:r>
      <w:proofErr w:type="gramEnd"/>
      <w:r w:rsidR="0033528A">
        <w:rPr>
          <w:rFonts w:ascii="Times New Roman" w:eastAsia="Times New Roman" w:hAnsi="Times New Roman"/>
          <w:sz w:val="24"/>
        </w:rPr>
        <w:t xml:space="preserve"> and Newman 4.  Additional sensitivities for retirement analysis will be performed plus review of permitting and reliability considerations.  Retirement of units are denoted below the x-axis line.</w:t>
      </w:r>
    </w:p>
    <w:p w14:paraId="0D218012" w14:textId="593AF6A6" w:rsidR="0033528A" w:rsidRDefault="0033528A" w:rsidP="00846797">
      <w:pPr>
        <w:pStyle w:val="ListParagraph"/>
        <w:spacing w:after="0" w:line="276" w:lineRule="auto"/>
        <w:ind w:left="0"/>
        <w:contextualSpacing w:val="0"/>
        <w:jc w:val="both"/>
        <w:rPr>
          <w:rFonts w:ascii="Times New Roman" w:eastAsia="Times New Roman" w:hAnsi="Times New Roman"/>
          <w:sz w:val="24"/>
        </w:rPr>
      </w:pPr>
    </w:p>
    <w:p w14:paraId="46151C6A" w14:textId="7B9511C8" w:rsidR="0033528A" w:rsidRPr="00846797" w:rsidRDefault="0033528A" w:rsidP="00846797">
      <w:pPr>
        <w:pStyle w:val="ListParagraph"/>
        <w:spacing w:after="0" w:line="276" w:lineRule="auto"/>
        <w:ind w:left="0"/>
        <w:contextualSpacing w:val="0"/>
        <w:jc w:val="both"/>
        <w:rPr>
          <w:rFonts w:ascii="Times New Roman" w:eastAsia="Times New Roman" w:hAnsi="Times New Roman"/>
          <w:sz w:val="24"/>
        </w:rPr>
      </w:pPr>
      <w:r>
        <w:rPr>
          <w:noProof/>
        </w:rPr>
        <w:drawing>
          <wp:inline distT="0" distB="0" distL="0" distR="0" wp14:anchorId="20D81108" wp14:editId="1C121EA0">
            <wp:extent cx="4705350" cy="3371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5350" cy="3371850"/>
                    </a:xfrm>
                    <a:prstGeom prst="rect">
                      <a:avLst/>
                    </a:prstGeom>
                  </pic:spPr>
                </pic:pic>
              </a:graphicData>
            </a:graphic>
          </wp:inline>
        </w:drawing>
      </w:r>
    </w:p>
    <w:p w14:paraId="4E2D67A2" w14:textId="235F265A" w:rsidR="00CF53ED" w:rsidRDefault="00CF53ED" w:rsidP="00CF53ED">
      <w:pPr>
        <w:pStyle w:val="ListParagraph"/>
        <w:spacing w:after="0" w:line="276" w:lineRule="auto"/>
        <w:ind w:left="0"/>
        <w:contextualSpacing w:val="0"/>
        <w:jc w:val="center"/>
        <w:rPr>
          <w:rFonts w:ascii="Times New Roman" w:eastAsia="Times New Roman" w:hAnsi="Times New Roman"/>
          <w:b/>
          <w:bCs/>
          <w:sz w:val="24"/>
        </w:rPr>
      </w:pPr>
      <w:r>
        <w:rPr>
          <w:rFonts w:ascii="Times New Roman" w:eastAsia="Times New Roman" w:hAnsi="Times New Roman"/>
          <w:b/>
          <w:bCs/>
          <w:sz w:val="24"/>
        </w:rPr>
        <w:t>Figure 17.  Least Cost System-Wide Portfolio by Year</w:t>
      </w:r>
    </w:p>
    <w:p w14:paraId="144F0AFD" w14:textId="77777777" w:rsidR="00CF53ED" w:rsidRDefault="00CF53ED" w:rsidP="00CF53ED">
      <w:pPr>
        <w:pStyle w:val="ListParagraph"/>
        <w:spacing w:after="0" w:line="276" w:lineRule="auto"/>
        <w:ind w:left="0"/>
        <w:contextualSpacing w:val="0"/>
        <w:jc w:val="center"/>
        <w:rPr>
          <w:rFonts w:ascii="Times New Roman" w:eastAsia="Times New Roman" w:hAnsi="Times New Roman"/>
          <w:sz w:val="24"/>
        </w:rPr>
      </w:pPr>
    </w:p>
    <w:p w14:paraId="413E70A8" w14:textId="4F916AF5" w:rsidR="0033528A" w:rsidRDefault="0033528A"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lastRenderedPageBreak/>
        <w:t xml:space="preserve">The resulting resource energy mix of the Least Cost System-Wide portfolio are shown in </w:t>
      </w:r>
      <w:r w:rsidR="00FC5059">
        <w:rPr>
          <w:rFonts w:ascii="Times New Roman" w:eastAsia="Times New Roman" w:hAnsi="Times New Roman"/>
          <w:sz w:val="24"/>
        </w:rPr>
        <w:t>Figure 18 below.</w:t>
      </w:r>
    </w:p>
    <w:p w14:paraId="725A86F6" w14:textId="15F88B46" w:rsidR="0033528A" w:rsidRDefault="0033528A" w:rsidP="00EF5BBB">
      <w:pPr>
        <w:pStyle w:val="ListParagraph"/>
        <w:spacing w:after="0" w:line="276" w:lineRule="auto"/>
        <w:ind w:left="0"/>
        <w:contextualSpacing w:val="0"/>
        <w:jc w:val="both"/>
        <w:rPr>
          <w:rFonts w:ascii="Times New Roman" w:eastAsia="Times New Roman" w:hAnsi="Times New Roman"/>
          <w:sz w:val="24"/>
        </w:rPr>
      </w:pPr>
    </w:p>
    <w:p w14:paraId="7B03B24D" w14:textId="36896CFD" w:rsidR="0033528A" w:rsidRDefault="0033528A" w:rsidP="00EF5BBB">
      <w:pPr>
        <w:pStyle w:val="ListParagraph"/>
        <w:spacing w:after="0" w:line="276" w:lineRule="auto"/>
        <w:ind w:left="0"/>
        <w:contextualSpacing w:val="0"/>
        <w:jc w:val="both"/>
        <w:rPr>
          <w:rFonts w:ascii="Times New Roman" w:eastAsia="Times New Roman" w:hAnsi="Times New Roman"/>
          <w:sz w:val="24"/>
        </w:rPr>
      </w:pPr>
      <w:r w:rsidRPr="0033528A">
        <w:rPr>
          <w:noProof/>
        </w:rPr>
        <w:drawing>
          <wp:inline distT="0" distB="0" distL="0" distR="0" wp14:anchorId="5126F88E" wp14:editId="5F1A46D6">
            <wp:extent cx="4772025" cy="3438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72025" cy="3438525"/>
                    </a:xfrm>
                    <a:prstGeom prst="rect">
                      <a:avLst/>
                    </a:prstGeom>
                  </pic:spPr>
                </pic:pic>
              </a:graphicData>
            </a:graphic>
          </wp:inline>
        </w:drawing>
      </w:r>
    </w:p>
    <w:p w14:paraId="78CB0739" w14:textId="5910FB0A" w:rsidR="00846797" w:rsidRDefault="00FC5059" w:rsidP="00FC5059">
      <w:pPr>
        <w:pStyle w:val="ListParagraph"/>
        <w:spacing w:after="0" w:line="276" w:lineRule="auto"/>
        <w:ind w:left="0"/>
        <w:contextualSpacing w:val="0"/>
        <w:jc w:val="center"/>
        <w:rPr>
          <w:rFonts w:ascii="Times New Roman" w:eastAsia="Times New Roman" w:hAnsi="Times New Roman"/>
          <w:sz w:val="24"/>
        </w:rPr>
      </w:pPr>
      <w:r>
        <w:rPr>
          <w:rFonts w:ascii="Times New Roman" w:eastAsia="Times New Roman" w:hAnsi="Times New Roman"/>
          <w:b/>
          <w:bCs/>
          <w:sz w:val="24"/>
        </w:rPr>
        <w:t>Figure 18.  Least Cost System-Wide Portfolio</w:t>
      </w:r>
      <w:r w:rsidR="00AB5244">
        <w:rPr>
          <w:rFonts w:ascii="Times New Roman" w:eastAsia="Times New Roman" w:hAnsi="Times New Roman"/>
          <w:b/>
          <w:bCs/>
          <w:sz w:val="24"/>
        </w:rPr>
        <w:t xml:space="preserve"> by year</w:t>
      </w:r>
      <w:r>
        <w:rPr>
          <w:rFonts w:ascii="Times New Roman" w:eastAsia="Times New Roman" w:hAnsi="Times New Roman"/>
          <w:b/>
          <w:bCs/>
          <w:sz w:val="24"/>
        </w:rPr>
        <w:t xml:space="preserve"> Energy Mix</w:t>
      </w:r>
    </w:p>
    <w:p w14:paraId="08727408" w14:textId="77777777" w:rsidR="00846797" w:rsidRDefault="00846797" w:rsidP="00EF5BBB">
      <w:pPr>
        <w:pStyle w:val="ListParagraph"/>
        <w:spacing w:after="0" w:line="276" w:lineRule="auto"/>
        <w:ind w:left="0"/>
        <w:contextualSpacing w:val="0"/>
        <w:jc w:val="both"/>
        <w:rPr>
          <w:rFonts w:ascii="Times New Roman" w:eastAsia="Times New Roman" w:hAnsi="Times New Roman"/>
          <w:sz w:val="24"/>
        </w:rPr>
      </w:pPr>
    </w:p>
    <w:p w14:paraId="025EC220" w14:textId="77777777" w:rsidR="00EF5BBB" w:rsidRPr="007C2FCC" w:rsidRDefault="00EF5BBB" w:rsidP="00EF5BBB">
      <w:pPr>
        <w:pStyle w:val="ListParagraph"/>
        <w:spacing w:after="0" w:line="276" w:lineRule="auto"/>
        <w:ind w:left="0"/>
        <w:contextualSpacing w:val="0"/>
        <w:jc w:val="both"/>
        <w:rPr>
          <w:rFonts w:ascii="Times New Roman" w:eastAsia="Times New Roman" w:hAnsi="Times New Roman"/>
          <w:b/>
          <w:bCs/>
          <w:sz w:val="24"/>
          <w:u w:val="single"/>
        </w:rPr>
      </w:pPr>
      <w:r w:rsidRPr="007C2FCC">
        <w:rPr>
          <w:rFonts w:ascii="Times New Roman" w:eastAsia="Times New Roman" w:hAnsi="Times New Roman"/>
          <w:b/>
          <w:bCs/>
          <w:sz w:val="24"/>
          <w:u w:val="single"/>
        </w:rPr>
        <w:t>Jurisdictional Analysis</w:t>
      </w:r>
    </w:p>
    <w:p w14:paraId="0849F4E9" w14:textId="77777777" w:rsidR="00EF5BBB" w:rsidRDefault="00EF5BBB" w:rsidP="00EF5BBB">
      <w:pPr>
        <w:pStyle w:val="ListParagraph"/>
        <w:spacing w:after="0" w:line="276" w:lineRule="auto"/>
        <w:ind w:left="0"/>
        <w:contextualSpacing w:val="0"/>
        <w:jc w:val="both"/>
        <w:rPr>
          <w:rFonts w:ascii="Times New Roman" w:eastAsia="Times New Roman" w:hAnsi="Times New Roman"/>
          <w:sz w:val="24"/>
        </w:rPr>
      </w:pPr>
    </w:p>
    <w:p w14:paraId="1845335D" w14:textId="772A0733" w:rsidR="00EF5BBB" w:rsidRDefault="00B63F15"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sz w:val="24"/>
        </w:rPr>
        <w:t>Because</w:t>
      </w:r>
      <w:r w:rsidR="00EF5BBB">
        <w:rPr>
          <w:rFonts w:ascii="Times New Roman" w:eastAsia="Times New Roman" w:hAnsi="Times New Roman"/>
          <w:sz w:val="24"/>
        </w:rPr>
        <w:t xml:space="preserve"> the initial model runs were performed </w:t>
      </w:r>
      <w:r>
        <w:rPr>
          <w:rFonts w:ascii="Times New Roman" w:eastAsia="Times New Roman" w:hAnsi="Times New Roman"/>
          <w:sz w:val="24"/>
        </w:rPr>
        <w:t>on</w:t>
      </w:r>
      <w:r w:rsidR="00EF5BBB">
        <w:rPr>
          <w:rFonts w:ascii="Times New Roman" w:eastAsia="Times New Roman" w:hAnsi="Times New Roman"/>
          <w:sz w:val="24"/>
        </w:rPr>
        <w:t xml:space="preserve"> a total system </w:t>
      </w:r>
      <w:r>
        <w:rPr>
          <w:rFonts w:ascii="Times New Roman" w:eastAsia="Times New Roman" w:hAnsi="Times New Roman"/>
          <w:sz w:val="24"/>
        </w:rPr>
        <w:t>basis</w:t>
      </w:r>
      <w:r w:rsidR="00EF5BBB">
        <w:rPr>
          <w:rFonts w:ascii="Times New Roman" w:eastAsia="Times New Roman" w:hAnsi="Times New Roman"/>
          <w:sz w:val="24"/>
        </w:rPr>
        <w:t xml:space="preserve">, it was </w:t>
      </w:r>
      <w:r>
        <w:rPr>
          <w:rFonts w:ascii="Times New Roman" w:eastAsia="Times New Roman" w:hAnsi="Times New Roman"/>
          <w:sz w:val="24"/>
        </w:rPr>
        <w:t>next</w:t>
      </w:r>
      <w:r w:rsidR="00EF5BBB">
        <w:rPr>
          <w:rFonts w:ascii="Times New Roman" w:eastAsia="Times New Roman" w:hAnsi="Times New Roman"/>
          <w:sz w:val="24"/>
        </w:rPr>
        <w:t xml:space="preserve"> necessary to assess RPS </w:t>
      </w:r>
      <w:r>
        <w:rPr>
          <w:rFonts w:ascii="Times New Roman" w:eastAsia="Times New Roman" w:hAnsi="Times New Roman"/>
          <w:sz w:val="24"/>
        </w:rPr>
        <w:t>impacts on a jurisdictional basis.</w:t>
      </w:r>
      <w:r w:rsidR="00EF5BBB">
        <w:rPr>
          <w:rFonts w:ascii="Times New Roman" w:eastAsia="Times New Roman" w:hAnsi="Times New Roman"/>
          <w:sz w:val="24"/>
        </w:rPr>
        <w:t xml:space="preserve">  EPE opted to evaluate the jurisdictional </w:t>
      </w:r>
      <w:r>
        <w:rPr>
          <w:rFonts w:ascii="Times New Roman" w:eastAsia="Times New Roman" w:hAnsi="Times New Roman"/>
          <w:sz w:val="24"/>
        </w:rPr>
        <w:t>impacts</w:t>
      </w:r>
      <w:r w:rsidR="00EF5BBB">
        <w:rPr>
          <w:rFonts w:ascii="Times New Roman" w:eastAsia="Times New Roman" w:hAnsi="Times New Roman"/>
          <w:sz w:val="24"/>
        </w:rPr>
        <w:t xml:space="preserve"> by utilizing the </w:t>
      </w:r>
      <w:r w:rsidR="00A67B16">
        <w:rPr>
          <w:rFonts w:ascii="Times New Roman" w:eastAsia="Times New Roman" w:hAnsi="Times New Roman"/>
          <w:sz w:val="24"/>
        </w:rPr>
        <w:t xml:space="preserve">Least Cost System-Wide Portfolio </w:t>
      </w:r>
      <w:r w:rsidR="00EF5BBB">
        <w:rPr>
          <w:rFonts w:ascii="Times New Roman" w:eastAsia="Times New Roman" w:hAnsi="Times New Roman"/>
          <w:sz w:val="24"/>
        </w:rPr>
        <w:t>as the starting point.  The jurisdictional analysis evaluate</w:t>
      </w:r>
      <w:r w:rsidR="00A67B16">
        <w:rPr>
          <w:rFonts w:ascii="Times New Roman" w:eastAsia="Times New Roman" w:hAnsi="Times New Roman"/>
          <w:sz w:val="24"/>
        </w:rPr>
        <w:t>d</w:t>
      </w:r>
      <w:r w:rsidR="00EF5BBB">
        <w:rPr>
          <w:rFonts w:ascii="Times New Roman" w:eastAsia="Times New Roman" w:hAnsi="Times New Roman"/>
          <w:sz w:val="24"/>
        </w:rPr>
        <w:t xml:space="preserve"> th</w:t>
      </w:r>
      <w:r w:rsidR="00A67B16">
        <w:rPr>
          <w:rFonts w:ascii="Times New Roman" w:eastAsia="Times New Roman" w:hAnsi="Times New Roman"/>
          <w:sz w:val="24"/>
        </w:rPr>
        <w:t>re</w:t>
      </w:r>
      <w:r w:rsidR="00EF5BBB">
        <w:rPr>
          <w:rFonts w:ascii="Times New Roman" w:eastAsia="Times New Roman" w:hAnsi="Times New Roman"/>
          <w:sz w:val="24"/>
        </w:rPr>
        <w:t xml:space="preserve">e different approaches </w:t>
      </w:r>
      <w:r w:rsidR="00A67B16">
        <w:rPr>
          <w:rFonts w:ascii="Times New Roman" w:eastAsia="Times New Roman" w:hAnsi="Times New Roman"/>
          <w:sz w:val="24"/>
        </w:rPr>
        <w:t xml:space="preserve">to </w:t>
      </w:r>
      <w:r w:rsidR="005F41D6">
        <w:rPr>
          <w:rFonts w:ascii="Times New Roman" w:eastAsia="Times New Roman" w:hAnsi="Times New Roman"/>
          <w:sz w:val="24"/>
        </w:rPr>
        <w:t>meeting</w:t>
      </w:r>
      <w:r w:rsidR="00EF5BBB">
        <w:rPr>
          <w:rFonts w:ascii="Times New Roman" w:eastAsia="Times New Roman" w:hAnsi="Times New Roman"/>
          <w:sz w:val="24"/>
        </w:rPr>
        <w:t xml:space="preserve"> New Mexico REA </w:t>
      </w:r>
      <w:r w:rsidR="00A67B16">
        <w:rPr>
          <w:rFonts w:ascii="Times New Roman" w:eastAsia="Times New Roman" w:hAnsi="Times New Roman"/>
          <w:sz w:val="24"/>
        </w:rPr>
        <w:t>requirements</w:t>
      </w:r>
      <w:r w:rsidR="00480265">
        <w:rPr>
          <w:rFonts w:ascii="Times New Roman" w:eastAsia="Times New Roman" w:hAnsi="Times New Roman"/>
          <w:sz w:val="24"/>
        </w:rPr>
        <w:t>,</w:t>
      </w:r>
      <w:r w:rsidR="00A67B16">
        <w:rPr>
          <w:rFonts w:ascii="Times New Roman" w:eastAsia="Times New Roman" w:hAnsi="Times New Roman"/>
          <w:sz w:val="24"/>
        </w:rPr>
        <w:t xml:space="preserve"> </w:t>
      </w:r>
      <w:r w:rsidR="005F41D6">
        <w:rPr>
          <w:rFonts w:ascii="Times New Roman" w:eastAsia="Times New Roman" w:hAnsi="Times New Roman"/>
          <w:sz w:val="24"/>
        </w:rPr>
        <w:t xml:space="preserve">which resulted in three </w:t>
      </w:r>
      <w:r w:rsidR="00EF5BBB">
        <w:rPr>
          <w:rFonts w:ascii="Times New Roman" w:eastAsia="Times New Roman" w:hAnsi="Times New Roman"/>
          <w:sz w:val="24"/>
        </w:rPr>
        <w:t>New Mexico specific resource portfolio</w:t>
      </w:r>
      <w:r w:rsidR="005F41D6">
        <w:rPr>
          <w:rFonts w:ascii="Times New Roman" w:eastAsia="Times New Roman" w:hAnsi="Times New Roman"/>
          <w:sz w:val="24"/>
        </w:rPr>
        <w:t>s</w:t>
      </w:r>
      <w:r w:rsidR="00EF5BBB">
        <w:rPr>
          <w:rFonts w:ascii="Times New Roman" w:eastAsia="Times New Roman" w:hAnsi="Times New Roman"/>
          <w:sz w:val="24"/>
        </w:rPr>
        <w:t xml:space="preserve">.  </w:t>
      </w:r>
      <w:r w:rsidR="00AB5244">
        <w:rPr>
          <w:rFonts w:ascii="Times New Roman" w:eastAsia="Times New Roman" w:hAnsi="Times New Roman"/>
          <w:sz w:val="24"/>
        </w:rPr>
        <w:t xml:space="preserve">The three jurisdictional </w:t>
      </w:r>
      <w:r w:rsidR="002424C5">
        <w:rPr>
          <w:rFonts w:ascii="Times New Roman" w:eastAsia="Times New Roman" w:hAnsi="Times New Roman"/>
          <w:sz w:val="24"/>
        </w:rPr>
        <w:t>scenarios</w:t>
      </w:r>
      <w:r w:rsidR="00AB5244">
        <w:rPr>
          <w:rFonts w:ascii="Times New Roman" w:eastAsia="Times New Roman" w:hAnsi="Times New Roman"/>
          <w:sz w:val="24"/>
        </w:rPr>
        <w:t xml:space="preserve"> are summarized in Table 13 below.</w:t>
      </w:r>
    </w:p>
    <w:p w14:paraId="21865A1C" w14:textId="3A3B9999" w:rsidR="00C5548D" w:rsidRDefault="00C5548D" w:rsidP="00EF5BBB">
      <w:pPr>
        <w:pStyle w:val="ListParagraph"/>
        <w:spacing w:after="0" w:line="276" w:lineRule="auto"/>
        <w:ind w:left="0"/>
        <w:contextualSpacing w:val="0"/>
        <w:jc w:val="both"/>
        <w:rPr>
          <w:rFonts w:ascii="Times New Roman" w:eastAsia="Times New Roman" w:hAnsi="Times New Roman"/>
          <w:sz w:val="24"/>
        </w:rPr>
      </w:pPr>
    </w:p>
    <w:p w14:paraId="26036625"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1C67D4C0"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44C0CDBD"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5BB8ACC6"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7A441DFE"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7A210F65"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1EA0A22F"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64A223B5"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3E4A4BCB" w14:textId="77777777" w:rsidR="00480265" w:rsidRDefault="00480265" w:rsidP="00480265">
      <w:pPr>
        <w:pStyle w:val="ListParagraph"/>
        <w:spacing w:after="0" w:line="276" w:lineRule="auto"/>
        <w:ind w:left="0"/>
        <w:contextualSpacing w:val="0"/>
        <w:jc w:val="center"/>
        <w:rPr>
          <w:rFonts w:ascii="Times New Roman" w:eastAsia="Times New Roman" w:hAnsi="Times New Roman"/>
          <w:b/>
          <w:bCs/>
          <w:sz w:val="24"/>
        </w:rPr>
      </w:pPr>
    </w:p>
    <w:p w14:paraId="489DA7EC" w14:textId="3B40C174" w:rsidR="00480265" w:rsidRDefault="00480265" w:rsidP="00480265">
      <w:pPr>
        <w:pStyle w:val="ListParagraph"/>
        <w:spacing w:after="0" w:line="276" w:lineRule="auto"/>
        <w:ind w:left="0"/>
        <w:contextualSpacing w:val="0"/>
        <w:jc w:val="center"/>
        <w:rPr>
          <w:rFonts w:ascii="Times New Roman" w:eastAsia="Times New Roman" w:hAnsi="Times New Roman"/>
          <w:sz w:val="24"/>
        </w:rPr>
      </w:pPr>
      <w:r>
        <w:rPr>
          <w:rFonts w:ascii="Times New Roman" w:eastAsia="Times New Roman" w:hAnsi="Times New Roman"/>
          <w:b/>
          <w:bCs/>
          <w:sz w:val="24"/>
        </w:rPr>
        <w:lastRenderedPageBreak/>
        <w:t>Table 13.  New Resource Jurisdictional Allocation Options</w:t>
      </w:r>
    </w:p>
    <w:p w14:paraId="1B80499E" w14:textId="517B358D" w:rsidR="00C5548D" w:rsidRDefault="00C5548D" w:rsidP="00EF5BBB">
      <w:pPr>
        <w:pStyle w:val="ListParagraph"/>
        <w:spacing w:after="0" w:line="276" w:lineRule="auto"/>
        <w:ind w:left="0"/>
        <w:contextualSpacing w:val="0"/>
        <w:jc w:val="both"/>
        <w:rPr>
          <w:rFonts w:ascii="Times New Roman" w:eastAsia="Times New Roman" w:hAnsi="Times New Roman"/>
          <w:sz w:val="24"/>
        </w:rPr>
      </w:pPr>
      <w:r>
        <w:rPr>
          <w:rFonts w:ascii="Times New Roman" w:eastAsia="Times New Roman" w:hAnsi="Times New Roman"/>
          <w:noProof/>
          <w:sz w:val="24"/>
        </w:rPr>
        <w:drawing>
          <wp:inline distT="0" distB="0" distL="0" distR="0" wp14:anchorId="782C8734" wp14:editId="0A8F546D">
            <wp:extent cx="6026654" cy="28895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1498" cy="2925388"/>
                    </a:xfrm>
                    <a:prstGeom prst="rect">
                      <a:avLst/>
                    </a:prstGeom>
                    <a:noFill/>
                  </pic:spPr>
                </pic:pic>
              </a:graphicData>
            </a:graphic>
          </wp:inline>
        </w:drawing>
      </w:r>
    </w:p>
    <w:p w14:paraId="44CAB3F9" w14:textId="77777777" w:rsidR="00AB5244" w:rsidRPr="00AB5244" w:rsidRDefault="00AB5244" w:rsidP="00AB5244">
      <w:pPr>
        <w:spacing w:line="276" w:lineRule="auto"/>
        <w:ind w:left="360"/>
        <w:rPr>
          <w:rFonts w:eastAsia="Times New Roman"/>
        </w:rPr>
      </w:pPr>
    </w:p>
    <w:p w14:paraId="1D69FA14" w14:textId="434A7D9E" w:rsidR="00EF5BBB" w:rsidRDefault="005F41D6" w:rsidP="00EF5BBB">
      <w:pPr>
        <w:pStyle w:val="ListParagraph"/>
        <w:numPr>
          <w:ilvl w:val="0"/>
          <w:numId w:val="139"/>
        </w:numPr>
        <w:spacing w:after="0" w:line="276" w:lineRule="auto"/>
        <w:contextualSpacing w:val="0"/>
        <w:jc w:val="both"/>
        <w:rPr>
          <w:rFonts w:ascii="Times New Roman" w:eastAsia="Times New Roman" w:hAnsi="Times New Roman"/>
          <w:sz w:val="24"/>
        </w:rPr>
      </w:pPr>
      <w:r w:rsidRPr="005F41D6">
        <w:rPr>
          <w:rFonts w:ascii="Times New Roman" w:eastAsia="Times New Roman" w:hAnsi="Times New Roman"/>
          <w:b/>
          <w:bCs/>
          <w:sz w:val="24"/>
          <w:u w:val="single"/>
        </w:rPr>
        <w:t>Option-1.</w:t>
      </w:r>
      <w:r w:rsidRPr="00A35D3D">
        <w:rPr>
          <w:rFonts w:ascii="Times New Roman" w:eastAsia="Times New Roman" w:hAnsi="Times New Roman"/>
          <w:sz w:val="24"/>
        </w:rPr>
        <w:t xml:space="preserve">  </w:t>
      </w:r>
      <w:r w:rsidR="0088394F">
        <w:rPr>
          <w:rFonts w:ascii="Times New Roman" w:eastAsia="Times New Roman" w:hAnsi="Times New Roman"/>
          <w:sz w:val="24"/>
        </w:rPr>
        <w:t xml:space="preserve">Least Cost </w:t>
      </w:r>
      <w:r>
        <w:rPr>
          <w:rFonts w:ascii="Times New Roman" w:eastAsia="Times New Roman" w:hAnsi="Times New Roman"/>
          <w:sz w:val="24"/>
        </w:rPr>
        <w:t xml:space="preserve">Option </w:t>
      </w:r>
      <w:r w:rsidR="0088394F">
        <w:rPr>
          <w:rFonts w:ascii="Times New Roman" w:eastAsia="Times New Roman" w:hAnsi="Times New Roman"/>
          <w:sz w:val="24"/>
        </w:rPr>
        <w:t xml:space="preserve">- </w:t>
      </w:r>
      <w:r w:rsidR="00EF5BBB">
        <w:rPr>
          <w:rFonts w:ascii="Times New Roman" w:eastAsia="Times New Roman" w:hAnsi="Times New Roman"/>
          <w:sz w:val="24"/>
        </w:rPr>
        <w:t xml:space="preserve">System Portfolio Allocated </w:t>
      </w:r>
      <w:r w:rsidR="0088394F">
        <w:rPr>
          <w:rFonts w:ascii="Times New Roman" w:eastAsia="Times New Roman" w:hAnsi="Times New Roman"/>
          <w:sz w:val="24"/>
        </w:rPr>
        <w:t>Proportionally (~80/20)</w:t>
      </w:r>
      <w:r w:rsidR="00EF5BBB">
        <w:rPr>
          <w:rFonts w:ascii="Times New Roman" w:eastAsia="Times New Roman" w:hAnsi="Times New Roman"/>
          <w:sz w:val="24"/>
        </w:rPr>
        <w:t xml:space="preserve"> and REC Transfer</w:t>
      </w:r>
      <w:r w:rsidR="00E05052">
        <w:rPr>
          <w:rFonts w:ascii="Times New Roman" w:eastAsia="Times New Roman" w:hAnsi="Times New Roman"/>
          <w:sz w:val="24"/>
        </w:rPr>
        <w:t>.</w:t>
      </w:r>
      <w:r w:rsidR="00EF5BBB">
        <w:rPr>
          <w:rFonts w:ascii="Times New Roman" w:eastAsia="Times New Roman" w:hAnsi="Times New Roman"/>
          <w:sz w:val="24"/>
        </w:rPr>
        <w:t xml:space="preserve"> </w:t>
      </w:r>
    </w:p>
    <w:p w14:paraId="1BC1EC32" w14:textId="77777777" w:rsidR="00480265" w:rsidRDefault="00480265" w:rsidP="00480265">
      <w:pPr>
        <w:pStyle w:val="ListParagraph"/>
        <w:spacing w:after="0" w:line="276" w:lineRule="auto"/>
        <w:contextualSpacing w:val="0"/>
        <w:jc w:val="both"/>
        <w:rPr>
          <w:rFonts w:ascii="Times New Roman" w:eastAsia="Times New Roman" w:hAnsi="Times New Roman"/>
          <w:sz w:val="24"/>
        </w:rPr>
      </w:pPr>
    </w:p>
    <w:p w14:paraId="05AB9172" w14:textId="6E528B5D" w:rsidR="00EF5BBB" w:rsidRDefault="004964DD" w:rsidP="00EF5BBB">
      <w:pPr>
        <w:spacing w:line="276" w:lineRule="auto"/>
        <w:ind w:left="720"/>
        <w:rPr>
          <w:rFonts w:eastAsia="Times New Roman"/>
        </w:rPr>
      </w:pPr>
      <w:r>
        <w:rPr>
          <w:rFonts w:eastAsia="Times New Roman"/>
        </w:rPr>
        <w:t>Under this option, a</w:t>
      </w:r>
      <w:r w:rsidR="00EF5BBB">
        <w:rPr>
          <w:rFonts w:eastAsia="Times New Roman"/>
        </w:rPr>
        <w:t xml:space="preserve">ll new resources are allocated </w:t>
      </w:r>
      <w:r w:rsidR="003949CA">
        <w:rPr>
          <w:rFonts w:eastAsia="Times New Roman"/>
        </w:rPr>
        <w:t>on a jurisdictional basis</w:t>
      </w:r>
      <w:r w:rsidR="00EF5BBB">
        <w:rPr>
          <w:rFonts w:eastAsia="Times New Roman"/>
        </w:rPr>
        <w:t>, inclusive of gas and renewable</w:t>
      </w:r>
      <w:r>
        <w:rPr>
          <w:rFonts w:eastAsia="Times New Roman"/>
        </w:rPr>
        <w:t xml:space="preserve"> energy and associated </w:t>
      </w:r>
      <w:proofErr w:type="spellStart"/>
      <w:r>
        <w:rPr>
          <w:rFonts w:eastAsia="Times New Roman"/>
        </w:rPr>
        <w:t>REC</w:t>
      </w:r>
      <w:r w:rsidR="00EF5BBB">
        <w:rPr>
          <w:rFonts w:eastAsia="Times New Roman"/>
        </w:rPr>
        <w:t>s.</w:t>
      </w:r>
      <w:proofErr w:type="spellEnd"/>
      <w:r w:rsidR="00EF5BBB">
        <w:rPr>
          <w:rFonts w:eastAsia="Times New Roman"/>
        </w:rPr>
        <w:t xml:space="preserve">  Once allocated, New Mexico’s RPS </w:t>
      </w:r>
      <w:r>
        <w:rPr>
          <w:rFonts w:eastAsia="Times New Roman"/>
        </w:rPr>
        <w:t>is met through renewable energy delivered to EPE’s system</w:t>
      </w:r>
      <w:r w:rsidR="00F67C36">
        <w:rPr>
          <w:rFonts w:eastAsia="Times New Roman"/>
        </w:rPr>
        <w:t xml:space="preserve"> inclusive of: (1) </w:t>
      </w:r>
      <w:r w:rsidR="006E72A7">
        <w:rPr>
          <w:rFonts w:eastAsia="Times New Roman"/>
        </w:rPr>
        <w:t>renewable energy and RECs assigned to EPE’s New Mexico jurisdiction</w:t>
      </w:r>
      <w:r w:rsidR="00F67C36">
        <w:rPr>
          <w:rFonts w:eastAsia="Times New Roman"/>
        </w:rPr>
        <w:t xml:space="preserve">; </w:t>
      </w:r>
      <w:r w:rsidR="00E05052">
        <w:rPr>
          <w:rFonts w:eastAsia="Times New Roman"/>
        </w:rPr>
        <w:t xml:space="preserve">(2) existing dedicated New Mexico RPS resources and associated RECs; </w:t>
      </w:r>
      <w:r w:rsidR="00F67C36">
        <w:rPr>
          <w:rFonts w:eastAsia="Times New Roman"/>
        </w:rPr>
        <w:t>and (</w:t>
      </w:r>
      <w:r w:rsidR="00E05052">
        <w:rPr>
          <w:rFonts w:eastAsia="Times New Roman"/>
        </w:rPr>
        <w:t>3</w:t>
      </w:r>
      <w:r w:rsidR="00F67C36">
        <w:rPr>
          <w:rFonts w:eastAsia="Times New Roman"/>
        </w:rPr>
        <w:t xml:space="preserve">) additional RECs assigned to </w:t>
      </w:r>
      <w:r w:rsidR="006E72A7">
        <w:rPr>
          <w:rFonts w:eastAsia="Times New Roman"/>
        </w:rPr>
        <w:t xml:space="preserve">EPE’s </w:t>
      </w:r>
      <w:r w:rsidR="00F67C36">
        <w:rPr>
          <w:rFonts w:eastAsia="Times New Roman"/>
        </w:rPr>
        <w:t>New Mexico</w:t>
      </w:r>
      <w:r w:rsidR="006E72A7">
        <w:rPr>
          <w:rFonts w:eastAsia="Times New Roman"/>
        </w:rPr>
        <w:t xml:space="preserve"> jurisdiction</w:t>
      </w:r>
      <w:r w:rsidR="00F67C36">
        <w:rPr>
          <w:rFonts w:eastAsia="Times New Roman"/>
        </w:rPr>
        <w:t xml:space="preserve">.   It is noted that this option </w:t>
      </w:r>
      <w:r w:rsidR="006E72A7">
        <w:rPr>
          <w:rFonts w:eastAsia="Times New Roman"/>
        </w:rPr>
        <w:t>assume</w:t>
      </w:r>
      <w:r w:rsidR="00F67C36">
        <w:rPr>
          <w:rFonts w:eastAsia="Times New Roman"/>
        </w:rPr>
        <w:t>s the transfer of stand-alone RECs from EPE’s Texas jurisdiction to EPE’s New Mexico jurisdiction to meet the</w:t>
      </w:r>
      <w:r w:rsidR="00C94707">
        <w:rPr>
          <w:rFonts w:eastAsia="Times New Roman"/>
        </w:rPr>
        <w:t xml:space="preserve"> </w:t>
      </w:r>
      <w:r w:rsidR="00951E13">
        <w:rPr>
          <w:rFonts w:eastAsia="Times New Roman"/>
        </w:rPr>
        <w:t>New Mexico</w:t>
      </w:r>
      <w:r w:rsidR="00C94707">
        <w:rPr>
          <w:rFonts w:eastAsia="Times New Roman"/>
        </w:rPr>
        <w:t xml:space="preserve"> </w:t>
      </w:r>
      <w:r w:rsidR="00F67C36">
        <w:rPr>
          <w:rFonts w:eastAsia="Times New Roman"/>
        </w:rPr>
        <w:t>REA requirements.</w:t>
      </w:r>
      <w:r w:rsidR="006E72A7">
        <w:rPr>
          <w:rFonts w:eastAsia="Times New Roman"/>
        </w:rPr>
        <w:t xml:space="preserve"> Additionally, this scenario assumes an allocation of new gas capacity to New Mexico, which could be converted to run on a higher share of hydrogen fuel in the future. </w:t>
      </w:r>
    </w:p>
    <w:p w14:paraId="0EFEF391" w14:textId="65D2B719" w:rsidR="00E16DFF" w:rsidRDefault="00E16DFF" w:rsidP="00EF5BBB">
      <w:pPr>
        <w:spacing w:line="276" w:lineRule="auto"/>
        <w:ind w:left="720"/>
        <w:rPr>
          <w:rFonts w:eastAsia="Times New Roman"/>
        </w:rPr>
      </w:pPr>
    </w:p>
    <w:p w14:paraId="5FC7277A" w14:textId="5F699A60" w:rsidR="00E16DFF" w:rsidRDefault="00E85F96" w:rsidP="00E85F96">
      <w:pPr>
        <w:spacing w:line="276" w:lineRule="auto"/>
        <w:rPr>
          <w:rFonts w:eastAsia="Times New Roman"/>
        </w:rPr>
      </w:pPr>
      <w:r w:rsidRPr="00E85F96">
        <w:rPr>
          <w:noProof/>
        </w:rPr>
        <w:lastRenderedPageBreak/>
        <w:drawing>
          <wp:inline distT="0" distB="0" distL="0" distR="0" wp14:anchorId="71543A1A" wp14:editId="05DFE7D2">
            <wp:extent cx="6389921" cy="39063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57552" cy="3947662"/>
                    </a:xfrm>
                    <a:prstGeom prst="rect">
                      <a:avLst/>
                    </a:prstGeom>
                  </pic:spPr>
                </pic:pic>
              </a:graphicData>
            </a:graphic>
          </wp:inline>
        </w:drawing>
      </w:r>
    </w:p>
    <w:p w14:paraId="69B662A2" w14:textId="76EBF37F" w:rsidR="00E16DFF" w:rsidRDefault="00D222D8" w:rsidP="00D222D8">
      <w:pPr>
        <w:spacing w:line="276" w:lineRule="auto"/>
        <w:ind w:left="720"/>
        <w:jc w:val="center"/>
        <w:rPr>
          <w:rFonts w:eastAsia="Times New Roman"/>
        </w:rPr>
      </w:pPr>
      <w:r>
        <w:rPr>
          <w:rFonts w:eastAsia="Times New Roman"/>
          <w:b/>
          <w:bCs/>
        </w:rPr>
        <w:t xml:space="preserve">Figure 19.  </w:t>
      </w:r>
      <w:r w:rsidR="00A7506F">
        <w:rPr>
          <w:rFonts w:eastAsia="Times New Roman"/>
          <w:b/>
          <w:bCs/>
        </w:rPr>
        <w:t>Option 1- Total System &amp; New Mexico Allocation Comparison</w:t>
      </w:r>
    </w:p>
    <w:p w14:paraId="25431890" w14:textId="77777777" w:rsidR="00D222D8" w:rsidRPr="007C2FCC" w:rsidRDefault="00D222D8" w:rsidP="00EF5BBB">
      <w:pPr>
        <w:spacing w:line="276" w:lineRule="auto"/>
        <w:ind w:left="720"/>
        <w:rPr>
          <w:rFonts w:eastAsia="Times New Roman"/>
        </w:rPr>
      </w:pPr>
    </w:p>
    <w:p w14:paraId="31DC5DAE" w14:textId="2B4D07FD" w:rsidR="00EF5BBB" w:rsidRDefault="00E05052" w:rsidP="00EF5BBB">
      <w:pPr>
        <w:pStyle w:val="ListParagraph"/>
        <w:numPr>
          <w:ilvl w:val="0"/>
          <w:numId w:val="139"/>
        </w:numPr>
        <w:spacing w:after="0" w:line="276" w:lineRule="auto"/>
        <w:contextualSpacing w:val="0"/>
        <w:jc w:val="both"/>
        <w:rPr>
          <w:rFonts w:ascii="Times New Roman" w:eastAsia="Times New Roman" w:hAnsi="Times New Roman"/>
          <w:sz w:val="24"/>
        </w:rPr>
      </w:pPr>
      <w:r w:rsidRPr="00A35D3D">
        <w:rPr>
          <w:rFonts w:ascii="Times New Roman" w:eastAsia="Times New Roman" w:hAnsi="Times New Roman"/>
          <w:b/>
          <w:bCs/>
          <w:sz w:val="24"/>
          <w:u w:val="single"/>
        </w:rPr>
        <w:t>Option 2.</w:t>
      </w:r>
      <w:r>
        <w:rPr>
          <w:rFonts w:ascii="Times New Roman" w:eastAsia="Times New Roman" w:hAnsi="Times New Roman"/>
          <w:sz w:val="24"/>
        </w:rPr>
        <w:t xml:space="preserve"> </w:t>
      </w:r>
      <w:r w:rsidR="0088394F">
        <w:rPr>
          <w:rFonts w:ascii="Times New Roman" w:eastAsia="Times New Roman" w:hAnsi="Times New Roman"/>
          <w:sz w:val="24"/>
        </w:rPr>
        <w:t xml:space="preserve">Least </w:t>
      </w:r>
      <w:proofErr w:type="gramStart"/>
      <w:r w:rsidR="0088394F">
        <w:rPr>
          <w:rFonts w:ascii="Times New Roman" w:eastAsia="Times New Roman" w:hAnsi="Times New Roman"/>
          <w:sz w:val="24"/>
        </w:rPr>
        <w:t>Cost</w:t>
      </w:r>
      <w:r w:rsidR="00425767">
        <w:rPr>
          <w:rFonts w:ascii="Times New Roman" w:eastAsia="Times New Roman" w:hAnsi="Times New Roman"/>
          <w:sz w:val="24"/>
        </w:rPr>
        <w:t xml:space="preserve"> </w:t>
      </w:r>
      <w:r w:rsidR="0088394F">
        <w:rPr>
          <w:rFonts w:ascii="Times New Roman" w:eastAsia="Times New Roman" w:hAnsi="Times New Roman"/>
          <w:sz w:val="24"/>
        </w:rPr>
        <w:t>Plus</w:t>
      </w:r>
      <w:proofErr w:type="gramEnd"/>
      <w:r w:rsidR="0088394F">
        <w:rPr>
          <w:rFonts w:ascii="Times New Roman" w:eastAsia="Times New Roman" w:hAnsi="Times New Roman"/>
          <w:sz w:val="24"/>
        </w:rPr>
        <w:t xml:space="preserve"> REA </w:t>
      </w:r>
      <w:r w:rsidR="00846797">
        <w:rPr>
          <w:rFonts w:ascii="Times New Roman" w:eastAsia="Times New Roman" w:hAnsi="Times New Roman"/>
          <w:sz w:val="24"/>
        </w:rPr>
        <w:t xml:space="preserve">Resources </w:t>
      </w:r>
      <w:r w:rsidR="0088394F">
        <w:rPr>
          <w:rFonts w:ascii="Times New Roman" w:eastAsia="Times New Roman" w:hAnsi="Times New Roman"/>
          <w:sz w:val="24"/>
        </w:rPr>
        <w:t xml:space="preserve">- </w:t>
      </w:r>
      <w:r w:rsidR="00EF5BBB">
        <w:rPr>
          <w:rFonts w:ascii="Times New Roman" w:eastAsia="Times New Roman" w:hAnsi="Times New Roman"/>
          <w:sz w:val="24"/>
        </w:rPr>
        <w:t xml:space="preserve">System Portfolio Allocated </w:t>
      </w:r>
      <w:r w:rsidR="00846797">
        <w:rPr>
          <w:rFonts w:ascii="Times New Roman" w:eastAsia="Times New Roman" w:hAnsi="Times New Roman"/>
          <w:sz w:val="24"/>
        </w:rPr>
        <w:t>P</w:t>
      </w:r>
      <w:r w:rsidR="0088394F">
        <w:rPr>
          <w:rFonts w:ascii="Times New Roman" w:eastAsia="Times New Roman" w:hAnsi="Times New Roman"/>
          <w:sz w:val="24"/>
        </w:rPr>
        <w:t>roportionally</w:t>
      </w:r>
      <w:r w:rsidR="00EF5BBB">
        <w:rPr>
          <w:rFonts w:ascii="Times New Roman" w:eastAsia="Times New Roman" w:hAnsi="Times New Roman"/>
          <w:sz w:val="24"/>
        </w:rPr>
        <w:t xml:space="preserve"> plus</w:t>
      </w:r>
      <w:r w:rsidR="00BA09F0">
        <w:rPr>
          <w:rFonts w:ascii="Times New Roman" w:eastAsia="Times New Roman" w:hAnsi="Times New Roman"/>
          <w:sz w:val="24"/>
        </w:rPr>
        <w:t xml:space="preserve"> </w:t>
      </w:r>
      <w:r w:rsidR="00951E13">
        <w:rPr>
          <w:rFonts w:ascii="Times New Roman" w:eastAsia="Times New Roman" w:hAnsi="Times New Roman"/>
          <w:sz w:val="24"/>
        </w:rPr>
        <w:t>New Mexico</w:t>
      </w:r>
      <w:r w:rsidR="00BA09F0">
        <w:rPr>
          <w:rFonts w:ascii="Times New Roman" w:eastAsia="Times New Roman" w:hAnsi="Times New Roman"/>
          <w:sz w:val="24"/>
        </w:rPr>
        <w:t xml:space="preserve"> </w:t>
      </w:r>
      <w:r w:rsidR="00EF5BBB">
        <w:rPr>
          <w:rFonts w:ascii="Times New Roman" w:eastAsia="Times New Roman" w:hAnsi="Times New Roman"/>
          <w:sz w:val="24"/>
        </w:rPr>
        <w:t>Dedicated Resources</w:t>
      </w:r>
      <w:r>
        <w:rPr>
          <w:rFonts w:ascii="Times New Roman" w:eastAsia="Times New Roman" w:hAnsi="Times New Roman"/>
          <w:sz w:val="24"/>
        </w:rPr>
        <w:t>.</w:t>
      </w:r>
      <w:r w:rsidR="00EF5BBB">
        <w:rPr>
          <w:rFonts w:ascii="Times New Roman" w:eastAsia="Times New Roman" w:hAnsi="Times New Roman"/>
          <w:sz w:val="24"/>
        </w:rPr>
        <w:t xml:space="preserve"> </w:t>
      </w:r>
      <w:r>
        <w:rPr>
          <w:rFonts w:ascii="Times New Roman" w:eastAsia="Times New Roman" w:hAnsi="Times New Roman"/>
          <w:sz w:val="24"/>
        </w:rPr>
        <w:t xml:space="preserve"> </w:t>
      </w:r>
    </w:p>
    <w:p w14:paraId="7B1FDFAB" w14:textId="77777777" w:rsidR="00480265" w:rsidRDefault="00480265" w:rsidP="00480265">
      <w:pPr>
        <w:pStyle w:val="ListParagraph"/>
        <w:spacing w:after="0" w:line="276" w:lineRule="auto"/>
        <w:contextualSpacing w:val="0"/>
        <w:jc w:val="both"/>
        <w:rPr>
          <w:rFonts w:ascii="Times New Roman" w:eastAsia="Times New Roman" w:hAnsi="Times New Roman"/>
          <w:sz w:val="24"/>
        </w:rPr>
      </w:pPr>
    </w:p>
    <w:p w14:paraId="6E02B8DB" w14:textId="389E1B6D" w:rsidR="00EF5BBB" w:rsidRDefault="00E05052" w:rsidP="00EF5BBB">
      <w:pPr>
        <w:pStyle w:val="ListParagraph"/>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Under this option, </w:t>
      </w:r>
      <w:r w:rsidRPr="00A35D3D">
        <w:rPr>
          <w:rFonts w:ascii="Times New Roman" w:eastAsia="Times New Roman" w:hAnsi="Times New Roman"/>
          <w:sz w:val="24"/>
        </w:rPr>
        <w:t>all new resources are allocated on a jurisdictional basis</w:t>
      </w:r>
      <w:r>
        <w:rPr>
          <w:rFonts w:eastAsia="Times New Roman"/>
        </w:rPr>
        <w:t>,</w:t>
      </w:r>
      <w:r>
        <w:rPr>
          <w:rFonts w:ascii="Times New Roman" w:eastAsia="Times New Roman" w:hAnsi="Times New Roman"/>
          <w:sz w:val="24"/>
        </w:rPr>
        <w:t xml:space="preserve"> </w:t>
      </w:r>
      <w:proofErr w:type="gramStart"/>
      <w:r>
        <w:rPr>
          <w:rFonts w:ascii="Times New Roman" w:eastAsia="Times New Roman" w:hAnsi="Times New Roman"/>
          <w:sz w:val="24"/>
        </w:rPr>
        <w:t>with the exception of</w:t>
      </w:r>
      <w:proofErr w:type="gramEnd"/>
      <w:r w:rsidR="00EF5BBB">
        <w:rPr>
          <w:rFonts w:ascii="Times New Roman" w:eastAsia="Times New Roman" w:hAnsi="Times New Roman"/>
          <w:sz w:val="24"/>
        </w:rPr>
        <w:t xml:space="preserve"> new gas </w:t>
      </w:r>
      <w:r w:rsidR="0011499F">
        <w:rPr>
          <w:rFonts w:ascii="Times New Roman" w:eastAsia="Times New Roman" w:hAnsi="Times New Roman"/>
          <w:sz w:val="24"/>
        </w:rPr>
        <w:t>after</w:t>
      </w:r>
      <w:r w:rsidR="002424C5">
        <w:rPr>
          <w:rFonts w:ascii="Times New Roman" w:eastAsia="Times New Roman" w:hAnsi="Times New Roman"/>
          <w:sz w:val="24"/>
        </w:rPr>
        <w:t xml:space="preserve"> 2024 </w:t>
      </w:r>
      <w:r w:rsidR="00BA09F0">
        <w:rPr>
          <w:rFonts w:ascii="Times New Roman" w:eastAsia="Times New Roman" w:hAnsi="Times New Roman"/>
          <w:sz w:val="24"/>
        </w:rPr>
        <w:t xml:space="preserve">which is </w:t>
      </w:r>
      <w:r w:rsidR="00EF5BBB">
        <w:rPr>
          <w:rFonts w:ascii="Times New Roman" w:eastAsia="Times New Roman" w:hAnsi="Times New Roman"/>
          <w:sz w:val="24"/>
        </w:rPr>
        <w:t>100 percent allocated to Texas</w:t>
      </w:r>
      <w:r w:rsidR="00EF5BBB">
        <w:rPr>
          <w:rStyle w:val="FootnoteReference"/>
          <w:rFonts w:ascii="Times New Roman" w:eastAsia="Times New Roman" w:hAnsi="Times New Roman"/>
          <w:sz w:val="24"/>
        </w:rPr>
        <w:footnoteReference w:id="8"/>
      </w:r>
      <w:r w:rsidR="00EF5BBB">
        <w:rPr>
          <w:rFonts w:ascii="Times New Roman" w:eastAsia="Times New Roman" w:hAnsi="Times New Roman"/>
          <w:sz w:val="24"/>
        </w:rPr>
        <w:t xml:space="preserve">.  </w:t>
      </w:r>
      <w:r w:rsidR="002424C5">
        <w:rPr>
          <w:rFonts w:ascii="Times New Roman" w:eastAsia="Times New Roman" w:hAnsi="Times New Roman"/>
          <w:sz w:val="24"/>
        </w:rPr>
        <w:t>Additionally, under this scenario</w:t>
      </w:r>
      <w:r w:rsidR="00550A11">
        <w:rPr>
          <w:rFonts w:ascii="Times New Roman" w:eastAsia="Times New Roman" w:hAnsi="Times New Roman"/>
          <w:sz w:val="24"/>
        </w:rPr>
        <w:t xml:space="preserve">, to meet </w:t>
      </w:r>
      <w:r w:rsidR="00EF5BBB">
        <w:rPr>
          <w:rFonts w:ascii="Times New Roman" w:eastAsia="Times New Roman" w:hAnsi="Times New Roman"/>
          <w:sz w:val="24"/>
        </w:rPr>
        <w:t>New Mexico</w:t>
      </w:r>
      <w:r w:rsidR="00550A11">
        <w:rPr>
          <w:rFonts w:ascii="Times New Roman" w:eastAsia="Times New Roman" w:hAnsi="Times New Roman"/>
          <w:sz w:val="24"/>
        </w:rPr>
        <w:t>’s</w:t>
      </w:r>
      <w:r w:rsidR="00EF5BBB">
        <w:rPr>
          <w:rFonts w:ascii="Times New Roman" w:eastAsia="Times New Roman" w:hAnsi="Times New Roman"/>
          <w:sz w:val="24"/>
        </w:rPr>
        <w:t xml:space="preserve"> </w:t>
      </w:r>
      <w:r w:rsidR="00550A11">
        <w:rPr>
          <w:rFonts w:ascii="Times New Roman" w:eastAsia="Times New Roman" w:hAnsi="Times New Roman"/>
          <w:sz w:val="24"/>
        </w:rPr>
        <w:t>RPS and capacity requirements, RESOLVE reoptimized and</w:t>
      </w:r>
      <w:r w:rsidR="00951E13">
        <w:rPr>
          <w:rFonts w:ascii="Times New Roman" w:eastAsia="Times New Roman" w:hAnsi="Times New Roman"/>
          <w:sz w:val="24"/>
        </w:rPr>
        <w:t xml:space="preserve"> New Mexico </w:t>
      </w:r>
      <w:r w:rsidR="00550A11">
        <w:rPr>
          <w:rFonts w:ascii="Times New Roman" w:eastAsia="Times New Roman" w:hAnsi="Times New Roman"/>
          <w:sz w:val="24"/>
        </w:rPr>
        <w:t>dedicated renewable and capacity resources were selected to meet New Mexico’s jurisdictional requirements.  Importantly</w:t>
      </w:r>
      <w:r w:rsidR="00846797">
        <w:rPr>
          <w:rFonts w:ascii="Times New Roman" w:eastAsia="Times New Roman" w:hAnsi="Times New Roman"/>
          <w:sz w:val="24"/>
        </w:rPr>
        <w:t xml:space="preserve">, this scenario </w:t>
      </w:r>
      <w:r w:rsidR="00550A11">
        <w:rPr>
          <w:rFonts w:ascii="Times New Roman" w:eastAsia="Times New Roman" w:hAnsi="Times New Roman"/>
          <w:sz w:val="24"/>
        </w:rPr>
        <w:t xml:space="preserve">allows </w:t>
      </w:r>
      <w:r w:rsidR="00846797">
        <w:rPr>
          <w:rFonts w:ascii="Times New Roman" w:eastAsia="Times New Roman" w:hAnsi="Times New Roman"/>
          <w:sz w:val="24"/>
        </w:rPr>
        <w:t>capacity pooling and</w:t>
      </w:r>
      <w:r w:rsidR="009759E8">
        <w:rPr>
          <w:rFonts w:ascii="Times New Roman" w:eastAsia="Times New Roman" w:hAnsi="Times New Roman"/>
          <w:sz w:val="24"/>
        </w:rPr>
        <w:t xml:space="preserve"> d</w:t>
      </w:r>
      <w:r w:rsidR="00846797">
        <w:rPr>
          <w:rFonts w:ascii="Times New Roman" w:eastAsia="Times New Roman" w:hAnsi="Times New Roman"/>
          <w:sz w:val="24"/>
        </w:rPr>
        <w:t xml:space="preserve">ispatch benefits for system </w:t>
      </w:r>
      <w:r w:rsidR="00550A11">
        <w:rPr>
          <w:rFonts w:ascii="Times New Roman" w:eastAsia="Times New Roman" w:hAnsi="Times New Roman"/>
          <w:sz w:val="24"/>
        </w:rPr>
        <w:t xml:space="preserve">dispatch </w:t>
      </w:r>
      <w:r w:rsidR="00846797">
        <w:rPr>
          <w:rFonts w:ascii="Times New Roman" w:eastAsia="Times New Roman" w:hAnsi="Times New Roman"/>
          <w:sz w:val="24"/>
        </w:rPr>
        <w:t xml:space="preserve">optimization.  </w:t>
      </w:r>
      <w:r w:rsidR="00550A11">
        <w:rPr>
          <w:rFonts w:ascii="Times New Roman" w:eastAsia="Times New Roman" w:hAnsi="Times New Roman"/>
          <w:sz w:val="24"/>
        </w:rPr>
        <w:t>Under this scenario</w:t>
      </w:r>
      <w:r w:rsidR="00846797">
        <w:rPr>
          <w:rFonts w:ascii="Times New Roman" w:eastAsia="Times New Roman" w:hAnsi="Times New Roman"/>
          <w:sz w:val="24"/>
        </w:rPr>
        <w:t xml:space="preserve">, REA compliance is assessed at the annual interval, not hourly, </w:t>
      </w:r>
      <w:r w:rsidR="00550A11">
        <w:rPr>
          <w:rFonts w:ascii="Times New Roman" w:eastAsia="Times New Roman" w:hAnsi="Times New Roman"/>
          <w:sz w:val="24"/>
        </w:rPr>
        <w:t xml:space="preserve">allowing </w:t>
      </w:r>
      <w:r w:rsidR="00846797">
        <w:rPr>
          <w:rFonts w:ascii="Times New Roman" w:eastAsia="Times New Roman" w:hAnsi="Times New Roman"/>
          <w:sz w:val="24"/>
        </w:rPr>
        <w:t xml:space="preserve">gas resources </w:t>
      </w:r>
      <w:r w:rsidR="00550A11">
        <w:rPr>
          <w:rFonts w:ascii="Times New Roman" w:eastAsia="Times New Roman" w:hAnsi="Times New Roman"/>
          <w:sz w:val="24"/>
        </w:rPr>
        <w:t>when required to</w:t>
      </w:r>
      <w:r w:rsidR="00846797">
        <w:rPr>
          <w:rFonts w:ascii="Times New Roman" w:eastAsia="Times New Roman" w:hAnsi="Times New Roman"/>
          <w:sz w:val="24"/>
        </w:rPr>
        <w:t xml:space="preserve"> supply</w:t>
      </w:r>
      <w:r w:rsidR="00951E13">
        <w:rPr>
          <w:rFonts w:ascii="Times New Roman" w:eastAsia="Times New Roman" w:hAnsi="Times New Roman"/>
          <w:sz w:val="24"/>
        </w:rPr>
        <w:t xml:space="preserve"> New Mexico </w:t>
      </w:r>
      <w:r w:rsidR="00846797">
        <w:rPr>
          <w:rFonts w:ascii="Times New Roman" w:eastAsia="Times New Roman" w:hAnsi="Times New Roman"/>
          <w:sz w:val="24"/>
        </w:rPr>
        <w:t xml:space="preserve">energy needs.  Key to this scenario, is </w:t>
      </w:r>
      <w:r w:rsidR="006B1880">
        <w:rPr>
          <w:rFonts w:ascii="Times New Roman" w:eastAsia="Times New Roman" w:hAnsi="Times New Roman"/>
          <w:sz w:val="24"/>
        </w:rPr>
        <w:t>the modelling assumption of</w:t>
      </w:r>
      <w:r w:rsidR="00846797">
        <w:rPr>
          <w:rFonts w:ascii="Times New Roman" w:eastAsia="Times New Roman" w:hAnsi="Times New Roman"/>
          <w:sz w:val="24"/>
        </w:rPr>
        <w:t xml:space="preserve"> sufficient </w:t>
      </w:r>
      <w:r w:rsidR="00550A11">
        <w:rPr>
          <w:rFonts w:ascii="Times New Roman" w:eastAsia="Times New Roman" w:hAnsi="Times New Roman"/>
          <w:sz w:val="24"/>
        </w:rPr>
        <w:t xml:space="preserve">annual </w:t>
      </w:r>
      <w:r w:rsidR="00846797">
        <w:rPr>
          <w:rFonts w:ascii="Times New Roman" w:eastAsia="Times New Roman" w:hAnsi="Times New Roman"/>
          <w:sz w:val="24"/>
        </w:rPr>
        <w:t>renewable energy generated from</w:t>
      </w:r>
      <w:r w:rsidR="00951E13">
        <w:rPr>
          <w:rFonts w:ascii="Times New Roman" w:eastAsia="Times New Roman" w:hAnsi="Times New Roman"/>
          <w:sz w:val="24"/>
        </w:rPr>
        <w:t xml:space="preserve"> New Mexico </w:t>
      </w:r>
      <w:r w:rsidR="00846797">
        <w:rPr>
          <w:rFonts w:ascii="Times New Roman" w:eastAsia="Times New Roman" w:hAnsi="Times New Roman"/>
          <w:sz w:val="24"/>
        </w:rPr>
        <w:t>resources</w:t>
      </w:r>
      <w:r w:rsidR="006B1880">
        <w:rPr>
          <w:rFonts w:ascii="Times New Roman" w:eastAsia="Times New Roman" w:hAnsi="Times New Roman"/>
          <w:sz w:val="24"/>
        </w:rPr>
        <w:t xml:space="preserve"> (allocated and dedicate</w:t>
      </w:r>
      <w:r w:rsidR="00F70896">
        <w:rPr>
          <w:rFonts w:ascii="Times New Roman" w:eastAsia="Times New Roman" w:hAnsi="Times New Roman"/>
          <w:sz w:val="24"/>
        </w:rPr>
        <w:t>d</w:t>
      </w:r>
      <w:r w:rsidR="006B1880">
        <w:rPr>
          <w:rFonts w:ascii="Times New Roman" w:eastAsia="Times New Roman" w:hAnsi="Times New Roman"/>
          <w:sz w:val="24"/>
        </w:rPr>
        <w:t>)</w:t>
      </w:r>
      <w:r w:rsidR="00846797">
        <w:rPr>
          <w:rFonts w:ascii="Times New Roman" w:eastAsia="Times New Roman" w:hAnsi="Times New Roman"/>
          <w:sz w:val="24"/>
        </w:rPr>
        <w:t xml:space="preserve"> to equal or exceed the annual REA requirements defined by</w:t>
      </w:r>
      <w:r w:rsidR="00951E13">
        <w:rPr>
          <w:rFonts w:ascii="Times New Roman" w:eastAsia="Times New Roman" w:hAnsi="Times New Roman"/>
          <w:sz w:val="24"/>
        </w:rPr>
        <w:t xml:space="preserve"> New Mexico </w:t>
      </w:r>
      <w:r w:rsidR="00846797">
        <w:rPr>
          <w:rFonts w:ascii="Times New Roman" w:eastAsia="Times New Roman" w:hAnsi="Times New Roman"/>
          <w:sz w:val="24"/>
        </w:rPr>
        <w:t xml:space="preserve">retail sales.  </w:t>
      </w:r>
      <w:r w:rsidR="00EF5BBB">
        <w:rPr>
          <w:rFonts w:ascii="Times New Roman" w:eastAsia="Times New Roman" w:hAnsi="Times New Roman"/>
          <w:sz w:val="24"/>
        </w:rPr>
        <w:t xml:space="preserve">This </w:t>
      </w:r>
      <w:r w:rsidR="006B1880">
        <w:rPr>
          <w:rFonts w:ascii="Times New Roman" w:eastAsia="Times New Roman" w:hAnsi="Times New Roman"/>
          <w:sz w:val="24"/>
        </w:rPr>
        <w:t>scenario</w:t>
      </w:r>
      <w:r w:rsidR="00EF5BBB">
        <w:rPr>
          <w:rFonts w:ascii="Times New Roman" w:eastAsia="Times New Roman" w:hAnsi="Times New Roman"/>
          <w:sz w:val="24"/>
        </w:rPr>
        <w:t xml:space="preserve"> is most comparable to how EPE has addressed the IRP and the RPS through today </w:t>
      </w:r>
      <w:r w:rsidR="00A87069">
        <w:rPr>
          <w:rFonts w:ascii="Times New Roman" w:eastAsia="Times New Roman" w:hAnsi="Times New Roman"/>
          <w:sz w:val="24"/>
        </w:rPr>
        <w:t>except for</w:t>
      </w:r>
      <w:r w:rsidR="00EF5BBB">
        <w:rPr>
          <w:rFonts w:ascii="Times New Roman" w:eastAsia="Times New Roman" w:hAnsi="Times New Roman"/>
          <w:sz w:val="24"/>
        </w:rPr>
        <w:t xml:space="preserve"> the </w:t>
      </w:r>
      <w:r w:rsidR="00550A11">
        <w:rPr>
          <w:rFonts w:ascii="Times New Roman" w:eastAsia="Times New Roman" w:hAnsi="Times New Roman"/>
          <w:sz w:val="24"/>
        </w:rPr>
        <w:t xml:space="preserve">exclusion of </w:t>
      </w:r>
      <w:r w:rsidR="00EF5BBB">
        <w:rPr>
          <w:rFonts w:ascii="Times New Roman" w:eastAsia="Times New Roman" w:hAnsi="Times New Roman"/>
          <w:sz w:val="24"/>
        </w:rPr>
        <w:t>new gas resources.  Up until now, EPE has proposed</w:t>
      </w:r>
      <w:r w:rsidR="006B1880">
        <w:rPr>
          <w:rFonts w:ascii="Times New Roman" w:eastAsia="Times New Roman" w:hAnsi="Times New Roman"/>
          <w:sz w:val="24"/>
        </w:rPr>
        <w:t xml:space="preserve"> an approximate</w:t>
      </w:r>
      <w:r w:rsidR="00EF5BBB">
        <w:rPr>
          <w:rFonts w:ascii="Times New Roman" w:eastAsia="Times New Roman" w:hAnsi="Times New Roman"/>
          <w:sz w:val="24"/>
        </w:rPr>
        <w:t xml:space="preserve"> 80/20 allocation of new gas resources.</w:t>
      </w:r>
    </w:p>
    <w:p w14:paraId="4060D96B" w14:textId="2E33AD15" w:rsidR="00E16DFF" w:rsidRDefault="00E16DFF" w:rsidP="00E85F96">
      <w:pPr>
        <w:spacing w:line="276" w:lineRule="auto"/>
        <w:rPr>
          <w:rFonts w:eastAsia="Times New Roman"/>
        </w:rPr>
      </w:pPr>
    </w:p>
    <w:p w14:paraId="0F83D673" w14:textId="4450C3CA" w:rsidR="00E85F96" w:rsidRPr="00E85F96" w:rsidRDefault="00E85F96" w:rsidP="00E85F96">
      <w:pPr>
        <w:spacing w:line="276" w:lineRule="auto"/>
        <w:rPr>
          <w:rFonts w:eastAsia="Times New Roman"/>
        </w:rPr>
      </w:pPr>
      <w:r w:rsidRPr="00E85F96">
        <w:rPr>
          <w:noProof/>
        </w:rPr>
        <w:drawing>
          <wp:inline distT="0" distB="0" distL="0" distR="0" wp14:anchorId="6973F459" wp14:editId="1ADB96F7">
            <wp:extent cx="6356909" cy="3943185"/>
            <wp:effectExtent l="0" t="0" r="635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82122" cy="3958825"/>
                    </a:xfrm>
                    <a:prstGeom prst="rect">
                      <a:avLst/>
                    </a:prstGeom>
                  </pic:spPr>
                </pic:pic>
              </a:graphicData>
            </a:graphic>
          </wp:inline>
        </w:drawing>
      </w:r>
    </w:p>
    <w:p w14:paraId="48E8920D" w14:textId="168E89D3" w:rsidR="00A7506F" w:rsidRDefault="00A7506F" w:rsidP="00A7506F">
      <w:pPr>
        <w:spacing w:line="276" w:lineRule="auto"/>
        <w:ind w:left="720"/>
        <w:jc w:val="center"/>
        <w:rPr>
          <w:rFonts w:eastAsia="Times New Roman"/>
        </w:rPr>
      </w:pPr>
      <w:r>
        <w:rPr>
          <w:rFonts w:eastAsia="Times New Roman"/>
          <w:b/>
          <w:bCs/>
        </w:rPr>
        <w:t>Figure 20.  Option 2- Total System &amp; New Mexico Allocation Comparison</w:t>
      </w:r>
    </w:p>
    <w:p w14:paraId="5C08AD28" w14:textId="53E7B0B2" w:rsidR="00E16DFF" w:rsidRDefault="00E16DFF" w:rsidP="00A7506F">
      <w:pPr>
        <w:pStyle w:val="ListParagraph"/>
        <w:spacing w:after="0" w:line="276" w:lineRule="auto"/>
        <w:contextualSpacing w:val="0"/>
        <w:jc w:val="center"/>
        <w:rPr>
          <w:rFonts w:ascii="Times New Roman" w:eastAsia="Times New Roman" w:hAnsi="Times New Roman"/>
          <w:sz w:val="24"/>
        </w:rPr>
      </w:pPr>
    </w:p>
    <w:p w14:paraId="7A727C58" w14:textId="77777777" w:rsidR="00E16DFF" w:rsidRDefault="00E16DFF" w:rsidP="00EF5BBB">
      <w:pPr>
        <w:pStyle w:val="ListParagraph"/>
        <w:spacing w:after="0" w:line="276" w:lineRule="auto"/>
        <w:contextualSpacing w:val="0"/>
        <w:jc w:val="both"/>
        <w:rPr>
          <w:rFonts w:ascii="Times New Roman" w:eastAsia="Times New Roman" w:hAnsi="Times New Roman"/>
          <w:sz w:val="24"/>
        </w:rPr>
      </w:pPr>
    </w:p>
    <w:p w14:paraId="797AAD8B" w14:textId="13C7BAE7" w:rsidR="00EF5BBB" w:rsidRDefault="006B1880" w:rsidP="00EF5BBB">
      <w:pPr>
        <w:pStyle w:val="ListParagraph"/>
        <w:numPr>
          <w:ilvl w:val="0"/>
          <w:numId w:val="139"/>
        </w:numPr>
        <w:spacing w:after="0" w:line="276" w:lineRule="auto"/>
        <w:contextualSpacing w:val="0"/>
        <w:jc w:val="both"/>
        <w:rPr>
          <w:rFonts w:ascii="Times New Roman" w:eastAsia="Times New Roman" w:hAnsi="Times New Roman"/>
          <w:sz w:val="24"/>
        </w:rPr>
      </w:pPr>
      <w:r w:rsidRPr="00A35D3D">
        <w:rPr>
          <w:rFonts w:ascii="Times New Roman" w:eastAsia="Times New Roman" w:hAnsi="Times New Roman"/>
          <w:b/>
          <w:bCs/>
          <w:sz w:val="24"/>
          <w:u w:val="single"/>
        </w:rPr>
        <w:t>Option 3.</w:t>
      </w:r>
      <w:r>
        <w:rPr>
          <w:rFonts w:ascii="Times New Roman" w:eastAsia="Times New Roman" w:hAnsi="Times New Roman"/>
          <w:sz w:val="24"/>
        </w:rPr>
        <w:t xml:space="preserve"> </w:t>
      </w:r>
      <w:r w:rsidR="00EF5BBB">
        <w:rPr>
          <w:rFonts w:ascii="Times New Roman" w:eastAsia="Times New Roman" w:hAnsi="Times New Roman"/>
          <w:sz w:val="24"/>
        </w:rPr>
        <w:t>Separate Systems for</w:t>
      </w:r>
      <w:r w:rsidR="00951E13">
        <w:rPr>
          <w:rFonts w:ascii="Times New Roman" w:eastAsia="Times New Roman" w:hAnsi="Times New Roman"/>
          <w:sz w:val="24"/>
        </w:rPr>
        <w:t xml:space="preserve"> New Mexico </w:t>
      </w:r>
      <w:r w:rsidR="00EF5BBB">
        <w:rPr>
          <w:rFonts w:ascii="Times New Roman" w:eastAsia="Times New Roman" w:hAnsi="Times New Roman"/>
          <w:sz w:val="24"/>
        </w:rPr>
        <w:t>and Texas</w:t>
      </w:r>
      <w:r>
        <w:rPr>
          <w:rFonts w:ascii="Times New Roman" w:eastAsia="Times New Roman" w:hAnsi="Times New Roman"/>
          <w:sz w:val="24"/>
        </w:rPr>
        <w:t>.</w:t>
      </w:r>
    </w:p>
    <w:p w14:paraId="49876D85" w14:textId="77777777" w:rsidR="00480265" w:rsidRDefault="00480265" w:rsidP="00480265">
      <w:pPr>
        <w:pStyle w:val="ListParagraph"/>
        <w:spacing w:after="0" w:line="276" w:lineRule="auto"/>
        <w:contextualSpacing w:val="0"/>
        <w:jc w:val="both"/>
        <w:rPr>
          <w:rFonts w:ascii="Times New Roman" w:eastAsia="Times New Roman" w:hAnsi="Times New Roman"/>
          <w:sz w:val="24"/>
        </w:rPr>
      </w:pPr>
    </w:p>
    <w:p w14:paraId="72609904" w14:textId="7EB2E95E" w:rsidR="00EF5BBB" w:rsidRPr="00A35D3D" w:rsidRDefault="00EF5BBB" w:rsidP="0068546C">
      <w:pPr>
        <w:pStyle w:val="ListParagraph"/>
        <w:spacing w:after="0" w:line="276" w:lineRule="auto"/>
        <w:contextualSpacing w:val="0"/>
        <w:jc w:val="both"/>
        <w:rPr>
          <w:rFonts w:ascii="Times New Roman" w:eastAsia="Times New Roman" w:hAnsi="Times New Roman"/>
          <w:sz w:val="24"/>
        </w:rPr>
      </w:pPr>
      <w:r>
        <w:rPr>
          <w:rFonts w:ascii="Times New Roman" w:eastAsia="Times New Roman" w:hAnsi="Times New Roman"/>
          <w:sz w:val="24"/>
        </w:rPr>
        <w:t xml:space="preserve">This approach </w:t>
      </w:r>
      <w:r w:rsidR="006B1880">
        <w:rPr>
          <w:rFonts w:ascii="Times New Roman" w:eastAsia="Times New Roman" w:hAnsi="Times New Roman"/>
          <w:sz w:val="24"/>
        </w:rPr>
        <w:t>is based on</w:t>
      </w:r>
      <w:r w:rsidR="00AC7797">
        <w:rPr>
          <w:rFonts w:ascii="Times New Roman" w:eastAsia="Times New Roman" w:hAnsi="Times New Roman"/>
          <w:sz w:val="24"/>
        </w:rPr>
        <w:t xml:space="preserve"> a</w:t>
      </w:r>
      <w:r>
        <w:rPr>
          <w:rFonts w:ascii="Times New Roman" w:eastAsia="Times New Roman" w:hAnsi="Times New Roman"/>
          <w:sz w:val="24"/>
        </w:rPr>
        <w:t xml:space="preserve"> separate New Mexico portfolio and a separate Texas portfolio.  This </w:t>
      </w:r>
      <w:r w:rsidR="006B1880">
        <w:rPr>
          <w:rFonts w:ascii="Times New Roman" w:eastAsia="Times New Roman" w:hAnsi="Times New Roman"/>
          <w:sz w:val="24"/>
        </w:rPr>
        <w:t xml:space="preserve">scenario </w:t>
      </w:r>
      <w:r>
        <w:rPr>
          <w:rFonts w:ascii="Times New Roman" w:eastAsia="Times New Roman" w:hAnsi="Times New Roman"/>
          <w:sz w:val="24"/>
        </w:rPr>
        <w:t>segregate</w:t>
      </w:r>
      <w:r w:rsidR="006B1880">
        <w:rPr>
          <w:rFonts w:ascii="Times New Roman" w:eastAsia="Times New Roman" w:hAnsi="Times New Roman"/>
          <w:sz w:val="24"/>
        </w:rPr>
        <w:t>s EPE’s system</w:t>
      </w:r>
      <w:r w:rsidRPr="00A35D3D">
        <w:rPr>
          <w:rFonts w:ascii="Times New Roman" w:eastAsia="Times New Roman" w:hAnsi="Times New Roman"/>
          <w:sz w:val="24"/>
        </w:rPr>
        <w:t xml:space="preserve"> planning and identif</w:t>
      </w:r>
      <w:r w:rsidR="006B1880">
        <w:rPr>
          <w:rFonts w:ascii="Times New Roman" w:eastAsia="Times New Roman" w:hAnsi="Times New Roman"/>
          <w:sz w:val="24"/>
        </w:rPr>
        <w:t>ies</w:t>
      </w:r>
      <w:r w:rsidRPr="00A35D3D">
        <w:rPr>
          <w:rFonts w:ascii="Times New Roman" w:eastAsia="Times New Roman" w:hAnsi="Times New Roman"/>
          <w:sz w:val="24"/>
        </w:rPr>
        <w:t xml:space="preserve"> a New Mexico REA compliant portfolio with no allocations </w:t>
      </w:r>
      <w:r w:rsidR="006B1880">
        <w:rPr>
          <w:rFonts w:ascii="Times New Roman" w:eastAsia="Times New Roman" w:hAnsi="Times New Roman"/>
          <w:sz w:val="24"/>
        </w:rPr>
        <w:t xml:space="preserve">of </w:t>
      </w:r>
      <w:r w:rsidRPr="00A35D3D">
        <w:rPr>
          <w:rFonts w:ascii="Times New Roman" w:eastAsia="Times New Roman" w:hAnsi="Times New Roman"/>
          <w:sz w:val="24"/>
        </w:rPr>
        <w:t>new resources.</w:t>
      </w:r>
      <w:r w:rsidR="00C5548D" w:rsidRPr="00A35D3D">
        <w:rPr>
          <w:rFonts w:ascii="Times New Roman" w:eastAsia="Times New Roman" w:hAnsi="Times New Roman"/>
          <w:sz w:val="24"/>
        </w:rPr>
        <w:t xml:space="preserve">  Additionally, this approach assumes no capacity pooling between New Mexico and </w:t>
      </w:r>
      <w:r w:rsidR="00480265" w:rsidRPr="00A35D3D">
        <w:rPr>
          <w:rFonts w:ascii="Times New Roman" w:eastAsia="Times New Roman" w:hAnsi="Times New Roman"/>
          <w:sz w:val="24"/>
        </w:rPr>
        <w:t>Texas,</w:t>
      </w:r>
      <w:r w:rsidR="00C5548D" w:rsidRPr="00A35D3D">
        <w:rPr>
          <w:rFonts w:ascii="Times New Roman" w:eastAsia="Times New Roman" w:hAnsi="Times New Roman"/>
          <w:sz w:val="24"/>
        </w:rPr>
        <w:t xml:space="preserve"> </w:t>
      </w:r>
      <w:r w:rsidR="00A35D3D">
        <w:rPr>
          <w:rFonts w:ascii="Times New Roman" w:eastAsia="Times New Roman" w:hAnsi="Times New Roman"/>
          <w:sz w:val="24"/>
        </w:rPr>
        <w:t xml:space="preserve">nor does it include joint </w:t>
      </w:r>
      <w:r w:rsidR="006B1880">
        <w:rPr>
          <w:rFonts w:ascii="Times New Roman" w:eastAsia="Times New Roman" w:hAnsi="Times New Roman"/>
          <w:sz w:val="24"/>
        </w:rPr>
        <w:t>system dispatch optimization.  It also</w:t>
      </w:r>
      <w:r w:rsidR="00C5548D" w:rsidRPr="00A35D3D">
        <w:rPr>
          <w:rFonts w:ascii="Times New Roman" w:eastAsia="Times New Roman" w:hAnsi="Times New Roman"/>
          <w:sz w:val="24"/>
        </w:rPr>
        <w:t xml:space="preserve"> </w:t>
      </w:r>
      <w:r w:rsidR="006B1880">
        <w:rPr>
          <w:rFonts w:ascii="Times New Roman" w:eastAsia="Times New Roman" w:hAnsi="Times New Roman"/>
          <w:sz w:val="24"/>
        </w:rPr>
        <w:t>assesses</w:t>
      </w:r>
      <w:r w:rsidR="00951E13">
        <w:rPr>
          <w:rFonts w:ascii="Times New Roman" w:eastAsia="Times New Roman" w:hAnsi="Times New Roman"/>
          <w:sz w:val="24"/>
        </w:rPr>
        <w:t xml:space="preserve"> New Mexico </w:t>
      </w:r>
      <w:r w:rsidR="00C5548D" w:rsidRPr="00A35D3D">
        <w:rPr>
          <w:rFonts w:ascii="Times New Roman" w:eastAsia="Times New Roman" w:hAnsi="Times New Roman"/>
          <w:sz w:val="24"/>
        </w:rPr>
        <w:t xml:space="preserve">REA compliance on an hourly basis.   Therefore, there is no leveraging </w:t>
      </w:r>
      <w:r w:rsidR="006B1880">
        <w:rPr>
          <w:rFonts w:ascii="Times New Roman" w:eastAsia="Times New Roman" w:hAnsi="Times New Roman"/>
          <w:sz w:val="24"/>
        </w:rPr>
        <w:t xml:space="preserve">of </w:t>
      </w:r>
      <w:r w:rsidR="00C5548D" w:rsidRPr="00A35D3D">
        <w:rPr>
          <w:rFonts w:ascii="Times New Roman" w:eastAsia="Times New Roman" w:hAnsi="Times New Roman"/>
          <w:sz w:val="24"/>
        </w:rPr>
        <w:t>cross-jurisdictional resources</w:t>
      </w:r>
      <w:r w:rsidR="00E85F96" w:rsidRPr="00A35D3D">
        <w:rPr>
          <w:rFonts w:ascii="Times New Roman" w:eastAsia="Times New Roman" w:hAnsi="Times New Roman"/>
          <w:sz w:val="24"/>
        </w:rPr>
        <w:t xml:space="preserve"> and as such the cost is higher for</w:t>
      </w:r>
      <w:r w:rsidR="00951E13">
        <w:rPr>
          <w:rFonts w:ascii="Times New Roman" w:eastAsia="Times New Roman" w:hAnsi="Times New Roman"/>
          <w:sz w:val="24"/>
        </w:rPr>
        <w:t xml:space="preserve"> New Mexico</w:t>
      </w:r>
      <w:r w:rsidR="006B1880">
        <w:rPr>
          <w:rFonts w:ascii="Times New Roman" w:eastAsia="Times New Roman" w:hAnsi="Times New Roman"/>
          <w:sz w:val="24"/>
        </w:rPr>
        <w:t xml:space="preserve"> because additional</w:t>
      </w:r>
      <w:r w:rsidR="00E85F96" w:rsidRPr="00A35D3D">
        <w:rPr>
          <w:rFonts w:ascii="Times New Roman" w:eastAsia="Times New Roman" w:hAnsi="Times New Roman"/>
          <w:sz w:val="24"/>
        </w:rPr>
        <w:t xml:space="preserve"> renewables and battery storage must be added to ensure hourly balancing and resource adequacy for NM</w:t>
      </w:r>
      <w:r w:rsidR="00C5548D" w:rsidRPr="00A35D3D">
        <w:rPr>
          <w:rFonts w:ascii="Times New Roman" w:eastAsia="Times New Roman" w:hAnsi="Times New Roman"/>
          <w:sz w:val="24"/>
        </w:rPr>
        <w:t>.</w:t>
      </w:r>
      <w:r w:rsidR="00E85F96" w:rsidRPr="00A35D3D">
        <w:rPr>
          <w:rFonts w:ascii="Times New Roman" w:eastAsia="Times New Roman" w:hAnsi="Times New Roman"/>
          <w:sz w:val="24"/>
        </w:rPr>
        <w:t xml:space="preserve">  This scenario was run both with and without the assumed use of hydrogen combustion generation.  As indicated below, the scenario without hydrogen fuel options results in a higher cost.  It is again noted,</w:t>
      </w:r>
      <w:r w:rsidR="00A95045">
        <w:rPr>
          <w:rFonts w:ascii="Times New Roman" w:eastAsia="Times New Roman" w:hAnsi="Times New Roman"/>
          <w:sz w:val="24"/>
        </w:rPr>
        <w:t xml:space="preserve"> as discussed above in IRP </w:t>
      </w:r>
      <w:r w:rsidR="00E85F96" w:rsidRPr="00A35D3D">
        <w:rPr>
          <w:rFonts w:ascii="Times New Roman" w:eastAsia="Times New Roman" w:hAnsi="Times New Roman"/>
          <w:sz w:val="24"/>
        </w:rPr>
        <w:t xml:space="preserve"> </w:t>
      </w:r>
      <w:r w:rsidR="00A95045">
        <w:rPr>
          <w:rFonts w:ascii="Times New Roman" w:eastAsia="Times New Roman" w:hAnsi="Times New Roman"/>
          <w:sz w:val="24"/>
        </w:rPr>
        <w:t>Section</w:t>
      </w:r>
      <w:r w:rsidR="00A35D3D">
        <w:rPr>
          <w:rFonts w:ascii="Times New Roman" w:eastAsia="Times New Roman" w:hAnsi="Times New Roman"/>
          <w:sz w:val="24"/>
        </w:rPr>
        <w:t xml:space="preserve"> IX</w:t>
      </w:r>
      <w:r w:rsidR="00A95045">
        <w:rPr>
          <w:rFonts w:ascii="Times New Roman" w:eastAsia="Times New Roman" w:hAnsi="Times New Roman"/>
          <w:sz w:val="24"/>
        </w:rPr>
        <w:t xml:space="preserve">, EPE’s preliminary </w:t>
      </w:r>
      <w:r w:rsidR="00E85F96" w:rsidRPr="00A35D3D">
        <w:rPr>
          <w:rFonts w:ascii="Times New Roman" w:eastAsia="Times New Roman" w:hAnsi="Times New Roman"/>
          <w:sz w:val="24"/>
        </w:rPr>
        <w:t xml:space="preserve">grid reliability </w:t>
      </w:r>
      <w:r w:rsidR="00A95045">
        <w:rPr>
          <w:rFonts w:ascii="Times New Roman" w:eastAsia="Times New Roman" w:hAnsi="Times New Roman"/>
          <w:sz w:val="24"/>
        </w:rPr>
        <w:t xml:space="preserve">study has only assessed the impacts of an 80 percent carbon free scenario through 2040 and reliance on </w:t>
      </w:r>
      <w:r w:rsidR="00E85F96" w:rsidRPr="00A35D3D">
        <w:rPr>
          <w:rFonts w:ascii="Times New Roman" w:eastAsia="Times New Roman" w:hAnsi="Times New Roman"/>
          <w:sz w:val="24"/>
        </w:rPr>
        <w:t xml:space="preserve">only inverter based technologies has not yet been </w:t>
      </w:r>
      <w:r w:rsidR="00A95045">
        <w:rPr>
          <w:rFonts w:ascii="Times New Roman" w:eastAsia="Times New Roman" w:hAnsi="Times New Roman"/>
          <w:sz w:val="24"/>
        </w:rPr>
        <w:t xml:space="preserve">determined </w:t>
      </w:r>
      <w:r w:rsidR="00E85F96" w:rsidRPr="00A35D3D">
        <w:rPr>
          <w:rFonts w:ascii="Times New Roman" w:eastAsia="Times New Roman" w:hAnsi="Times New Roman"/>
          <w:sz w:val="24"/>
        </w:rPr>
        <w:t>viable</w:t>
      </w:r>
      <w:r w:rsidR="00A95045">
        <w:rPr>
          <w:rFonts w:ascii="Times New Roman" w:eastAsia="Times New Roman" w:hAnsi="Times New Roman"/>
          <w:sz w:val="24"/>
        </w:rPr>
        <w:t xml:space="preserve"> under an 100 percent carbon free scenario</w:t>
      </w:r>
      <w:r w:rsidR="00E85F96" w:rsidRPr="00A35D3D">
        <w:rPr>
          <w:rFonts w:ascii="Times New Roman" w:eastAsia="Times New Roman" w:hAnsi="Times New Roman"/>
          <w:sz w:val="24"/>
        </w:rPr>
        <w:t>.  This may be addressed in the future through continued technology advancements</w:t>
      </w:r>
      <w:r w:rsidR="004054B7" w:rsidRPr="00A35D3D">
        <w:rPr>
          <w:rFonts w:ascii="Times New Roman" w:eastAsia="Times New Roman" w:hAnsi="Times New Roman"/>
          <w:sz w:val="24"/>
        </w:rPr>
        <w:t xml:space="preserve"> for both inverter</w:t>
      </w:r>
      <w:r w:rsidR="00A95045">
        <w:rPr>
          <w:rFonts w:ascii="Times New Roman" w:eastAsia="Times New Roman" w:hAnsi="Times New Roman"/>
          <w:sz w:val="24"/>
        </w:rPr>
        <w:t>-</w:t>
      </w:r>
      <w:r w:rsidR="004054B7" w:rsidRPr="00A35D3D">
        <w:rPr>
          <w:rFonts w:ascii="Times New Roman" w:eastAsia="Times New Roman" w:hAnsi="Times New Roman"/>
          <w:sz w:val="24"/>
        </w:rPr>
        <w:t>based resources and grid devices.</w:t>
      </w:r>
    </w:p>
    <w:p w14:paraId="03E418A2" w14:textId="6091C3EF" w:rsidR="00E16DFF" w:rsidRDefault="00E16DFF" w:rsidP="00EF5BBB">
      <w:pPr>
        <w:pStyle w:val="ListParagraph"/>
        <w:spacing w:after="0" w:line="276" w:lineRule="auto"/>
        <w:contextualSpacing w:val="0"/>
        <w:jc w:val="both"/>
        <w:rPr>
          <w:rFonts w:ascii="Times New Roman" w:eastAsia="Times New Roman" w:hAnsi="Times New Roman"/>
          <w:sz w:val="24"/>
        </w:rPr>
      </w:pPr>
    </w:p>
    <w:p w14:paraId="531693CC" w14:textId="0C6A73F3" w:rsidR="00E16DFF" w:rsidRPr="00E85F96" w:rsidRDefault="00E85F96" w:rsidP="00E85F96">
      <w:pPr>
        <w:spacing w:line="276" w:lineRule="auto"/>
        <w:rPr>
          <w:rFonts w:eastAsia="Times New Roman"/>
        </w:rPr>
      </w:pPr>
      <w:r w:rsidRPr="00E85F96">
        <w:rPr>
          <w:noProof/>
        </w:rPr>
        <w:drawing>
          <wp:inline distT="0" distB="0" distL="0" distR="0" wp14:anchorId="6AEEF0F7" wp14:editId="1C1C6B54">
            <wp:extent cx="6371539" cy="39454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394" cy="3963321"/>
                    </a:xfrm>
                    <a:prstGeom prst="rect">
                      <a:avLst/>
                    </a:prstGeom>
                  </pic:spPr>
                </pic:pic>
              </a:graphicData>
            </a:graphic>
          </wp:inline>
        </w:drawing>
      </w:r>
    </w:p>
    <w:p w14:paraId="2AEE450E" w14:textId="434FB055" w:rsidR="0055055A" w:rsidRDefault="0055055A" w:rsidP="0055055A">
      <w:pPr>
        <w:spacing w:line="276" w:lineRule="auto"/>
        <w:ind w:left="720"/>
        <w:jc w:val="center"/>
        <w:rPr>
          <w:rFonts w:eastAsia="Times New Roman"/>
        </w:rPr>
      </w:pPr>
      <w:r>
        <w:rPr>
          <w:rFonts w:eastAsia="Times New Roman"/>
          <w:b/>
          <w:bCs/>
        </w:rPr>
        <w:t>Figure 21.  Option 3- Total System &amp; New Mexico Allocation Comparison</w:t>
      </w:r>
    </w:p>
    <w:p w14:paraId="7EDB2177" w14:textId="6C032825" w:rsidR="00EF5BBB" w:rsidRDefault="00EF5BBB" w:rsidP="0055055A">
      <w:pPr>
        <w:spacing w:line="276" w:lineRule="auto"/>
        <w:jc w:val="center"/>
        <w:rPr>
          <w:rFonts w:eastAsia="Times New Roman"/>
        </w:rPr>
      </w:pPr>
    </w:p>
    <w:p w14:paraId="50280901" w14:textId="77777777" w:rsidR="0055055A" w:rsidRDefault="0055055A" w:rsidP="00EF5BBB">
      <w:pPr>
        <w:spacing w:line="276" w:lineRule="auto"/>
        <w:rPr>
          <w:rFonts w:eastAsia="Times New Roman"/>
        </w:rPr>
      </w:pPr>
    </w:p>
    <w:p w14:paraId="6DA1F777" w14:textId="4E6C89A5" w:rsidR="004054B7" w:rsidRDefault="004054B7" w:rsidP="00EF5BBB">
      <w:pPr>
        <w:spacing w:line="276" w:lineRule="auto"/>
        <w:rPr>
          <w:rFonts w:eastAsia="Times New Roman"/>
        </w:rPr>
      </w:pPr>
      <w:r>
        <w:rPr>
          <w:rFonts w:eastAsia="Times New Roman"/>
        </w:rPr>
        <w:t xml:space="preserve">The cost differential between the various jurisdictional approaches may be more easily compared over the planning horizon in </w:t>
      </w:r>
      <w:r w:rsidR="0055055A">
        <w:rPr>
          <w:rFonts w:eastAsia="Times New Roman"/>
        </w:rPr>
        <w:t>Figure 22 below</w:t>
      </w:r>
      <w:r>
        <w:rPr>
          <w:rFonts w:eastAsia="Times New Roman"/>
        </w:rPr>
        <w:t>.</w:t>
      </w:r>
    </w:p>
    <w:p w14:paraId="1A1A01A1" w14:textId="27B91B44" w:rsidR="004054B7" w:rsidRDefault="004054B7" w:rsidP="004054B7">
      <w:pPr>
        <w:spacing w:line="276" w:lineRule="auto"/>
        <w:jc w:val="center"/>
        <w:rPr>
          <w:rFonts w:eastAsia="Times New Roman"/>
        </w:rPr>
      </w:pPr>
      <w:r w:rsidRPr="004054B7">
        <w:rPr>
          <w:noProof/>
        </w:rPr>
        <w:lastRenderedPageBreak/>
        <w:drawing>
          <wp:inline distT="0" distB="0" distL="0" distR="0" wp14:anchorId="0357C637" wp14:editId="595BDC88">
            <wp:extent cx="2962275" cy="3362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62275" cy="3362325"/>
                    </a:xfrm>
                    <a:prstGeom prst="rect">
                      <a:avLst/>
                    </a:prstGeom>
                  </pic:spPr>
                </pic:pic>
              </a:graphicData>
            </a:graphic>
          </wp:inline>
        </w:drawing>
      </w:r>
    </w:p>
    <w:p w14:paraId="4A11661E" w14:textId="704DD221" w:rsidR="0055055A" w:rsidRDefault="0055055A" w:rsidP="0055055A">
      <w:pPr>
        <w:spacing w:line="276" w:lineRule="auto"/>
        <w:ind w:left="720"/>
        <w:jc w:val="center"/>
        <w:rPr>
          <w:rFonts w:eastAsia="Times New Roman"/>
        </w:rPr>
      </w:pPr>
      <w:r>
        <w:rPr>
          <w:rFonts w:eastAsia="Times New Roman"/>
          <w:b/>
          <w:bCs/>
        </w:rPr>
        <w:t>Figure 22.  Cost Differential Between Jurisdictional Options</w:t>
      </w:r>
    </w:p>
    <w:p w14:paraId="61D52554" w14:textId="3EB78CD3" w:rsidR="004054B7" w:rsidRDefault="004054B7" w:rsidP="0055055A">
      <w:pPr>
        <w:spacing w:line="276" w:lineRule="auto"/>
        <w:jc w:val="center"/>
        <w:rPr>
          <w:rFonts w:eastAsia="Times New Roman"/>
        </w:rPr>
      </w:pPr>
    </w:p>
    <w:p w14:paraId="379FCB8A" w14:textId="73E0C325" w:rsidR="00EF5BBB" w:rsidRDefault="00EF5BBB" w:rsidP="00EF5BBB">
      <w:pPr>
        <w:spacing w:line="276" w:lineRule="auto"/>
        <w:rPr>
          <w:rFonts w:eastAsia="Times New Roman"/>
        </w:rPr>
      </w:pPr>
      <w:r>
        <w:rPr>
          <w:rFonts w:eastAsia="Times New Roman"/>
        </w:rPr>
        <w:t>Option 1</w:t>
      </w:r>
      <w:r w:rsidR="0068546C">
        <w:rPr>
          <w:rFonts w:eastAsia="Times New Roman"/>
        </w:rPr>
        <w:t xml:space="preserve"> presents challenges due the required transfer of stand-alone RECs between EPE’s jurisdictions and the requirement for new gas plant additions.</w:t>
      </w:r>
      <w:r>
        <w:rPr>
          <w:rFonts w:eastAsia="Times New Roman"/>
        </w:rPr>
        <w:t xml:space="preserve">  </w:t>
      </w:r>
    </w:p>
    <w:p w14:paraId="085049F9" w14:textId="77777777" w:rsidR="00EF5BBB" w:rsidRDefault="00EF5BBB" w:rsidP="00EF5BBB">
      <w:pPr>
        <w:spacing w:line="276" w:lineRule="auto"/>
        <w:rPr>
          <w:rFonts w:eastAsia="Times New Roman"/>
        </w:rPr>
      </w:pPr>
    </w:p>
    <w:p w14:paraId="732E15BD" w14:textId="65FF57ED" w:rsidR="00EF5BBB" w:rsidRDefault="0020377A" w:rsidP="00EF5BBB">
      <w:pPr>
        <w:spacing w:line="276" w:lineRule="auto"/>
        <w:rPr>
          <w:rFonts w:eastAsia="Times New Roman"/>
        </w:rPr>
      </w:pPr>
      <w:r>
        <w:rPr>
          <w:rFonts w:eastAsia="Times New Roman"/>
        </w:rPr>
        <w:t xml:space="preserve">Due to these challenges, EPE presents </w:t>
      </w:r>
      <w:r w:rsidR="00EF5BBB">
        <w:rPr>
          <w:rFonts w:eastAsia="Times New Roman"/>
        </w:rPr>
        <w:t xml:space="preserve">Options </w:t>
      </w:r>
      <w:r w:rsidR="00523657">
        <w:rPr>
          <w:rFonts w:eastAsia="Times New Roman"/>
        </w:rPr>
        <w:t>2</w:t>
      </w:r>
      <w:r w:rsidR="00EF5BBB">
        <w:rPr>
          <w:rFonts w:eastAsia="Times New Roman"/>
        </w:rPr>
        <w:t xml:space="preserve"> and </w:t>
      </w:r>
      <w:r w:rsidR="00523657">
        <w:rPr>
          <w:rFonts w:eastAsia="Times New Roman"/>
        </w:rPr>
        <w:t>3</w:t>
      </w:r>
      <w:r w:rsidR="00EF5BBB">
        <w:rPr>
          <w:rFonts w:eastAsia="Times New Roman"/>
        </w:rPr>
        <w:t xml:space="preserve"> as potential</w:t>
      </w:r>
      <w:r>
        <w:rPr>
          <w:rFonts w:eastAsia="Times New Roman"/>
        </w:rPr>
        <w:t xml:space="preserve"> most cost-effective resource</w:t>
      </w:r>
      <w:r w:rsidR="00EF5BBB">
        <w:rPr>
          <w:rFonts w:eastAsia="Times New Roman"/>
        </w:rPr>
        <w:t xml:space="preserve"> options.  </w:t>
      </w:r>
      <w:r>
        <w:rPr>
          <w:rFonts w:eastAsia="Times New Roman"/>
        </w:rPr>
        <w:t xml:space="preserve">Both </w:t>
      </w:r>
      <w:r w:rsidR="00F70896">
        <w:rPr>
          <w:rFonts w:eastAsia="Times New Roman"/>
        </w:rPr>
        <w:t xml:space="preserve">address EPE’s multi-jurisdictional planning requirements including the </w:t>
      </w:r>
      <w:r w:rsidR="00EF5BBB">
        <w:rPr>
          <w:rFonts w:eastAsia="Times New Roman"/>
        </w:rPr>
        <w:t>New Mexico</w:t>
      </w:r>
      <w:r w:rsidR="00F70896">
        <w:rPr>
          <w:rFonts w:eastAsia="Times New Roman"/>
        </w:rPr>
        <w:t xml:space="preserve"> RPS requirements and the Texas</w:t>
      </w:r>
      <w:r w:rsidR="00EF5BBB">
        <w:rPr>
          <w:rFonts w:eastAsia="Times New Roman"/>
        </w:rPr>
        <w:t xml:space="preserve"> lowest cost portfolio </w:t>
      </w:r>
      <w:r w:rsidR="00F70896">
        <w:rPr>
          <w:rFonts w:eastAsia="Times New Roman"/>
        </w:rPr>
        <w:t>requirements</w:t>
      </w:r>
      <w:r w:rsidR="00EF5BBB">
        <w:rPr>
          <w:rFonts w:eastAsia="Times New Roman"/>
        </w:rPr>
        <w:t xml:space="preserve">.  </w:t>
      </w:r>
    </w:p>
    <w:p w14:paraId="59BFA5EF" w14:textId="77777777" w:rsidR="00F70896" w:rsidRDefault="00F70896" w:rsidP="00EF5BBB">
      <w:pPr>
        <w:spacing w:line="276" w:lineRule="auto"/>
        <w:rPr>
          <w:rFonts w:eastAsia="Times New Roman"/>
        </w:rPr>
      </w:pPr>
    </w:p>
    <w:p w14:paraId="4A04F9C8" w14:textId="06F9CD49" w:rsidR="00EF5BBB" w:rsidRDefault="00F70896" w:rsidP="00EF5BBB">
      <w:pPr>
        <w:spacing w:line="276" w:lineRule="auto"/>
        <w:rPr>
          <w:rFonts w:eastAsia="Times New Roman"/>
        </w:rPr>
      </w:pPr>
      <w:r>
        <w:rPr>
          <w:rFonts w:eastAsia="Times New Roman"/>
        </w:rPr>
        <w:t xml:space="preserve">Option 2 </w:t>
      </w:r>
      <w:r w:rsidR="009759E8">
        <w:rPr>
          <w:rFonts w:eastAsia="Times New Roman"/>
        </w:rPr>
        <w:t>assumes</w:t>
      </w:r>
      <w:r>
        <w:rPr>
          <w:rFonts w:eastAsia="Times New Roman"/>
        </w:rPr>
        <w:t xml:space="preserve"> consideration of system resources proportionally allocated to each jurisdiction for review and approval.  </w:t>
      </w:r>
      <w:r w:rsidR="009759E8">
        <w:rPr>
          <w:rFonts w:eastAsia="Times New Roman"/>
        </w:rPr>
        <w:t xml:space="preserve">The </w:t>
      </w:r>
      <w:r w:rsidR="00523657">
        <w:rPr>
          <w:rFonts w:eastAsia="Times New Roman"/>
        </w:rPr>
        <w:t>benefits</w:t>
      </w:r>
      <w:r w:rsidR="004764CA">
        <w:rPr>
          <w:rFonts w:eastAsia="Times New Roman"/>
        </w:rPr>
        <w:t xml:space="preserve"> of </w:t>
      </w:r>
      <w:r w:rsidR="009759E8">
        <w:rPr>
          <w:rFonts w:eastAsia="Times New Roman"/>
        </w:rPr>
        <w:t xml:space="preserve">this scenario are attributed </w:t>
      </w:r>
      <w:proofErr w:type="gramStart"/>
      <w:r w:rsidR="009759E8">
        <w:rPr>
          <w:rFonts w:eastAsia="Times New Roman"/>
        </w:rPr>
        <w:t xml:space="preserve">to </w:t>
      </w:r>
      <w:r w:rsidR="00523657">
        <w:rPr>
          <w:rFonts w:eastAsia="Times New Roman"/>
        </w:rPr>
        <w:t xml:space="preserve"> capacity</w:t>
      </w:r>
      <w:proofErr w:type="gramEnd"/>
      <w:r w:rsidR="00523657">
        <w:rPr>
          <w:rFonts w:eastAsia="Times New Roman"/>
        </w:rPr>
        <w:t xml:space="preserve"> pooling and load diversity during optimal dispatch of both</w:t>
      </w:r>
      <w:r w:rsidR="00EF5BBB">
        <w:rPr>
          <w:rFonts w:eastAsia="Times New Roman"/>
        </w:rPr>
        <w:t xml:space="preserve"> Texas </w:t>
      </w:r>
      <w:r w:rsidR="00523657">
        <w:rPr>
          <w:rFonts w:eastAsia="Times New Roman"/>
        </w:rPr>
        <w:t>and</w:t>
      </w:r>
      <w:r w:rsidR="00EF5BBB">
        <w:rPr>
          <w:rFonts w:eastAsia="Times New Roman"/>
        </w:rPr>
        <w:t xml:space="preserve"> New Mexico </w:t>
      </w:r>
      <w:r w:rsidR="00523657">
        <w:rPr>
          <w:rFonts w:eastAsia="Times New Roman"/>
        </w:rPr>
        <w:t>resources while</w:t>
      </w:r>
      <w:r w:rsidR="00EF5BBB">
        <w:rPr>
          <w:rFonts w:eastAsia="Times New Roman"/>
        </w:rPr>
        <w:t xml:space="preserve"> adher</w:t>
      </w:r>
      <w:r w:rsidR="00523657">
        <w:rPr>
          <w:rFonts w:eastAsia="Times New Roman"/>
        </w:rPr>
        <w:t>ing</w:t>
      </w:r>
      <w:r w:rsidR="00EF5BBB">
        <w:rPr>
          <w:rFonts w:eastAsia="Times New Roman"/>
        </w:rPr>
        <w:t xml:space="preserve"> to New Mexico REA requirements.</w:t>
      </w:r>
      <w:r w:rsidR="00523657">
        <w:rPr>
          <w:rFonts w:eastAsia="Times New Roman"/>
        </w:rPr>
        <w:t xml:space="preserve">  </w:t>
      </w:r>
      <w:r w:rsidR="009759E8">
        <w:rPr>
          <w:rFonts w:eastAsia="Times New Roman"/>
        </w:rPr>
        <w:t>Additionally</w:t>
      </w:r>
      <w:r w:rsidR="00523657">
        <w:rPr>
          <w:rFonts w:eastAsia="Times New Roman"/>
        </w:rPr>
        <w:t>, this</w:t>
      </w:r>
      <w:r w:rsidR="009759E8">
        <w:rPr>
          <w:rFonts w:eastAsia="Times New Roman"/>
        </w:rPr>
        <w:t xml:space="preserve"> scenario</w:t>
      </w:r>
      <w:r w:rsidR="00523657">
        <w:rPr>
          <w:rFonts w:eastAsia="Times New Roman"/>
        </w:rPr>
        <w:t xml:space="preserve"> assumes the ability to at times utilize gas resources to serve</w:t>
      </w:r>
      <w:r w:rsidR="00951E13">
        <w:rPr>
          <w:rFonts w:eastAsia="Times New Roman"/>
        </w:rPr>
        <w:t xml:space="preserve"> New Mexico </w:t>
      </w:r>
      <w:r w:rsidR="00523657">
        <w:rPr>
          <w:rFonts w:eastAsia="Times New Roman"/>
        </w:rPr>
        <w:t>customers in the event of renewable or carbon free resource energy output unavailability.  Furthermore</w:t>
      </w:r>
      <w:r w:rsidR="00EF5BBB">
        <w:rPr>
          <w:rFonts w:eastAsia="Times New Roman"/>
        </w:rPr>
        <w:t xml:space="preserve">, the complications associated with jurisdictional preferences may introduce risks for timely implementation of resources to meet load.  </w:t>
      </w:r>
      <w:r w:rsidR="00523657">
        <w:rPr>
          <w:rFonts w:eastAsia="Times New Roman"/>
        </w:rPr>
        <w:t xml:space="preserve">Two examples are the </w:t>
      </w:r>
      <w:r w:rsidR="00EF5BBB">
        <w:rPr>
          <w:rFonts w:eastAsia="Times New Roman"/>
        </w:rPr>
        <w:t xml:space="preserve">recent New Mexico order denying a 50 MW battery storage </w:t>
      </w:r>
      <w:proofErr w:type="spellStart"/>
      <w:r w:rsidR="00EF5BBB">
        <w:rPr>
          <w:rFonts w:eastAsia="Times New Roman"/>
        </w:rPr>
        <w:t>PPA</w:t>
      </w:r>
      <w:proofErr w:type="spellEnd"/>
      <w:r w:rsidR="00EF5BBB">
        <w:rPr>
          <w:rFonts w:eastAsia="Times New Roman"/>
        </w:rPr>
        <w:t xml:space="preserve"> and the subsequent order denying the 228 MW Newman 6 combustion turbine.</w:t>
      </w:r>
    </w:p>
    <w:p w14:paraId="3BEF4CE4" w14:textId="77777777" w:rsidR="00EF5BBB" w:rsidRDefault="00EF5BBB" w:rsidP="00EF5BBB">
      <w:pPr>
        <w:spacing w:line="276" w:lineRule="auto"/>
        <w:rPr>
          <w:rFonts w:eastAsia="Times New Roman"/>
        </w:rPr>
      </w:pPr>
    </w:p>
    <w:p w14:paraId="66659B7F" w14:textId="57F29001" w:rsidR="00EF5BBB" w:rsidRDefault="00EF5BBB" w:rsidP="00EF5BBB">
      <w:pPr>
        <w:spacing w:line="276" w:lineRule="auto"/>
        <w:rPr>
          <w:rFonts w:eastAsia="Times New Roman"/>
        </w:rPr>
      </w:pPr>
      <w:r>
        <w:rPr>
          <w:rFonts w:eastAsia="Times New Roman"/>
        </w:rPr>
        <w:t xml:space="preserve">Option </w:t>
      </w:r>
      <w:r w:rsidR="00523657">
        <w:rPr>
          <w:rFonts w:eastAsia="Times New Roman"/>
        </w:rPr>
        <w:t>3</w:t>
      </w:r>
      <w:r>
        <w:rPr>
          <w:rFonts w:eastAsia="Times New Roman"/>
        </w:rPr>
        <w:t xml:space="preserve"> </w:t>
      </w:r>
      <w:r w:rsidR="009759E8">
        <w:rPr>
          <w:rFonts w:eastAsia="Times New Roman"/>
        </w:rPr>
        <w:t>assumes</w:t>
      </w:r>
      <w:r>
        <w:rPr>
          <w:rFonts w:eastAsia="Times New Roman"/>
        </w:rPr>
        <w:t xml:space="preserve"> separat</w:t>
      </w:r>
      <w:r w:rsidR="0020377A">
        <w:rPr>
          <w:rFonts w:eastAsia="Times New Roman"/>
        </w:rPr>
        <w:t>e</w:t>
      </w:r>
      <w:r>
        <w:rPr>
          <w:rFonts w:eastAsia="Times New Roman"/>
        </w:rPr>
        <w:t xml:space="preserve"> resource planning to address jurisdictional planning requirements.  </w:t>
      </w:r>
      <w:r w:rsidR="009759E8">
        <w:rPr>
          <w:rFonts w:eastAsia="Times New Roman"/>
        </w:rPr>
        <w:t xml:space="preserve">This scenario </w:t>
      </w:r>
      <w:r>
        <w:rPr>
          <w:rFonts w:eastAsia="Times New Roman"/>
        </w:rPr>
        <w:t>appear</w:t>
      </w:r>
      <w:r w:rsidR="009759E8">
        <w:rPr>
          <w:rFonts w:eastAsia="Times New Roman"/>
        </w:rPr>
        <w:t>s</w:t>
      </w:r>
      <w:r>
        <w:rPr>
          <w:rFonts w:eastAsia="Times New Roman"/>
        </w:rPr>
        <w:t xml:space="preserve"> to provide New Mexico the </w:t>
      </w:r>
      <w:r w:rsidR="009759E8">
        <w:rPr>
          <w:rFonts w:eastAsia="Times New Roman"/>
        </w:rPr>
        <w:t xml:space="preserve">most resource planning </w:t>
      </w:r>
      <w:r>
        <w:rPr>
          <w:rFonts w:eastAsia="Times New Roman"/>
        </w:rPr>
        <w:t>autonomy</w:t>
      </w:r>
      <w:r w:rsidR="009759E8">
        <w:rPr>
          <w:rFonts w:eastAsia="Times New Roman"/>
        </w:rPr>
        <w:t xml:space="preserve"> </w:t>
      </w:r>
      <w:r w:rsidR="004F5227">
        <w:rPr>
          <w:rFonts w:eastAsia="Times New Roman"/>
        </w:rPr>
        <w:t xml:space="preserve">to </w:t>
      </w:r>
      <w:r w:rsidR="0020377A">
        <w:rPr>
          <w:rFonts w:eastAsia="Times New Roman"/>
        </w:rPr>
        <w:t>meet</w:t>
      </w:r>
      <w:r>
        <w:rPr>
          <w:rFonts w:eastAsia="Times New Roman"/>
        </w:rPr>
        <w:t xml:space="preserve"> New Mexico’s </w:t>
      </w:r>
      <w:r w:rsidR="0020377A">
        <w:rPr>
          <w:rFonts w:eastAsia="Times New Roman"/>
        </w:rPr>
        <w:t>renewable and clean energy standards</w:t>
      </w:r>
      <w:r w:rsidR="007A16D9">
        <w:rPr>
          <w:rFonts w:eastAsia="Times New Roman"/>
        </w:rPr>
        <w:t>.</w:t>
      </w:r>
      <w:r>
        <w:rPr>
          <w:rFonts w:eastAsia="Times New Roman"/>
        </w:rPr>
        <w:t xml:space="preserve"> </w:t>
      </w:r>
      <w:r w:rsidR="009759E8">
        <w:rPr>
          <w:rFonts w:eastAsia="Times New Roman"/>
        </w:rPr>
        <w:t xml:space="preserve">However, the cost benefits associated with capacity pooling and load diversity during optimal dispatch of system-wide resources would not </w:t>
      </w:r>
      <w:r w:rsidR="009759E8">
        <w:rPr>
          <w:rFonts w:eastAsia="Times New Roman"/>
        </w:rPr>
        <w:lastRenderedPageBreak/>
        <w:t>be realized.</w:t>
      </w:r>
      <w:r>
        <w:rPr>
          <w:rFonts w:eastAsia="Times New Roman"/>
        </w:rPr>
        <w:t xml:space="preserve"> This approach best</w:t>
      </w:r>
      <w:r w:rsidR="009759E8">
        <w:rPr>
          <w:rFonts w:eastAsia="Times New Roman"/>
        </w:rPr>
        <w:t xml:space="preserve"> addresses the</w:t>
      </w:r>
      <w:r>
        <w:rPr>
          <w:rFonts w:eastAsia="Times New Roman"/>
        </w:rPr>
        <w:t xml:space="preserve"> divergence in </w:t>
      </w:r>
      <w:r w:rsidR="009759E8">
        <w:rPr>
          <w:rFonts w:eastAsia="Times New Roman"/>
        </w:rPr>
        <w:t xml:space="preserve">EPE’s multi-jurisdictional </w:t>
      </w:r>
      <w:r>
        <w:rPr>
          <w:rFonts w:eastAsia="Times New Roman"/>
        </w:rPr>
        <w:t>resource selection requirements</w:t>
      </w:r>
      <w:r w:rsidR="009759E8">
        <w:rPr>
          <w:rFonts w:eastAsia="Times New Roman"/>
        </w:rPr>
        <w:t>, but at a greater cost to New Mexico</w:t>
      </w:r>
      <w:r>
        <w:rPr>
          <w:rFonts w:eastAsia="Times New Roman"/>
        </w:rPr>
        <w:t xml:space="preserve">. </w:t>
      </w:r>
    </w:p>
    <w:p w14:paraId="4E078799" w14:textId="77777777" w:rsidR="00DA134C" w:rsidRPr="00CB2CB5" w:rsidRDefault="00DA134C" w:rsidP="00DA134C">
      <w:pPr>
        <w:spacing w:line="276" w:lineRule="auto"/>
        <w:ind w:left="1170"/>
        <w:rPr>
          <w:rFonts w:eastAsia="Times New Roman"/>
          <w:u w:val="single"/>
        </w:rPr>
      </w:pPr>
    </w:p>
    <w:p w14:paraId="5A5B4723" w14:textId="3720A9A0" w:rsidR="00BD3BC0" w:rsidRPr="00CB2CB5" w:rsidRDefault="007A16D9" w:rsidP="00480265">
      <w:pPr>
        <w:spacing w:line="276" w:lineRule="auto"/>
        <w:rPr>
          <w:rFonts w:eastAsia="Times New Roman"/>
          <w:u w:val="single"/>
        </w:rPr>
      </w:pPr>
      <w:r>
        <w:rPr>
          <w:rFonts w:eastAsia="Times New Roman"/>
          <w:u w:val="single"/>
        </w:rPr>
        <w:t xml:space="preserve">The Least Cost System-Wide Portfolio Serves as the </w:t>
      </w:r>
      <w:r w:rsidR="00BD3BC0" w:rsidRPr="00CB2CB5">
        <w:rPr>
          <w:rFonts w:eastAsia="Times New Roman"/>
          <w:u w:val="single"/>
        </w:rPr>
        <w:t>Base Case</w:t>
      </w:r>
      <w:r>
        <w:rPr>
          <w:rFonts w:eastAsia="Times New Roman"/>
          <w:u w:val="single"/>
        </w:rPr>
        <w:t xml:space="preserve"> for Sensitivities</w:t>
      </w:r>
    </w:p>
    <w:p w14:paraId="7AC4F310" w14:textId="77777777" w:rsidR="00910A8A" w:rsidRPr="00CB2CB5" w:rsidRDefault="00910A8A" w:rsidP="003F14C2">
      <w:pPr>
        <w:spacing w:line="276" w:lineRule="auto"/>
        <w:ind w:left="540"/>
        <w:rPr>
          <w:rFonts w:eastAsia="Times New Roman"/>
        </w:rPr>
      </w:pPr>
    </w:p>
    <w:p w14:paraId="70AD957C" w14:textId="60BD4B91" w:rsidR="00BD3BC0" w:rsidRPr="00CB2CB5" w:rsidRDefault="00BD3BC0" w:rsidP="00480265">
      <w:pPr>
        <w:spacing w:line="276" w:lineRule="auto"/>
        <w:rPr>
          <w:rFonts w:eastAsia="Times New Roman"/>
        </w:rPr>
      </w:pPr>
      <w:r w:rsidRPr="00CB2CB5">
        <w:rPr>
          <w:rFonts w:eastAsia="Times New Roman"/>
        </w:rPr>
        <w:t xml:space="preserve">The Base Case Portfolio was developed </w:t>
      </w:r>
      <w:r w:rsidR="009A3F63" w:rsidRPr="00CB2CB5">
        <w:rPr>
          <w:rFonts w:eastAsia="Times New Roman"/>
        </w:rPr>
        <w:t>utilizing</w:t>
      </w:r>
      <w:r w:rsidRPr="00CB2CB5">
        <w:rPr>
          <w:rFonts w:eastAsia="Times New Roman"/>
        </w:rPr>
        <w:t xml:space="preserve"> the planned retirements as defined in Table</w:t>
      </w:r>
      <w:r w:rsidR="008214EA" w:rsidRPr="00CB2CB5">
        <w:rPr>
          <w:rFonts w:eastAsia="Times New Roman"/>
        </w:rPr>
        <w:t> </w:t>
      </w:r>
      <w:r w:rsidR="00767951">
        <w:rPr>
          <w:rFonts w:eastAsia="Times New Roman"/>
        </w:rPr>
        <w:t>1</w:t>
      </w:r>
      <w:r w:rsidRPr="00CB2CB5">
        <w:rPr>
          <w:rFonts w:eastAsia="Times New Roman"/>
        </w:rPr>
        <w:t>.  The Base Case utilize</w:t>
      </w:r>
      <w:r w:rsidR="009A3F63" w:rsidRPr="00CB2CB5">
        <w:rPr>
          <w:rFonts w:eastAsia="Times New Roman"/>
        </w:rPr>
        <w:t>d</w:t>
      </w:r>
      <w:r w:rsidRPr="00CB2CB5">
        <w:rPr>
          <w:rFonts w:eastAsia="Times New Roman"/>
        </w:rPr>
        <w:t xml:space="preserve"> the most likely expected values for inputs and provides the most cost</w:t>
      </w:r>
      <w:r w:rsidR="008759DE" w:rsidRPr="00CB2CB5">
        <w:rPr>
          <w:rFonts w:eastAsia="Times New Roman"/>
        </w:rPr>
        <w:t>-</w:t>
      </w:r>
      <w:r w:rsidRPr="00CB2CB5">
        <w:rPr>
          <w:rFonts w:eastAsia="Times New Roman"/>
        </w:rPr>
        <w:t>effective portfolio. All other inputs utilized are as described in the preceding sections.  The resulting portfolio is as follows:</w:t>
      </w:r>
    </w:p>
    <w:p w14:paraId="4E4CACCF" w14:textId="77777777" w:rsidR="00910A8A" w:rsidRPr="00CB2CB5" w:rsidRDefault="00910A8A" w:rsidP="003F14C2">
      <w:pPr>
        <w:spacing w:line="276" w:lineRule="auto"/>
        <w:ind w:left="540"/>
        <w:rPr>
          <w:rFonts w:eastAsia="Times New Roman"/>
        </w:rPr>
      </w:pPr>
    </w:p>
    <w:p w14:paraId="6E8E574A" w14:textId="77777777" w:rsidR="00105E66" w:rsidRPr="00CB2CB5" w:rsidRDefault="00105E66">
      <w:pPr>
        <w:spacing w:after="160" w:line="259" w:lineRule="auto"/>
        <w:jc w:val="left"/>
        <w:rPr>
          <w:rFonts w:eastAsia="Times New Roman"/>
          <w:b/>
        </w:rPr>
      </w:pPr>
      <w:r w:rsidRPr="00CB2CB5">
        <w:br w:type="page"/>
      </w:r>
    </w:p>
    <w:p w14:paraId="462B0CCE" w14:textId="77777777" w:rsidR="00BD3BC0" w:rsidRPr="00CB2CB5" w:rsidRDefault="00BD3BC0" w:rsidP="008759DE">
      <w:pPr>
        <w:spacing w:line="276" w:lineRule="auto"/>
        <w:ind w:left="540"/>
        <w:rPr>
          <w:rFonts w:eastAsia="Times New Roman"/>
        </w:rPr>
      </w:pPr>
    </w:p>
    <w:p w14:paraId="328E6799" w14:textId="77777777" w:rsidR="00080835" w:rsidRPr="00CB2CB5" w:rsidRDefault="00080835" w:rsidP="008759DE">
      <w:pPr>
        <w:spacing w:line="276" w:lineRule="auto"/>
        <w:ind w:left="1080"/>
        <w:rPr>
          <w:rFonts w:eastAsia="Times New Roman"/>
          <w:b/>
        </w:rPr>
      </w:pPr>
    </w:p>
    <w:p w14:paraId="1C2915F3" w14:textId="77777777" w:rsidR="003C0EF8" w:rsidRPr="00CB2CB5" w:rsidRDefault="00423E0F" w:rsidP="009B2BA8">
      <w:pPr>
        <w:spacing w:line="276" w:lineRule="auto"/>
        <w:rPr>
          <w:rFonts w:eastAsia="Times New Roman"/>
          <w:u w:val="single"/>
        </w:rPr>
      </w:pPr>
      <w:r w:rsidRPr="00CB2CB5">
        <w:rPr>
          <w:rFonts w:eastAsia="Times New Roman"/>
          <w:u w:val="single"/>
        </w:rPr>
        <w:t>Mitigating Ratepayer R</w:t>
      </w:r>
      <w:r w:rsidR="003C0EF8" w:rsidRPr="00CB2CB5">
        <w:rPr>
          <w:rFonts w:eastAsia="Times New Roman"/>
          <w:u w:val="single"/>
        </w:rPr>
        <w:t>isk</w:t>
      </w:r>
    </w:p>
    <w:p w14:paraId="6F3BDC0C" w14:textId="77777777" w:rsidR="00910A8A" w:rsidRPr="00CB2CB5" w:rsidRDefault="00910A8A" w:rsidP="008214EA">
      <w:pPr>
        <w:spacing w:line="276" w:lineRule="auto"/>
        <w:ind w:left="1170"/>
        <w:rPr>
          <w:rFonts w:eastAsia="Times New Roman"/>
        </w:rPr>
      </w:pPr>
    </w:p>
    <w:p w14:paraId="6675B137" w14:textId="77777777" w:rsidR="00080835" w:rsidRPr="00CB2CB5" w:rsidRDefault="00423E0F" w:rsidP="009B2BA8">
      <w:pPr>
        <w:spacing w:line="276" w:lineRule="auto"/>
        <w:rPr>
          <w:rFonts w:eastAsia="Times New Roman"/>
        </w:rPr>
      </w:pPr>
      <w:r w:rsidRPr="00CB2CB5">
        <w:rPr>
          <w:rFonts w:eastAsia="Times New Roman"/>
        </w:rPr>
        <w:t>Risk mitigation for resource selection is achieved in several ways.  First, EPE incorporates risk variables for reliability, operational considerations, fuel supply and price volatility and anticipated environmental regulation in its analysis of competing resource options.  EPE also analyzes sensitivities in resource selection for variations in forecasted load over time.  Finally, because ultimate resource additions can take a considerable amount of time, ratepayer risk mitigation is achieved by constantly updating underlying assumptions as to capacity needs and timing of resource additions.</w:t>
      </w:r>
      <w:r w:rsidR="00B20224" w:rsidRPr="00CB2CB5">
        <w:rPr>
          <w:rFonts w:eastAsia="Times New Roman"/>
        </w:rPr>
        <w:tab/>
      </w:r>
    </w:p>
    <w:p w14:paraId="4C1C8ABC" w14:textId="77777777" w:rsidR="00910A8A" w:rsidRPr="00CB2CB5" w:rsidRDefault="00910A8A" w:rsidP="008214EA">
      <w:pPr>
        <w:spacing w:line="276" w:lineRule="auto"/>
        <w:ind w:left="1170"/>
        <w:rPr>
          <w:rFonts w:eastAsia="Times New Roman"/>
        </w:rPr>
      </w:pPr>
    </w:p>
    <w:p w14:paraId="7E031C85" w14:textId="77777777" w:rsidR="003C0EF8" w:rsidRPr="00CB2CB5" w:rsidRDefault="003C0EF8" w:rsidP="008759DE">
      <w:pPr>
        <w:pStyle w:val="Heading2"/>
        <w:numPr>
          <w:ilvl w:val="0"/>
          <w:numId w:val="39"/>
        </w:numPr>
        <w:spacing w:line="276" w:lineRule="auto"/>
        <w:ind w:left="1080" w:hanging="540"/>
        <w:rPr>
          <w:rFonts w:eastAsia="Times New Roman"/>
        </w:rPr>
      </w:pPr>
      <w:bookmarkStart w:id="64" w:name="_Toc534190335"/>
      <w:r w:rsidRPr="00CB2CB5">
        <w:rPr>
          <w:rFonts w:eastAsia="Times New Roman"/>
        </w:rPr>
        <w:t>C</w:t>
      </w:r>
      <w:r w:rsidR="00080835" w:rsidRPr="00CB2CB5">
        <w:rPr>
          <w:rFonts w:eastAsia="Times New Roman"/>
        </w:rPr>
        <w:t>onsiderations</w:t>
      </w:r>
      <w:r w:rsidR="003665D9" w:rsidRPr="00CB2CB5">
        <w:rPr>
          <w:rFonts w:eastAsia="Times New Roman"/>
        </w:rPr>
        <w:t xml:space="preserve"> – Reliability</w:t>
      </w:r>
      <w:bookmarkEnd w:id="64"/>
    </w:p>
    <w:p w14:paraId="586A0C6E" w14:textId="77777777" w:rsidR="00423E0F" w:rsidRPr="00CB2CB5" w:rsidRDefault="00423E0F" w:rsidP="008759DE">
      <w:pPr>
        <w:spacing w:line="276" w:lineRule="auto"/>
      </w:pPr>
    </w:p>
    <w:p w14:paraId="776BCA60" w14:textId="150E1F4A" w:rsidR="009A3F63" w:rsidRPr="00CB2CB5" w:rsidRDefault="009A3F63" w:rsidP="009B2BA8">
      <w:pPr>
        <w:spacing w:line="276" w:lineRule="auto"/>
        <w:ind w:left="540"/>
        <w:rPr>
          <w:rFonts w:eastAsia="Times New Roman"/>
        </w:rPr>
      </w:pPr>
      <w:r w:rsidRPr="00CB2CB5">
        <w:rPr>
          <w:rFonts w:eastAsia="Times New Roman"/>
        </w:rPr>
        <w:t>The most cost</w:t>
      </w:r>
      <w:r w:rsidR="005050B9" w:rsidRPr="00CB2CB5">
        <w:rPr>
          <w:rFonts w:eastAsia="Times New Roman"/>
        </w:rPr>
        <w:t>-</w:t>
      </w:r>
      <w:r w:rsidRPr="00CB2CB5">
        <w:rPr>
          <w:rFonts w:eastAsia="Times New Roman"/>
        </w:rPr>
        <w:t xml:space="preserve">effective portfolio takes into consideration cost, reliability, safety, environmental, and operating characteristics.  It reliably introduces a significant amount of solar renewable energy while addressing the intermittency characteristics of solar.  Additionally, it selects solar coupled with battery storage which again allows the addition of solar while providing firm output characteristics during peak hours with the battery storage.  </w:t>
      </w:r>
    </w:p>
    <w:p w14:paraId="7D3FACB9" w14:textId="77777777" w:rsidR="009A3F63" w:rsidRPr="00CB2CB5" w:rsidRDefault="009A3F63" w:rsidP="009B2BA8">
      <w:pPr>
        <w:spacing w:line="276" w:lineRule="auto"/>
        <w:ind w:left="540"/>
        <w:rPr>
          <w:rFonts w:eastAsia="Times New Roman"/>
        </w:rPr>
      </w:pPr>
    </w:p>
    <w:p w14:paraId="0ED22C1F" w14:textId="2A0805A3" w:rsidR="009A3F63" w:rsidRPr="00CB2CB5" w:rsidRDefault="009A3F63" w:rsidP="009B2BA8">
      <w:pPr>
        <w:spacing w:line="276" w:lineRule="auto"/>
        <w:ind w:left="540"/>
      </w:pPr>
      <w:r w:rsidRPr="00CB2CB5">
        <w:rPr>
          <w:rFonts w:eastAsia="Times New Roman"/>
        </w:rPr>
        <w:t xml:space="preserve">Throughout the </w:t>
      </w:r>
      <w:r w:rsidR="00E16DFF">
        <w:rPr>
          <w:rFonts w:eastAsia="Times New Roman"/>
        </w:rPr>
        <w:t>2021</w:t>
      </w:r>
      <w:r w:rsidRPr="00CB2CB5">
        <w:rPr>
          <w:rFonts w:eastAsia="Times New Roman"/>
        </w:rPr>
        <w:t xml:space="preserve"> IRP, EPE accounted for transmission and reserve margin constraints </w:t>
      </w:r>
      <w:r w:rsidR="00A87069" w:rsidRPr="00CB2CB5">
        <w:rPr>
          <w:rFonts w:eastAsia="Times New Roman"/>
        </w:rPr>
        <w:t>to</w:t>
      </w:r>
      <w:r w:rsidRPr="00CB2CB5">
        <w:rPr>
          <w:rFonts w:eastAsia="Times New Roman"/>
        </w:rPr>
        <w:t xml:space="preserve"> capture these parameters while considering total electric system reliability.  Each resource analyzed as a portfolio option on a cost-effective basis must also demonstrate its ability to sustain and complement overall system reliability.  </w:t>
      </w:r>
      <w:r w:rsidRPr="00CB2CB5">
        <w:t xml:space="preserve">EPE </w:t>
      </w:r>
      <w:r w:rsidR="00A87069" w:rsidRPr="00CB2CB5">
        <w:t>considered</w:t>
      </w:r>
      <w:r w:rsidRPr="00CB2CB5">
        <w:t xml:space="preserve"> its geographical location and its transmission import limits when developing its optimal portfolio.  The resulting portfolio ensures an adequate reserve margin </w:t>
      </w:r>
      <w:r w:rsidR="00E16DFF">
        <w:t xml:space="preserve">to meet a 2 in </w:t>
      </w:r>
      <w:r w:rsidR="0055055A">
        <w:t>10-year</w:t>
      </w:r>
      <w:r w:rsidR="00E16DFF">
        <w:t xml:space="preserve"> </w:t>
      </w:r>
      <w:proofErr w:type="spellStart"/>
      <w:r w:rsidR="00E16DFF">
        <w:t>LOLE</w:t>
      </w:r>
      <w:proofErr w:type="spellEnd"/>
      <w:r w:rsidR="00E16DFF">
        <w:t xml:space="preserve"> through 2029 and then shifts to a 1 in </w:t>
      </w:r>
      <w:r w:rsidR="0055055A">
        <w:t>10-year</w:t>
      </w:r>
      <w:r w:rsidR="00E16DFF">
        <w:t xml:space="preserve"> </w:t>
      </w:r>
      <w:proofErr w:type="spellStart"/>
      <w:r w:rsidR="00E16DFF">
        <w:t>LOLE</w:t>
      </w:r>
      <w:proofErr w:type="spellEnd"/>
      <w:r w:rsidR="00E16DFF">
        <w:t xml:space="preserve"> from 2030 forward</w:t>
      </w:r>
      <w:r w:rsidR="00C3083B" w:rsidRPr="00CB2CB5">
        <w:t>.</w:t>
      </w:r>
    </w:p>
    <w:p w14:paraId="26AFAA11" w14:textId="77777777" w:rsidR="007D6C85" w:rsidRPr="00CB2CB5" w:rsidRDefault="007D6C85" w:rsidP="009B2BA8">
      <w:pPr>
        <w:spacing w:line="276" w:lineRule="auto"/>
        <w:ind w:left="540"/>
      </w:pPr>
    </w:p>
    <w:p w14:paraId="2FF35EEE" w14:textId="734E253F" w:rsidR="009A3F63" w:rsidRPr="00CB2CB5" w:rsidRDefault="00E16DFF" w:rsidP="009B2BA8">
      <w:pPr>
        <w:spacing w:line="276" w:lineRule="auto"/>
        <w:ind w:left="540"/>
        <w:rPr>
          <w:rFonts w:eastAsia="Times New Roman"/>
        </w:rPr>
      </w:pPr>
      <w:r>
        <w:rPr>
          <w:rFonts w:eastAsia="Times New Roman"/>
        </w:rPr>
        <w:t xml:space="preserve">The recommended portfolio will have sufficient system resources and New Mexico dedicated resources to comply with the current REA requirements.  </w:t>
      </w:r>
      <w:r w:rsidR="007D6C85" w:rsidRPr="00CB2CB5">
        <w:rPr>
          <w:rFonts w:eastAsia="Times New Roman"/>
        </w:rPr>
        <w:t xml:space="preserve">The IRP accounts for these REA requirements by including EPE’s existing RPS resource in EPE’s </w:t>
      </w:r>
      <w:proofErr w:type="spellStart"/>
      <w:r w:rsidR="007D6C85" w:rsidRPr="00CB2CB5">
        <w:rPr>
          <w:rFonts w:eastAsia="Times New Roman"/>
        </w:rPr>
        <w:t>L&amp;R</w:t>
      </w:r>
      <w:proofErr w:type="spellEnd"/>
      <w:r w:rsidR="007D6C85" w:rsidRPr="00CB2CB5">
        <w:rPr>
          <w:rFonts w:eastAsia="Times New Roman"/>
        </w:rPr>
        <w:t xml:space="preserve"> and by modeling them as existing resources.  The Commission most recently approved EPE’s RPS resources in Case No. 18-00109-UT. As part of the IRP evaluation, </w:t>
      </w:r>
      <w:r w:rsidR="00A87069" w:rsidRPr="00CB2CB5">
        <w:rPr>
          <w:rFonts w:eastAsia="Times New Roman"/>
        </w:rPr>
        <w:t>like</w:t>
      </w:r>
      <w:r w:rsidR="00156A56" w:rsidRPr="00CB2CB5">
        <w:rPr>
          <w:rFonts w:eastAsia="Times New Roman"/>
        </w:rPr>
        <w:t xml:space="preserve"> EE resource options being modeled above and beyond the </w:t>
      </w:r>
      <w:proofErr w:type="spellStart"/>
      <w:r w:rsidR="00156A56" w:rsidRPr="00CB2CB5">
        <w:rPr>
          <w:rFonts w:eastAsia="Times New Roman"/>
        </w:rPr>
        <w:t>EUEA</w:t>
      </w:r>
      <w:proofErr w:type="spellEnd"/>
      <w:r w:rsidR="00156A56" w:rsidRPr="00CB2CB5">
        <w:rPr>
          <w:rFonts w:eastAsia="Times New Roman"/>
        </w:rPr>
        <w:t xml:space="preserve"> requirements, renewable</w:t>
      </w:r>
      <w:r w:rsidR="007D6C85" w:rsidRPr="00CB2CB5">
        <w:rPr>
          <w:rFonts w:eastAsia="Times New Roman"/>
        </w:rPr>
        <w:t xml:space="preserve"> resources were considered and included in the model</w:t>
      </w:r>
      <w:r w:rsidR="00156A56" w:rsidRPr="00CB2CB5">
        <w:rPr>
          <w:rFonts w:eastAsia="Times New Roman"/>
        </w:rPr>
        <w:t>, above and beyond the REA requirements</w:t>
      </w:r>
      <w:r w:rsidR="007D6C85" w:rsidRPr="00CB2CB5">
        <w:rPr>
          <w:rFonts w:eastAsia="Times New Roman"/>
        </w:rPr>
        <w:t>.</w:t>
      </w:r>
    </w:p>
    <w:p w14:paraId="1B721E95" w14:textId="77777777" w:rsidR="007D6C85" w:rsidRPr="00CB2CB5" w:rsidRDefault="007D6C85" w:rsidP="009B2BA8">
      <w:pPr>
        <w:spacing w:line="276" w:lineRule="auto"/>
        <w:ind w:left="540"/>
        <w:rPr>
          <w:rFonts w:eastAsia="Times New Roman"/>
        </w:rPr>
      </w:pPr>
    </w:p>
    <w:p w14:paraId="268D96BF" w14:textId="17F7CDC9" w:rsidR="009A3F63" w:rsidRPr="00CB2CB5" w:rsidRDefault="009A3F63" w:rsidP="009B2BA8">
      <w:pPr>
        <w:spacing w:line="276" w:lineRule="auto"/>
        <w:ind w:left="540"/>
        <w:rPr>
          <w:rFonts w:eastAsia="Times New Roman"/>
        </w:rPr>
      </w:pPr>
      <w:r w:rsidRPr="00CB2CB5">
        <w:rPr>
          <w:rFonts w:eastAsia="Times New Roman"/>
        </w:rPr>
        <w:t xml:space="preserve">As stated above, energy efficiency and load management programs were taken into consideration during the IRP, both as a forecasted reduction in load and as a resource option.  DR programs and EE are shown in the </w:t>
      </w:r>
      <w:proofErr w:type="spellStart"/>
      <w:r w:rsidRPr="00CB2CB5">
        <w:rPr>
          <w:rFonts w:eastAsia="Times New Roman"/>
        </w:rPr>
        <w:t>L&amp;R</w:t>
      </w:r>
      <w:proofErr w:type="spellEnd"/>
      <w:r w:rsidRPr="00CB2CB5">
        <w:rPr>
          <w:rFonts w:eastAsia="Times New Roman"/>
        </w:rPr>
        <w:t xml:space="preserve"> in Section 4.0.  EE resources were considered above the </w:t>
      </w:r>
      <w:proofErr w:type="spellStart"/>
      <w:r w:rsidRPr="00CB2CB5">
        <w:rPr>
          <w:rFonts w:eastAsia="Times New Roman"/>
        </w:rPr>
        <w:t>EUEA</w:t>
      </w:r>
      <w:proofErr w:type="spellEnd"/>
      <w:r w:rsidRPr="00CB2CB5">
        <w:rPr>
          <w:rFonts w:eastAsia="Times New Roman"/>
        </w:rPr>
        <w:t xml:space="preserve"> requirements.  </w:t>
      </w:r>
    </w:p>
    <w:p w14:paraId="20DCDF67" w14:textId="77777777" w:rsidR="009A3F63" w:rsidRPr="00CB2CB5" w:rsidRDefault="009A3F63" w:rsidP="009B2BA8">
      <w:pPr>
        <w:spacing w:line="276" w:lineRule="auto"/>
        <w:ind w:left="540"/>
        <w:rPr>
          <w:rFonts w:eastAsia="Times New Roman"/>
        </w:rPr>
      </w:pPr>
    </w:p>
    <w:p w14:paraId="547326DE" w14:textId="77777777" w:rsidR="0033201B" w:rsidRPr="00CB2CB5" w:rsidRDefault="00AC1E09" w:rsidP="009B2BA8">
      <w:pPr>
        <w:spacing w:line="276" w:lineRule="auto"/>
        <w:ind w:left="540"/>
        <w:rPr>
          <w:rFonts w:eastAsia="Times New Roman"/>
        </w:rPr>
      </w:pPr>
      <w:r w:rsidRPr="00CB2CB5">
        <w:rPr>
          <w:rFonts w:eastAsia="Times New Roman"/>
        </w:rPr>
        <w:t>EPE</w:t>
      </w:r>
      <w:r w:rsidR="00B81EE4" w:rsidRPr="00CB2CB5">
        <w:rPr>
          <w:rFonts w:eastAsia="Times New Roman"/>
        </w:rPr>
        <w:t>'</w:t>
      </w:r>
      <w:r w:rsidRPr="00CB2CB5">
        <w:rPr>
          <w:rFonts w:eastAsia="Times New Roman"/>
        </w:rPr>
        <w:t>s current generating portfolio provides for minimal exposure to the EPA</w:t>
      </w:r>
      <w:r w:rsidR="00B81EE4" w:rsidRPr="00CB2CB5">
        <w:rPr>
          <w:rFonts w:eastAsia="Times New Roman"/>
        </w:rPr>
        <w:t>'</w:t>
      </w:r>
      <w:r w:rsidRPr="00CB2CB5">
        <w:rPr>
          <w:rFonts w:eastAsia="Times New Roman"/>
        </w:rPr>
        <w:t>s guidelines to reduce carbon dioxide emissions.</w:t>
      </w:r>
      <w:r w:rsidR="00796B0C" w:rsidRPr="00CB2CB5">
        <w:rPr>
          <w:rFonts w:eastAsia="Times New Roman"/>
        </w:rPr>
        <w:t xml:space="preserve"> </w:t>
      </w:r>
      <w:r w:rsidRPr="00CB2CB5">
        <w:rPr>
          <w:rFonts w:eastAsia="Times New Roman"/>
        </w:rPr>
        <w:t xml:space="preserve"> Moving forward, the P</w:t>
      </w:r>
      <w:r w:rsidR="00051469" w:rsidRPr="00CB2CB5">
        <w:rPr>
          <w:rFonts w:eastAsia="Times New Roman"/>
        </w:rPr>
        <w:t xml:space="preserve">lan illustrates that EPE will </w:t>
      </w:r>
      <w:r w:rsidR="00562BAF" w:rsidRPr="00CB2CB5">
        <w:rPr>
          <w:rFonts w:eastAsia="Times New Roman"/>
        </w:rPr>
        <w:t xml:space="preserve">continue to </w:t>
      </w:r>
      <w:r w:rsidR="001557B1" w:rsidRPr="00CB2CB5">
        <w:rPr>
          <w:rFonts w:eastAsia="Times New Roman"/>
        </w:rPr>
        <w:t>improve</w:t>
      </w:r>
      <w:r w:rsidR="00051469" w:rsidRPr="00CB2CB5">
        <w:rPr>
          <w:rFonts w:eastAsia="Times New Roman"/>
        </w:rPr>
        <w:t xml:space="preserve"> </w:t>
      </w:r>
      <w:r w:rsidR="00562BAF" w:rsidRPr="00CB2CB5">
        <w:rPr>
          <w:rFonts w:eastAsia="Times New Roman"/>
        </w:rPr>
        <w:t>environmental stewardship</w:t>
      </w:r>
      <w:r w:rsidRPr="00CB2CB5">
        <w:rPr>
          <w:rFonts w:eastAsia="Times New Roman"/>
        </w:rPr>
        <w:t xml:space="preserve"> due to</w:t>
      </w:r>
      <w:r w:rsidR="001557B1" w:rsidRPr="00CB2CB5">
        <w:rPr>
          <w:rFonts w:eastAsia="Times New Roman"/>
        </w:rPr>
        <w:t xml:space="preserve"> the increased percentage of renewable resources in</w:t>
      </w:r>
      <w:r w:rsidRPr="00CB2CB5">
        <w:rPr>
          <w:rFonts w:eastAsia="Times New Roman"/>
        </w:rPr>
        <w:t xml:space="preserve"> EPE</w:t>
      </w:r>
      <w:r w:rsidR="00B81EE4" w:rsidRPr="00CB2CB5">
        <w:rPr>
          <w:rFonts w:eastAsia="Times New Roman"/>
        </w:rPr>
        <w:t>'</w:t>
      </w:r>
      <w:r w:rsidRPr="00CB2CB5">
        <w:rPr>
          <w:rFonts w:eastAsia="Times New Roman"/>
        </w:rPr>
        <w:t xml:space="preserve">s </w:t>
      </w:r>
      <w:r w:rsidR="001557B1" w:rsidRPr="00CB2CB5">
        <w:rPr>
          <w:rFonts w:eastAsia="Times New Roman"/>
        </w:rPr>
        <w:t>optimal portfolio</w:t>
      </w:r>
      <w:r w:rsidRPr="00CB2CB5">
        <w:rPr>
          <w:rFonts w:eastAsia="Times New Roman"/>
        </w:rPr>
        <w:t>.  T</w:t>
      </w:r>
      <w:r w:rsidR="00A85D12" w:rsidRPr="00CB2CB5">
        <w:rPr>
          <w:rFonts w:eastAsia="Times New Roman"/>
        </w:rPr>
        <w:t>he inclusion of renewable resources above regulatory requirements demonstrates EPE</w:t>
      </w:r>
      <w:r w:rsidR="00B81EE4" w:rsidRPr="00CB2CB5">
        <w:rPr>
          <w:rFonts w:eastAsia="Times New Roman"/>
        </w:rPr>
        <w:t>'</w:t>
      </w:r>
      <w:r w:rsidR="00A85D12" w:rsidRPr="00CB2CB5">
        <w:rPr>
          <w:rFonts w:eastAsia="Times New Roman"/>
        </w:rPr>
        <w:t xml:space="preserve">s efforts to limit its carbon footprint. </w:t>
      </w:r>
    </w:p>
    <w:p w14:paraId="60A6F22E" w14:textId="77777777" w:rsidR="00934339" w:rsidRPr="00CB2CB5" w:rsidRDefault="00934339" w:rsidP="009B2BA8">
      <w:pPr>
        <w:spacing w:line="276" w:lineRule="auto"/>
        <w:ind w:left="540"/>
        <w:rPr>
          <w:rFonts w:eastAsia="Times New Roman"/>
        </w:rPr>
      </w:pPr>
    </w:p>
    <w:p w14:paraId="7FA5BF40" w14:textId="0D4E1EFE" w:rsidR="00080835" w:rsidRPr="00CB2CB5" w:rsidRDefault="00934339" w:rsidP="009B2BA8">
      <w:pPr>
        <w:spacing w:line="276" w:lineRule="auto"/>
        <w:ind w:left="540"/>
        <w:rPr>
          <w:rFonts w:eastAsia="Times New Roman"/>
        </w:rPr>
      </w:pPr>
      <w:r w:rsidRPr="00CB2CB5">
        <w:rPr>
          <w:rFonts w:eastAsia="Times New Roman"/>
        </w:rPr>
        <w:t>Given the increased amount of renewable</w:t>
      </w:r>
      <w:r w:rsidR="009B2BA8">
        <w:rPr>
          <w:rFonts w:eastAsia="Times New Roman"/>
        </w:rPr>
        <w:t xml:space="preserve"> resource</w:t>
      </w:r>
      <w:r w:rsidRPr="00CB2CB5">
        <w:rPr>
          <w:rFonts w:eastAsia="Times New Roman"/>
        </w:rPr>
        <w:t>s and the introduction of battery storage</w:t>
      </w:r>
      <w:r w:rsidR="00114CC2" w:rsidRPr="00CB2CB5">
        <w:rPr>
          <w:rFonts w:eastAsia="Times New Roman"/>
        </w:rPr>
        <w:t xml:space="preserve">, the </w:t>
      </w:r>
      <w:r w:rsidR="0055055A">
        <w:rPr>
          <w:rFonts w:eastAsia="Times New Roman"/>
        </w:rPr>
        <w:t xml:space="preserve">most </w:t>
      </w:r>
      <w:r w:rsidR="00A87069" w:rsidRPr="00CB2CB5">
        <w:rPr>
          <w:rFonts w:eastAsia="Times New Roman"/>
        </w:rPr>
        <w:t>cost-effective</w:t>
      </w:r>
      <w:r w:rsidR="00114CC2" w:rsidRPr="00CB2CB5">
        <w:rPr>
          <w:rFonts w:eastAsia="Times New Roman"/>
        </w:rPr>
        <w:t xml:space="preserve"> portfolio has</w:t>
      </w:r>
      <w:r w:rsidRPr="00CB2CB5">
        <w:rPr>
          <w:rFonts w:eastAsia="Times New Roman"/>
        </w:rPr>
        <w:t xml:space="preserve"> </w:t>
      </w:r>
      <w:r w:rsidR="00114CC2" w:rsidRPr="00CB2CB5">
        <w:rPr>
          <w:rFonts w:eastAsia="Times New Roman"/>
        </w:rPr>
        <w:t xml:space="preserve">a </w:t>
      </w:r>
      <w:r w:rsidRPr="00CB2CB5">
        <w:rPr>
          <w:rFonts w:eastAsia="Times New Roman"/>
        </w:rPr>
        <w:t>greater diversity of resources.</w:t>
      </w:r>
    </w:p>
    <w:p w14:paraId="14A6F3B6" w14:textId="77777777" w:rsidR="00080835" w:rsidRPr="00CB2CB5" w:rsidRDefault="00080835" w:rsidP="008759DE">
      <w:pPr>
        <w:spacing w:line="276" w:lineRule="auto"/>
        <w:ind w:left="1800" w:hanging="540"/>
        <w:rPr>
          <w:rFonts w:eastAsia="Times New Roman"/>
          <w:b/>
        </w:rPr>
      </w:pPr>
    </w:p>
    <w:p w14:paraId="63E05186" w14:textId="77777777" w:rsidR="003C0EF8" w:rsidRPr="00CB2CB5" w:rsidRDefault="003C0EF8" w:rsidP="008759DE">
      <w:pPr>
        <w:pStyle w:val="Heading2"/>
        <w:numPr>
          <w:ilvl w:val="0"/>
          <w:numId w:val="39"/>
        </w:numPr>
        <w:spacing w:line="276" w:lineRule="auto"/>
        <w:ind w:left="1080" w:hanging="540"/>
        <w:rPr>
          <w:rFonts w:eastAsia="Times New Roman"/>
        </w:rPr>
      </w:pPr>
      <w:bookmarkStart w:id="65" w:name="_Toc534190336"/>
      <w:r w:rsidRPr="00CB2CB5">
        <w:rPr>
          <w:rFonts w:eastAsia="Times New Roman"/>
        </w:rPr>
        <w:t xml:space="preserve">Alternative </w:t>
      </w:r>
      <w:r w:rsidR="008214EA" w:rsidRPr="00CB2CB5">
        <w:rPr>
          <w:rFonts w:eastAsia="Times New Roman"/>
        </w:rPr>
        <w:t>P</w:t>
      </w:r>
      <w:r w:rsidRPr="00CB2CB5">
        <w:rPr>
          <w:rFonts w:eastAsia="Times New Roman"/>
        </w:rPr>
        <w:t>ortfolios (sensitivities, carbon tax)</w:t>
      </w:r>
      <w:bookmarkEnd w:id="65"/>
      <w:r w:rsidRPr="00CB2CB5">
        <w:rPr>
          <w:rFonts w:eastAsia="Times New Roman"/>
        </w:rPr>
        <w:t xml:space="preserve"> </w:t>
      </w:r>
    </w:p>
    <w:p w14:paraId="2FA47BAA" w14:textId="77777777" w:rsidR="00EE5D4B" w:rsidRPr="00CB2CB5" w:rsidRDefault="00EE5D4B" w:rsidP="008759DE">
      <w:pPr>
        <w:spacing w:line="276" w:lineRule="auto"/>
        <w:ind w:left="540"/>
        <w:rPr>
          <w:rFonts w:eastAsia="Times New Roman"/>
          <w:b/>
        </w:rPr>
      </w:pPr>
    </w:p>
    <w:p w14:paraId="5428F782" w14:textId="77777777" w:rsidR="00EE5D4B" w:rsidRPr="00CB2CB5" w:rsidRDefault="00080835" w:rsidP="008759DE">
      <w:pPr>
        <w:spacing w:line="276" w:lineRule="auto"/>
        <w:ind w:left="540"/>
        <w:rPr>
          <w:rFonts w:eastAsia="Times New Roman"/>
          <w:b/>
          <w:caps/>
        </w:rPr>
      </w:pPr>
      <w:r w:rsidRPr="00CB2CB5">
        <w:rPr>
          <w:rFonts w:eastAsia="Times New Roman"/>
          <w:b/>
        </w:rPr>
        <w:t>Sensitivity Analysis</w:t>
      </w:r>
    </w:p>
    <w:p w14:paraId="42AC0C65" w14:textId="77777777" w:rsidR="00080835" w:rsidRPr="00CB2CB5" w:rsidRDefault="00080835" w:rsidP="008759DE">
      <w:pPr>
        <w:spacing w:line="276" w:lineRule="auto"/>
        <w:ind w:left="540"/>
        <w:rPr>
          <w:rFonts w:eastAsia="Times New Roman"/>
        </w:rPr>
      </w:pPr>
    </w:p>
    <w:p w14:paraId="5D64542F" w14:textId="614FD698" w:rsidR="006201B6" w:rsidRPr="00CB2CB5" w:rsidRDefault="006201B6" w:rsidP="008759DE">
      <w:pPr>
        <w:spacing w:line="276" w:lineRule="auto"/>
        <w:ind w:left="540"/>
        <w:rPr>
          <w:rFonts w:eastAsia="Times New Roman"/>
        </w:rPr>
      </w:pPr>
      <w:r w:rsidRPr="00CB2CB5">
        <w:rPr>
          <w:rFonts w:eastAsia="Times New Roman"/>
        </w:rPr>
        <w:t xml:space="preserve">EPE analyzed various sensitivities to capture the cost </w:t>
      </w:r>
      <w:r w:rsidR="00114CC2" w:rsidRPr="00CB2CB5">
        <w:rPr>
          <w:rFonts w:eastAsia="Times New Roman"/>
        </w:rPr>
        <w:t>differences</w:t>
      </w:r>
      <w:r w:rsidRPr="00CB2CB5">
        <w:rPr>
          <w:rFonts w:eastAsia="Times New Roman"/>
        </w:rPr>
        <w:t xml:space="preserve"> and </w:t>
      </w:r>
      <w:r w:rsidR="00114CC2" w:rsidRPr="00CB2CB5">
        <w:rPr>
          <w:rFonts w:eastAsia="Times New Roman"/>
        </w:rPr>
        <w:t xml:space="preserve">changes </w:t>
      </w:r>
      <w:r w:rsidRPr="00CB2CB5">
        <w:rPr>
          <w:rFonts w:eastAsia="Times New Roman"/>
        </w:rPr>
        <w:t xml:space="preserve">to the </w:t>
      </w:r>
      <w:r w:rsidR="00114CC2" w:rsidRPr="00CB2CB5">
        <w:rPr>
          <w:rFonts w:eastAsia="Times New Roman"/>
        </w:rPr>
        <w:t>resource</w:t>
      </w:r>
      <w:r w:rsidRPr="00CB2CB5">
        <w:rPr>
          <w:rFonts w:eastAsia="Times New Roman"/>
        </w:rPr>
        <w:t xml:space="preserve"> expansion plan</w:t>
      </w:r>
      <w:r w:rsidR="00114CC2" w:rsidRPr="00CB2CB5">
        <w:rPr>
          <w:rFonts w:eastAsia="Times New Roman"/>
        </w:rPr>
        <w:t>.  The sensitivities included variations to</w:t>
      </w:r>
      <w:r w:rsidRPr="00CB2CB5">
        <w:rPr>
          <w:rFonts w:eastAsia="Times New Roman"/>
        </w:rPr>
        <w:t xml:space="preserve"> projected load, forecasted natural gas prices</w:t>
      </w:r>
      <w:r w:rsidR="00114CC2" w:rsidRPr="00CB2CB5">
        <w:rPr>
          <w:rFonts w:eastAsia="Times New Roman"/>
        </w:rPr>
        <w:t>,</w:t>
      </w:r>
      <w:r w:rsidRPr="00CB2CB5">
        <w:rPr>
          <w:rFonts w:eastAsia="Times New Roman"/>
        </w:rPr>
        <w:t xml:space="preserve"> and carbon tax </w:t>
      </w:r>
      <w:r w:rsidR="00114CC2" w:rsidRPr="00CB2CB5">
        <w:rPr>
          <w:rFonts w:eastAsia="Times New Roman"/>
        </w:rPr>
        <w:t xml:space="preserve">costs </w:t>
      </w:r>
      <w:r w:rsidRPr="00CB2CB5">
        <w:rPr>
          <w:rFonts w:eastAsia="Times New Roman"/>
        </w:rPr>
        <w:t>at different</w:t>
      </w:r>
      <w:r w:rsidR="00080835" w:rsidRPr="00CB2CB5">
        <w:rPr>
          <w:rFonts w:eastAsia="Times New Roman"/>
        </w:rPr>
        <w:t xml:space="preserve"> </w:t>
      </w:r>
      <w:r w:rsidRPr="00CB2CB5">
        <w:rPr>
          <w:rFonts w:eastAsia="Times New Roman"/>
        </w:rPr>
        <w:t>price thresholds. Therefore, EPE modeled and analyzed high and low sensitivities on load, natural gas prices</w:t>
      </w:r>
      <w:r w:rsidR="00114CC2" w:rsidRPr="00CB2CB5">
        <w:rPr>
          <w:rFonts w:eastAsia="Times New Roman"/>
        </w:rPr>
        <w:t>,</w:t>
      </w:r>
      <w:r w:rsidRPr="00CB2CB5">
        <w:rPr>
          <w:rFonts w:eastAsia="Times New Roman"/>
        </w:rPr>
        <w:t xml:space="preserve"> and </w:t>
      </w:r>
      <w:r w:rsidR="00EC0868" w:rsidRPr="00CB2CB5">
        <w:rPr>
          <w:rFonts w:eastAsia="Times New Roman"/>
        </w:rPr>
        <w:t xml:space="preserve">low, </w:t>
      </w:r>
      <w:r w:rsidR="00A87069" w:rsidRPr="00CB2CB5">
        <w:rPr>
          <w:rFonts w:eastAsia="Times New Roman"/>
        </w:rPr>
        <w:t>mid,</w:t>
      </w:r>
      <w:r w:rsidR="00EC0868" w:rsidRPr="00CB2CB5">
        <w:rPr>
          <w:rFonts w:eastAsia="Times New Roman"/>
        </w:rPr>
        <w:t xml:space="preserve"> and high </w:t>
      </w:r>
      <w:r w:rsidRPr="00CB2CB5">
        <w:rPr>
          <w:rFonts w:eastAsia="Times New Roman"/>
        </w:rPr>
        <w:t>carbon tax. Results from the S</w:t>
      </w:r>
      <w:r w:rsidR="00C70F93" w:rsidRPr="00CB2CB5">
        <w:rPr>
          <w:rFonts w:eastAsia="Times New Roman"/>
        </w:rPr>
        <w:t>trategist</w:t>
      </w:r>
      <w:r w:rsidRPr="00CB2CB5">
        <w:rPr>
          <w:rFonts w:eastAsia="Times New Roman"/>
        </w:rPr>
        <w:t xml:space="preserve"> sensitivities are presented in </w:t>
      </w:r>
      <w:r w:rsidR="00CD231D" w:rsidRPr="00CB2CB5">
        <w:rPr>
          <w:rFonts w:eastAsia="Times New Roman"/>
        </w:rPr>
        <w:t>Section IX</w:t>
      </w:r>
      <w:r w:rsidRPr="00CB2CB5">
        <w:rPr>
          <w:rFonts w:eastAsia="Times New Roman"/>
        </w:rPr>
        <w:t>, which include the present value utility costs for each plan.</w:t>
      </w:r>
    </w:p>
    <w:p w14:paraId="6CFE7294" w14:textId="77777777" w:rsidR="00A13C30" w:rsidRPr="00CB2CB5" w:rsidRDefault="00A13C30" w:rsidP="008759DE">
      <w:pPr>
        <w:spacing w:line="276" w:lineRule="auto"/>
        <w:ind w:left="540"/>
        <w:rPr>
          <w:rFonts w:eastAsia="Times New Roman"/>
        </w:rPr>
      </w:pPr>
    </w:p>
    <w:p w14:paraId="787E79FE" w14:textId="3AED6861" w:rsidR="00EE5D4B" w:rsidRPr="00CB2CB5" w:rsidRDefault="004054B7" w:rsidP="008759DE">
      <w:pPr>
        <w:keepNext/>
        <w:keepLines/>
        <w:spacing w:line="276" w:lineRule="auto"/>
        <w:ind w:left="547"/>
        <w:rPr>
          <w:rFonts w:eastAsia="Times New Roman"/>
          <w:caps/>
          <w:u w:val="single"/>
        </w:rPr>
      </w:pPr>
      <w:r>
        <w:rPr>
          <w:rFonts w:eastAsia="Times New Roman"/>
          <w:u w:val="single"/>
        </w:rPr>
        <w:t xml:space="preserve">High Demand Side Management Sensitivity </w:t>
      </w:r>
      <w:r w:rsidR="00114CC2" w:rsidRPr="00CB2CB5">
        <w:rPr>
          <w:rFonts w:eastAsia="Times New Roman"/>
          <w:u w:val="single"/>
        </w:rPr>
        <w:t>Analysis</w:t>
      </w:r>
    </w:p>
    <w:p w14:paraId="271B0A93" w14:textId="77777777" w:rsidR="00A13C30" w:rsidRPr="00CB2CB5" w:rsidRDefault="00A13C30" w:rsidP="008759DE">
      <w:pPr>
        <w:keepNext/>
        <w:keepLines/>
        <w:spacing w:line="276" w:lineRule="auto"/>
        <w:ind w:left="547"/>
        <w:rPr>
          <w:rFonts w:eastAsia="Times New Roman"/>
          <w:caps/>
        </w:rPr>
      </w:pPr>
    </w:p>
    <w:p w14:paraId="09570B94" w14:textId="503CE832" w:rsidR="00EE5D4B" w:rsidRDefault="004054B7" w:rsidP="008759DE">
      <w:pPr>
        <w:spacing w:line="276" w:lineRule="auto"/>
        <w:ind w:left="540"/>
        <w:rPr>
          <w:rFonts w:eastAsia="Times New Roman"/>
        </w:rPr>
      </w:pPr>
      <w:r>
        <w:rPr>
          <w:rFonts w:eastAsia="Times New Roman"/>
        </w:rPr>
        <w:t>EPE opted to run a high Demand Side Management (DSM) sensitivity to assess portfolio impacts to the Least Cost System-Wide scenario.  This approach was selected because EPE’s current customer load characteristics do not provide a significant amount of load management options</w:t>
      </w:r>
      <w:r w:rsidR="003D6782">
        <w:rPr>
          <w:rFonts w:eastAsia="Times New Roman"/>
        </w:rPr>
        <w:t xml:space="preserve"> outside of thermostat control DSM options for refrigerated air systems</w:t>
      </w:r>
      <w:r>
        <w:rPr>
          <w:rFonts w:eastAsia="Times New Roman"/>
        </w:rPr>
        <w:t xml:space="preserve">. For example, </w:t>
      </w:r>
      <w:r w:rsidR="003D6782">
        <w:rPr>
          <w:rFonts w:eastAsia="Times New Roman"/>
        </w:rPr>
        <w:t xml:space="preserve">only 8 percent of customers have pools and only 15 percent of customers have electric water heaters. This does not offer much in the form of substantive DSM options.  However, EPE understands that this will change as greater electrification of load takes place.  Therefore, EPE modeled a high DSM sensitivity case based on a high DSM and Energy Efficiency adoption. </w:t>
      </w:r>
      <w:r w:rsidR="00F10B13">
        <w:rPr>
          <w:rFonts w:eastAsia="Times New Roman"/>
        </w:rPr>
        <w:t xml:space="preserve">It is noted, that in addition to the thermostat program expansion, EPE also assumed managed electric vehicle charging in the future which is also a form of DSM.  Figure 23 and Figure 24 below </w:t>
      </w:r>
      <w:r w:rsidR="00470BEA">
        <w:rPr>
          <w:rFonts w:eastAsia="Times New Roman"/>
        </w:rPr>
        <w:t xml:space="preserve">describes </w:t>
      </w:r>
      <w:r w:rsidR="003D6782">
        <w:rPr>
          <w:rFonts w:eastAsia="Times New Roman"/>
        </w:rPr>
        <w:t>the high DSM/EE scenario</w:t>
      </w:r>
      <w:r w:rsidR="00470BEA">
        <w:rPr>
          <w:rFonts w:eastAsia="Times New Roman"/>
        </w:rPr>
        <w:t xml:space="preserve"> along with the </w:t>
      </w:r>
      <w:r w:rsidR="003D6782">
        <w:rPr>
          <w:rFonts w:eastAsia="Times New Roman"/>
        </w:rPr>
        <w:t>resulting portfolio impact denoted as capacity addition reduction by resource type and year.</w:t>
      </w:r>
      <w:r w:rsidR="00E21660">
        <w:rPr>
          <w:rFonts w:eastAsia="Times New Roman"/>
        </w:rPr>
        <w:t xml:space="preserve">  </w:t>
      </w:r>
    </w:p>
    <w:p w14:paraId="6B72D68C" w14:textId="2F9DB89D" w:rsidR="003D6782" w:rsidRDefault="003D6782" w:rsidP="008759DE">
      <w:pPr>
        <w:spacing w:line="276" w:lineRule="auto"/>
        <w:ind w:left="540"/>
        <w:rPr>
          <w:rFonts w:eastAsia="Times New Roman"/>
        </w:rPr>
      </w:pPr>
    </w:p>
    <w:p w14:paraId="50C02D56" w14:textId="3BA3EAD5" w:rsidR="003D6782" w:rsidRDefault="00E21660" w:rsidP="008759DE">
      <w:pPr>
        <w:spacing w:line="276" w:lineRule="auto"/>
        <w:ind w:left="540"/>
        <w:rPr>
          <w:rFonts w:eastAsia="Times New Roman"/>
        </w:rPr>
      </w:pPr>
      <w:r w:rsidRPr="00E21660">
        <w:rPr>
          <w:noProof/>
        </w:rPr>
        <w:lastRenderedPageBreak/>
        <w:drawing>
          <wp:inline distT="0" distB="0" distL="0" distR="0" wp14:anchorId="2AF46606" wp14:editId="726A4E59">
            <wp:extent cx="5943600" cy="3648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648075"/>
                    </a:xfrm>
                    <a:prstGeom prst="rect">
                      <a:avLst/>
                    </a:prstGeom>
                  </pic:spPr>
                </pic:pic>
              </a:graphicData>
            </a:graphic>
          </wp:inline>
        </w:drawing>
      </w:r>
    </w:p>
    <w:p w14:paraId="3B0F2A57" w14:textId="77777777" w:rsidR="00F10B13" w:rsidRDefault="00F10B13" w:rsidP="0055055A">
      <w:pPr>
        <w:spacing w:line="276" w:lineRule="auto"/>
        <w:ind w:left="720"/>
        <w:jc w:val="center"/>
        <w:rPr>
          <w:rFonts w:eastAsia="Times New Roman"/>
          <w:b/>
          <w:bCs/>
        </w:rPr>
      </w:pPr>
    </w:p>
    <w:p w14:paraId="10FFDACB" w14:textId="7A58C875" w:rsidR="0055055A" w:rsidRDefault="0055055A" w:rsidP="0055055A">
      <w:pPr>
        <w:spacing w:line="276" w:lineRule="auto"/>
        <w:ind w:left="720"/>
        <w:jc w:val="center"/>
        <w:rPr>
          <w:rFonts w:eastAsia="Times New Roman"/>
        </w:rPr>
      </w:pPr>
      <w:r>
        <w:rPr>
          <w:rFonts w:eastAsia="Times New Roman"/>
          <w:b/>
          <w:bCs/>
        </w:rPr>
        <w:t xml:space="preserve">Figure </w:t>
      </w:r>
      <w:r w:rsidR="00F10B13">
        <w:rPr>
          <w:rFonts w:eastAsia="Times New Roman"/>
          <w:b/>
          <w:bCs/>
        </w:rPr>
        <w:t>23</w:t>
      </w:r>
      <w:r>
        <w:rPr>
          <w:rFonts w:eastAsia="Times New Roman"/>
          <w:b/>
          <w:bCs/>
        </w:rPr>
        <w:t xml:space="preserve">.  </w:t>
      </w:r>
      <w:r w:rsidR="00F10B13">
        <w:rPr>
          <w:rFonts w:eastAsia="Times New Roman"/>
          <w:b/>
          <w:bCs/>
        </w:rPr>
        <w:t>High DSM/EE Sensitivity Scenarios</w:t>
      </w:r>
    </w:p>
    <w:p w14:paraId="275207BE" w14:textId="77777777" w:rsidR="0055055A" w:rsidRDefault="0055055A" w:rsidP="0055055A">
      <w:pPr>
        <w:spacing w:line="276" w:lineRule="auto"/>
        <w:ind w:left="540"/>
        <w:jc w:val="center"/>
        <w:rPr>
          <w:rFonts w:eastAsia="Times New Roman"/>
        </w:rPr>
      </w:pPr>
    </w:p>
    <w:p w14:paraId="608C499E" w14:textId="28060F3B" w:rsidR="00E21660" w:rsidRPr="00CB2CB5" w:rsidRDefault="00E21660" w:rsidP="008759DE">
      <w:pPr>
        <w:spacing w:line="276" w:lineRule="auto"/>
        <w:ind w:left="540"/>
        <w:rPr>
          <w:rFonts w:eastAsia="Times New Roman"/>
        </w:rPr>
      </w:pPr>
      <w:r w:rsidRPr="00E21660">
        <w:rPr>
          <w:noProof/>
        </w:rPr>
        <w:drawing>
          <wp:inline distT="0" distB="0" distL="0" distR="0" wp14:anchorId="0B831750" wp14:editId="3F22197A">
            <wp:extent cx="5876925" cy="3533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76925" cy="3533775"/>
                    </a:xfrm>
                    <a:prstGeom prst="rect">
                      <a:avLst/>
                    </a:prstGeom>
                  </pic:spPr>
                </pic:pic>
              </a:graphicData>
            </a:graphic>
          </wp:inline>
        </w:drawing>
      </w:r>
    </w:p>
    <w:p w14:paraId="54FFA45D" w14:textId="67EF2473" w:rsidR="00F10B13" w:rsidRDefault="00F10B13" w:rsidP="00F10B13">
      <w:pPr>
        <w:spacing w:line="276" w:lineRule="auto"/>
        <w:ind w:left="720"/>
        <w:jc w:val="center"/>
        <w:rPr>
          <w:rFonts w:eastAsia="Times New Roman"/>
        </w:rPr>
      </w:pPr>
      <w:r>
        <w:rPr>
          <w:rFonts w:eastAsia="Times New Roman"/>
          <w:b/>
          <w:bCs/>
        </w:rPr>
        <w:t xml:space="preserve">Figure 24.  High DSM/EE </w:t>
      </w:r>
      <w:r w:rsidR="00470BEA">
        <w:rPr>
          <w:rFonts w:eastAsia="Times New Roman"/>
          <w:b/>
          <w:bCs/>
        </w:rPr>
        <w:t xml:space="preserve">Resulting </w:t>
      </w:r>
      <w:r>
        <w:rPr>
          <w:rFonts w:eastAsia="Times New Roman"/>
          <w:b/>
          <w:bCs/>
        </w:rPr>
        <w:t xml:space="preserve">Change in Capacity </w:t>
      </w:r>
      <w:r w:rsidR="00470BEA">
        <w:rPr>
          <w:rFonts w:eastAsia="Times New Roman"/>
          <w:b/>
          <w:bCs/>
        </w:rPr>
        <w:t>&amp;</w:t>
      </w:r>
      <w:r>
        <w:rPr>
          <w:rFonts w:eastAsia="Times New Roman"/>
          <w:b/>
          <w:bCs/>
        </w:rPr>
        <w:t xml:space="preserve"> Generation Mix</w:t>
      </w:r>
    </w:p>
    <w:p w14:paraId="15FDB07B" w14:textId="77777777" w:rsidR="0073592B" w:rsidRPr="00CB2CB5" w:rsidRDefault="0073592B" w:rsidP="00F10B13">
      <w:pPr>
        <w:spacing w:line="276" w:lineRule="auto"/>
        <w:ind w:left="540"/>
        <w:jc w:val="center"/>
        <w:rPr>
          <w:rFonts w:eastAsia="Times New Roman"/>
          <w:u w:val="single"/>
        </w:rPr>
      </w:pPr>
    </w:p>
    <w:p w14:paraId="142B2B6B" w14:textId="22F78B9C" w:rsidR="00BC2CDF" w:rsidRPr="00CB2CB5" w:rsidRDefault="00BC2CDF" w:rsidP="008759DE">
      <w:pPr>
        <w:spacing w:after="160" w:line="276" w:lineRule="auto"/>
        <w:jc w:val="left"/>
        <w:rPr>
          <w:rFonts w:eastAsia="Times New Roman" w:cstheme="majorBidi"/>
          <w:b/>
          <w:color w:val="auto"/>
          <w:szCs w:val="26"/>
        </w:rPr>
      </w:pPr>
    </w:p>
    <w:p w14:paraId="572D6C5B" w14:textId="77777777" w:rsidR="00454D4E" w:rsidRPr="00CB2CB5" w:rsidRDefault="00454D4E" w:rsidP="008759DE">
      <w:pPr>
        <w:pStyle w:val="Heading2"/>
        <w:numPr>
          <w:ilvl w:val="0"/>
          <w:numId w:val="39"/>
        </w:numPr>
        <w:spacing w:line="276" w:lineRule="auto"/>
        <w:ind w:left="1080" w:hanging="540"/>
        <w:rPr>
          <w:rFonts w:eastAsia="Times New Roman"/>
        </w:rPr>
      </w:pPr>
      <w:bookmarkStart w:id="66" w:name="_Toc534190337"/>
      <w:r w:rsidRPr="00CB2CB5">
        <w:rPr>
          <w:rFonts w:eastAsia="Times New Roman"/>
        </w:rPr>
        <w:t>Recommended Portfolio</w:t>
      </w:r>
      <w:bookmarkEnd w:id="66"/>
      <w:r w:rsidRPr="00CB2CB5">
        <w:rPr>
          <w:rFonts w:eastAsia="Times New Roman"/>
          <w:color w:val="FF0000"/>
        </w:rPr>
        <w:t xml:space="preserve"> </w:t>
      </w:r>
    </w:p>
    <w:p w14:paraId="04A2B9A7" w14:textId="77777777" w:rsidR="00454D4E" w:rsidRPr="00CB2CB5" w:rsidRDefault="00454D4E" w:rsidP="008759DE">
      <w:pPr>
        <w:spacing w:line="276" w:lineRule="auto"/>
        <w:ind w:left="540"/>
        <w:rPr>
          <w:rFonts w:eastAsia="Times New Roman"/>
        </w:rPr>
      </w:pPr>
    </w:p>
    <w:p w14:paraId="5C5BAA32" w14:textId="073B535C" w:rsidR="00277A9E" w:rsidRPr="00CB2CB5" w:rsidRDefault="00A819A9" w:rsidP="008759DE">
      <w:pPr>
        <w:spacing w:line="276" w:lineRule="auto"/>
        <w:ind w:left="540"/>
        <w:rPr>
          <w:rFonts w:eastAsia="Times New Roman"/>
        </w:rPr>
      </w:pPr>
      <w:r>
        <w:rPr>
          <w:rFonts w:eastAsia="Times New Roman"/>
        </w:rPr>
        <w:t xml:space="preserve">The recommended portfolio decision has not yet been finalized.  Currently, it appears that the recommended portfolio will be derived from either the Least </w:t>
      </w:r>
      <w:r w:rsidR="00F10B13">
        <w:rPr>
          <w:rFonts w:eastAsia="Times New Roman"/>
        </w:rPr>
        <w:t>Cost-plus</w:t>
      </w:r>
      <w:r>
        <w:rPr>
          <w:rFonts w:eastAsia="Times New Roman"/>
        </w:rPr>
        <w:t xml:space="preserve"> REA</w:t>
      </w:r>
      <w:r w:rsidR="00F10B13">
        <w:rPr>
          <w:rFonts w:eastAsia="Times New Roman"/>
        </w:rPr>
        <w:t xml:space="preserve"> scenario</w:t>
      </w:r>
      <w:r>
        <w:rPr>
          <w:rFonts w:eastAsia="Times New Roman"/>
        </w:rPr>
        <w:t xml:space="preserve"> or from the Separate System Planning scenario.</w:t>
      </w:r>
    </w:p>
    <w:p w14:paraId="439D1608" w14:textId="77777777" w:rsidR="00AB400C" w:rsidRPr="00CB2CB5" w:rsidRDefault="00AB400C" w:rsidP="008759DE">
      <w:pPr>
        <w:spacing w:after="160" w:line="276" w:lineRule="auto"/>
        <w:jc w:val="left"/>
        <w:rPr>
          <w:rFonts w:eastAsia="Times New Roman"/>
        </w:rPr>
      </w:pPr>
      <w:r w:rsidRPr="00CB2CB5">
        <w:rPr>
          <w:rFonts w:eastAsia="Times New Roman"/>
        </w:rPr>
        <w:br w:type="page"/>
      </w:r>
    </w:p>
    <w:p w14:paraId="7F8BC873" w14:textId="77777777" w:rsidR="00454D4E" w:rsidRPr="00CB2CB5" w:rsidRDefault="00454D4E" w:rsidP="008759DE">
      <w:pPr>
        <w:spacing w:line="276" w:lineRule="auto"/>
        <w:rPr>
          <w:rFonts w:eastAsia="Times New Roman"/>
        </w:rPr>
      </w:pPr>
    </w:p>
    <w:p w14:paraId="3095EAE0" w14:textId="77777777" w:rsidR="003C0EF8" w:rsidRPr="00CB2CB5" w:rsidRDefault="00925B19" w:rsidP="008759DE">
      <w:pPr>
        <w:pStyle w:val="Heading1"/>
        <w:keepNext/>
        <w:keepLines/>
        <w:widowControl/>
        <w:numPr>
          <w:ilvl w:val="0"/>
          <w:numId w:val="23"/>
        </w:numPr>
        <w:tabs>
          <w:tab w:val="left" w:pos="540"/>
        </w:tabs>
        <w:autoSpaceDE/>
        <w:autoSpaceDN/>
        <w:spacing w:before="0" w:line="276" w:lineRule="auto"/>
        <w:ind w:left="540" w:hanging="540"/>
        <w:jc w:val="both"/>
      </w:pPr>
      <w:bookmarkStart w:id="67" w:name="_Toc534190338"/>
      <w:r w:rsidRPr="00CB2CB5">
        <w:t>DESCRIPTION OF PUBLIC PROCESS</w:t>
      </w:r>
      <w:bookmarkEnd w:id="67"/>
      <w:r w:rsidR="003C0EF8" w:rsidRPr="00CB2CB5">
        <w:t xml:space="preserve"> </w:t>
      </w:r>
    </w:p>
    <w:p w14:paraId="02605A09" w14:textId="77777777" w:rsidR="00F30283" w:rsidRPr="00CB2CB5" w:rsidRDefault="00F30283" w:rsidP="008759DE">
      <w:pPr>
        <w:keepNext/>
        <w:keepLines/>
        <w:spacing w:line="276" w:lineRule="auto"/>
        <w:jc w:val="left"/>
        <w:rPr>
          <w:b/>
        </w:rPr>
      </w:pPr>
    </w:p>
    <w:p w14:paraId="456AC9C2" w14:textId="77777777" w:rsidR="00F30283" w:rsidRPr="00CB2CB5" w:rsidRDefault="00F30283" w:rsidP="008759DE">
      <w:pPr>
        <w:pStyle w:val="ListParagraph"/>
        <w:keepNext/>
        <w:keepLines/>
        <w:numPr>
          <w:ilvl w:val="0"/>
          <w:numId w:val="21"/>
        </w:numPr>
        <w:spacing w:after="0" w:line="276" w:lineRule="auto"/>
        <w:ind w:left="1094" w:hanging="547"/>
        <w:contextualSpacing w:val="0"/>
        <w:rPr>
          <w:rFonts w:ascii="Times New Roman" w:hAnsi="Times New Roman"/>
          <w:b/>
          <w:sz w:val="24"/>
        </w:rPr>
      </w:pPr>
      <w:r w:rsidRPr="00CB2CB5">
        <w:rPr>
          <w:rFonts w:ascii="Times New Roman" w:hAnsi="Times New Roman"/>
          <w:b/>
          <w:sz w:val="24"/>
        </w:rPr>
        <w:t>Overview of the Public Process</w:t>
      </w:r>
    </w:p>
    <w:p w14:paraId="2CCB040D" w14:textId="77777777" w:rsidR="00A13C30" w:rsidRPr="00CB2CB5" w:rsidRDefault="00A13C30" w:rsidP="008759DE">
      <w:pPr>
        <w:keepNext/>
        <w:keepLines/>
        <w:spacing w:line="276" w:lineRule="auto"/>
        <w:ind w:left="540"/>
      </w:pPr>
    </w:p>
    <w:p w14:paraId="036738C6" w14:textId="77777777" w:rsidR="00F30283" w:rsidRPr="00CB2CB5" w:rsidRDefault="00F30283" w:rsidP="008759DE">
      <w:pPr>
        <w:spacing w:line="276" w:lineRule="auto"/>
        <w:ind w:left="540"/>
      </w:pPr>
      <w:r w:rsidRPr="00CB2CB5">
        <w:t xml:space="preserve">The purpose of the </w:t>
      </w:r>
      <w:r w:rsidR="00D14C1E" w:rsidRPr="00CB2CB5">
        <w:t xml:space="preserve">Public Process </w:t>
      </w:r>
      <w:r w:rsidRPr="00CB2CB5">
        <w:t>is for the utility to provide information to, and receive and consider input from, the public regarding the development of its IRP (17.7.3.9.H</w:t>
      </w:r>
      <w:r w:rsidR="008214EA" w:rsidRPr="00CB2CB5">
        <w:t> </w:t>
      </w:r>
      <w:r w:rsidRPr="00CB2CB5">
        <w:t xml:space="preserve">NMAC). </w:t>
      </w:r>
    </w:p>
    <w:p w14:paraId="29F9B370" w14:textId="77777777" w:rsidR="00A13C30" w:rsidRPr="00CB2CB5" w:rsidRDefault="00A13C30" w:rsidP="008759DE">
      <w:pPr>
        <w:spacing w:line="276" w:lineRule="auto"/>
        <w:ind w:left="540"/>
      </w:pPr>
    </w:p>
    <w:p w14:paraId="6B65894E" w14:textId="7AF9CC22" w:rsidR="00FD678C" w:rsidRPr="00CB2CB5" w:rsidRDefault="00091F4F" w:rsidP="008214EA">
      <w:pPr>
        <w:spacing w:line="276" w:lineRule="auto"/>
        <w:ind w:left="547"/>
      </w:pPr>
      <w:r w:rsidRPr="00CB2CB5">
        <w:t xml:space="preserve">Curtis Hutcheson, </w:t>
      </w:r>
      <w:r w:rsidR="00691544">
        <w:t>Manager</w:t>
      </w:r>
      <w:r w:rsidRPr="00CB2CB5">
        <w:t xml:space="preserve">-Regulatory Case Management, chaired the </w:t>
      </w:r>
      <w:r w:rsidR="006B0635" w:rsidRPr="00CB2CB5">
        <w:t>public participation process</w:t>
      </w:r>
      <w:r w:rsidR="006B0635">
        <w:t xml:space="preserve">.  Mr. Hutcheson </w:t>
      </w:r>
      <w:r w:rsidR="002C354F" w:rsidRPr="00CB2CB5">
        <w:t xml:space="preserve">scheduled </w:t>
      </w:r>
      <w:r w:rsidR="00CB1681" w:rsidRPr="00CB2CB5">
        <w:t>the</w:t>
      </w:r>
      <w:r w:rsidR="0037479C" w:rsidRPr="00CB2CB5">
        <w:t xml:space="preserve"> </w:t>
      </w:r>
      <w:r w:rsidR="004953AE" w:rsidRPr="00CB2CB5">
        <w:t>original p</w:t>
      </w:r>
      <w:r w:rsidR="0037479C" w:rsidRPr="00CB2CB5">
        <w:t xml:space="preserve">ublic </w:t>
      </w:r>
      <w:r w:rsidR="00CB1681" w:rsidRPr="00CB2CB5">
        <w:t xml:space="preserve">meetings and </w:t>
      </w:r>
      <w:r w:rsidR="004953AE" w:rsidRPr="00CB2CB5">
        <w:t xml:space="preserve">then </w:t>
      </w:r>
      <w:r w:rsidR="003838FA" w:rsidRPr="00CB2CB5">
        <w:t xml:space="preserve">coordinated the development </w:t>
      </w:r>
      <w:r w:rsidR="004953AE" w:rsidRPr="00CB2CB5">
        <w:t>of the final meeting schedule and</w:t>
      </w:r>
      <w:r w:rsidR="00CB1681" w:rsidRPr="00CB2CB5">
        <w:t xml:space="preserve"> </w:t>
      </w:r>
      <w:r w:rsidR="003838FA" w:rsidRPr="00CB2CB5">
        <w:t>meeting</w:t>
      </w:r>
      <w:r w:rsidR="001625EB" w:rsidRPr="00CB2CB5">
        <w:t xml:space="preserve"> </w:t>
      </w:r>
      <w:r w:rsidR="00CB1681" w:rsidRPr="00CB2CB5">
        <w:t xml:space="preserve">agendas </w:t>
      </w:r>
      <w:r w:rsidR="003838FA" w:rsidRPr="00CB2CB5">
        <w:t xml:space="preserve">with </w:t>
      </w:r>
      <w:r w:rsidR="004953AE" w:rsidRPr="00CB2CB5">
        <w:t xml:space="preserve">input from </w:t>
      </w:r>
      <w:r w:rsidR="00691544">
        <w:t xml:space="preserve">the </w:t>
      </w:r>
      <w:r w:rsidR="003838FA" w:rsidRPr="00CB2CB5">
        <w:t>public participants</w:t>
      </w:r>
      <w:r w:rsidR="00CB1681" w:rsidRPr="00CB2CB5">
        <w:t xml:space="preserve">.  </w:t>
      </w:r>
      <w:r w:rsidR="004953AE" w:rsidRPr="00CB2CB5">
        <w:t xml:space="preserve">The public participants were </w:t>
      </w:r>
      <w:r w:rsidR="00B85672">
        <w:t>encouraged</w:t>
      </w:r>
      <w:r w:rsidR="00B85672" w:rsidRPr="00CB2CB5">
        <w:t xml:space="preserve"> </w:t>
      </w:r>
      <w:r w:rsidR="004953AE" w:rsidRPr="00CB2CB5">
        <w:t xml:space="preserve">to place items on the agenda for discussion at the public meetings.  The </w:t>
      </w:r>
      <w:r w:rsidR="00B85672" w:rsidRPr="00CB2CB5">
        <w:t xml:space="preserve">result </w:t>
      </w:r>
      <w:r w:rsidR="00B85672" w:rsidRPr="00F5582D">
        <w:t>was</w:t>
      </w:r>
      <w:r w:rsidR="00691544" w:rsidRPr="00F5582D">
        <w:t xml:space="preserve"> three </w:t>
      </w:r>
      <w:r w:rsidR="004953AE" w:rsidRPr="00F5582D">
        <w:t>additional meeting</w:t>
      </w:r>
      <w:r w:rsidR="00691544" w:rsidRPr="00F5582D">
        <w:t>s</w:t>
      </w:r>
      <w:r w:rsidR="004953AE" w:rsidRPr="00F5582D">
        <w:t>.</w:t>
      </w:r>
      <w:r w:rsidR="004953AE" w:rsidRPr="00CB2CB5">
        <w:t xml:space="preserve">  </w:t>
      </w:r>
      <w:r w:rsidR="006B0635">
        <w:t>Due to the pandemic, the public meetings were all held online</w:t>
      </w:r>
      <w:r w:rsidR="009B2BA8">
        <w:t>, using WebEx and Zoom platforms</w:t>
      </w:r>
      <w:r w:rsidR="00CB1681" w:rsidRPr="00CB2CB5">
        <w:t xml:space="preserve">. </w:t>
      </w:r>
      <w:r w:rsidR="006B0635">
        <w:t>EPE continues to use the</w:t>
      </w:r>
      <w:r w:rsidRPr="00CB2CB5">
        <w:t xml:space="preserve"> </w:t>
      </w:r>
      <w:hyperlink r:id="rId53" w:history="1">
        <w:r w:rsidRPr="00CB2CB5">
          <w:rPr>
            <w:rStyle w:val="Hyperlink"/>
          </w:rPr>
          <w:t>NMIRP@epelectric.com</w:t>
        </w:r>
      </w:hyperlink>
      <w:r w:rsidR="006B0635">
        <w:rPr>
          <w:rStyle w:val="Hyperlink"/>
        </w:rPr>
        <w:t xml:space="preserve"> email</w:t>
      </w:r>
      <w:r w:rsidRPr="00CB2CB5">
        <w:t xml:space="preserve">, </w:t>
      </w:r>
      <w:r w:rsidR="006B0635">
        <w:t>consi</w:t>
      </w:r>
      <w:r w:rsidR="00691544">
        <w:t>s</w:t>
      </w:r>
      <w:r w:rsidR="006B0635">
        <w:t xml:space="preserve">ting of EPE employees directly related to the IRP process, </w:t>
      </w:r>
      <w:r w:rsidR="002C354F" w:rsidRPr="00CB2CB5">
        <w:t xml:space="preserve">to </w:t>
      </w:r>
      <w:r w:rsidRPr="00CB2CB5">
        <w:t xml:space="preserve">provide the public </w:t>
      </w:r>
      <w:r w:rsidR="002C354F" w:rsidRPr="00CB2CB5">
        <w:t>participants with</w:t>
      </w:r>
      <w:r w:rsidR="0037479C" w:rsidRPr="00CB2CB5">
        <w:t xml:space="preserve"> </w:t>
      </w:r>
      <w:r w:rsidRPr="00CB2CB5">
        <w:t xml:space="preserve">updates on available presentation materials </w:t>
      </w:r>
      <w:r w:rsidR="0037479C" w:rsidRPr="00CB2CB5">
        <w:t xml:space="preserve">and </w:t>
      </w:r>
      <w:r w:rsidRPr="00CB2CB5">
        <w:t>future meetings</w:t>
      </w:r>
      <w:r w:rsidR="0037479C" w:rsidRPr="00CB2CB5">
        <w:t>.  Public participants also communicated with EPE through this email address to</w:t>
      </w:r>
      <w:r w:rsidR="002C354F" w:rsidRPr="00CB2CB5">
        <w:t xml:space="preserve"> ask q</w:t>
      </w:r>
      <w:r w:rsidRPr="00CB2CB5">
        <w:t>uestions</w:t>
      </w:r>
      <w:r w:rsidR="0037479C" w:rsidRPr="00CB2CB5">
        <w:t xml:space="preserve"> and to place items on the agenda of the public participation meetings</w:t>
      </w:r>
      <w:r w:rsidRPr="00CB2CB5">
        <w:t xml:space="preserve">.  </w:t>
      </w:r>
      <w:r w:rsidR="0037479C" w:rsidRPr="00CB2CB5">
        <w:t>M</w:t>
      </w:r>
      <w:r w:rsidR="00CB1681" w:rsidRPr="00CB2CB5">
        <w:t xml:space="preserve">ultiple EPE employees </w:t>
      </w:r>
      <w:r w:rsidR="0037479C" w:rsidRPr="00CB2CB5">
        <w:t xml:space="preserve">received the emails </w:t>
      </w:r>
      <w:r w:rsidR="00CB1681" w:rsidRPr="00CB2CB5">
        <w:t xml:space="preserve">to ensure </w:t>
      </w:r>
      <w:r w:rsidR="0037479C" w:rsidRPr="00CB2CB5">
        <w:t xml:space="preserve">the </w:t>
      </w:r>
      <w:r w:rsidR="00CB1681" w:rsidRPr="00CB2CB5">
        <w:t>message</w:t>
      </w:r>
      <w:r w:rsidR="0037479C" w:rsidRPr="00CB2CB5">
        <w:t>s</w:t>
      </w:r>
      <w:r w:rsidR="00CB1681" w:rsidRPr="00CB2CB5">
        <w:t xml:space="preserve"> w</w:t>
      </w:r>
      <w:r w:rsidR="0037479C" w:rsidRPr="00CB2CB5">
        <w:t>ere</w:t>
      </w:r>
      <w:r w:rsidR="00CB1681" w:rsidRPr="00CB2CB5">
        <w:t xml:space="preserve"> received. </w:t>
      </w:r>
      <w:r w:rsidRPr="00CB2CB5">
        <w:t xml:space="preserve"> </w:t>
      </w:r>
    </w:p>
    <w:p w14:paraId="31516953" w14:textId="77777777" w:rsidR="00FD678C" w:rsidRPr="00CB2CB5" w:rsidRDefault="00FD678C" w:rsidP="008214EA">
      <w:pPr>
        <w:spacing w:line="276" w:lineRule="auto"/>
        <w:ind w:left="547"/>
      </w:pPr>
    </w:p>
    <w:p w14:paraId="1B4275E3" w14:textId="4B9AD902" w:rsidR="00F30283" w:rsidRPr="00CB2CB5" w:rsidRDefault="00F30283" w:rsidP="008214EA">
      <w:pPr>
        <w:spacing w:line="276" w:lineRule="auto"/>
        <w:ind w:left="547"/>
      </w:pPr>
      <w:r w:rsidRPr="00CB2CB5">
        <w:t xml:space="preserve">EPE encouraged public involvement in its </w:t>
      </w:r>
      <w:r w:rsidR="00897F9C" w:rsidRPr="00CB2CB5">
        <w:t xml:space="preserve">Public Process </w:t>
      </w:r>
      <w:r w:rsidRPr="00F5582D">
        <w:t xml:space="preserve">and hosted a total of </w:t>
      </w:r>
      <w:r w:rsidR="00691544" w:rsidRPr="00F5582D">
        <w:t>nine</w:t>
      </w:r>
      <w:r w:rsidR="00A13C30" w:rsidRPr="00F5582D">
        <w:t> </w:t>
      </w:r>
      <w:r w:rsidRPr="00F5582D">
        <w:t>public</w:t>
      </w:r>
      <w:r w:rsidRPr="00CB2CB5">
        <w:t xml:space="preserve"> </w:t>
      </w:r>
      <w:r w:rsidR="00101C1A" w:rsidRPr="00CB2CB5">
        <w:t xml:space="preserve">advisory </w:t>
      </w:r>
      <w:r w:rsidRPr="00CB2CB5">
        <w:t>meetings</w:t>
      </w:r>
      <w:r w:rsidR="004A1224" w:rsidRPr="00CB2CB5">
        <w:t xml:space="preserve"> over the course of </w:t>
      </w:r>
      <w:r w:rsidR="00FC091C" w:rsidRPr="00CB2CB5">
        <w:t xml:space="preserve">approximately </w:t>
      </w:r>
      <w:r w:rsidR="006B0635">
        <w:t>12</w:t>
      </w:r>
      <w:r w:rsidR="004A1224" w:rsidRPr="00CB2CB5">
        <w:t xml:space="preserve"> months</w:t>
      </w:r>
      <w:r w:rsidRPr="00CB2CB5">
        <w:t xml:space="preserve">. </w:t>
      </w:r>
      <w:r w:rsidR="00E0061F" w:rsidRPr="00CB2CB5">
        <w:t xml:space="preserve"> </w:t>
      </w:r>
      <w:r w:rsidRPr="00CB2CB5">
        <w:t xml:space="preserve">During the public meetings, EPE presented information and material on its </w:t>
      </w:r>
      <w:r w:rsidR="00897F9C" w:rsidRPr="00CB2CB5">
        <w:t>P</w:t>
      </w:r>
      <w:r w:rsidRPr="00CB2CB5">
        <w:t xml:space="preserve">lanning </w:t>
      </w:r>
      <w:r w:rsidR="00897F9C" w:rsidRPr="00CB2CB5">
        <w:t>P</w:t>
      </w:r>
      <w:r w:rsidRPr="00CB2CB5">
        <w:t xml:space="preserve">rocess by Company subject matter experts and EPE also received feedback from the </w:t>
      </w:r>
      <w:r w:rsidR="00B91662" w:rsidRPr="00CB2CB5">
        <w:t>Participants</w:t>
      </w:r>
      <w:r w:rsidRPr="00CB2CB5">
        <w:t xml:space="preserve">. </w:t>
      </w:r>
      <w:r w:rsidR="00E0061F" w:rsidRPr="00CB2CB5">
        <w:t xml:space="preserve"> </w:t>
      </w:r>
      <w:r w:rsidRPr="00CB2CB5">
        <w:t>EPE</w:t>
      </w:r>
      <w:r w:rsidR="006B0635">
        <w:t xml:space="preserve"> </w:t>
      </w:r>
      <w:r w:rsidRPr="00CB2CB5">
        <w:t xml:space="preserve">structured the </w:t>
      </w:r>
      <w:r w:rsidR="00B91662" w:rsidRPr="00CB2CB5">
        <w:t>Public Process to be</w:t>
      </w:r>
      <w:r w:rsidRPr="00CB2CB5">
        <w:t xml:space="preserve"> an inclusive and interactive manner.   </w:t>
      </w:r>
      <w:r w:rsidR="00E0061F" w:rsidRPr="00CB2CB5">
        <w:t xml:space="preserve"> </w:t>
      </w:r>
      <w:r w:rsidRPr="00CB2CB5">
        <w:t xml:space="preserve">The </w:t>
      </w:r>
      <w:r w:rsidR="007A6D8E">
        <w:t xml:space="preserve">online </w:t>
      </w:r>
      <w:r w:rsidRPr="00CB2CB5">
        <w:t xml:space="preserve">meetings were set up so that </w:t>
      </w:r>
      <w:r w:rsidR="00B91662" w:rsidRPr="00CB2CB5">
        <w:t xml:space="preserve">the </w:t>
      </w:r>
      <w:r w:rsidR="00906172">
        <w:rPr>
          <w:rFonts w:eastAsia="Times New Roman"/>
        </w:rPr>
        <w:t>Participants</w:t>
      </w:r>
      <w:r w:rsidR="00691544">
        <w:rPr>
          <w:rFonts w:eastAsia="Times New Roman"/>
        </w:rPr>
        <w:t xml:space="preserve"> </w:t>
      </w:r>
      <w:r w:rsidRPr="00CB2CB5">
        <w:t>could view presentation materials taking place during each meeting and</w:t>
      </w:r>
      <w:r w:rsidR="004A1224" w:rsidRPr="00CB2CB5">
        <w:t xml:space="preserve"> hear audio. </w:t>
      </w:r>
      <w:r w:rsidR="00E0061F" w:rsidRPr="00CB2CB5">
        <w:t xml:space="preserve"> </w:t>
      </w:r>
      <w:r w:rsidR="0014508A" w:rsidRPr="00CB2CB5">
        <w:t>The r</w:t>
      </w:r>
      <w:r w:rsidR="004A1224" w:rsidRPr="00CB2CB5">
        <w:t xml:space="preserve">emote </w:t>
      </w:r>
      <w:r w:rsidR="009A3F63" w:rsidRPr="00CB2CB5">
        <w:t>P</w:t>
      </w:r>
      <w:r w:rsidR="004A1224" w:rsidRPr="00CB2CB5">
        <w:t>articipants</w:t>
      </w:r>
      <w:r w:rsidRPr="00CB2CB5">
        <w:t xml:space="preserve"> were able to submit questions through</w:t>
      </w:r>
      <w:r w:rsidR="00A13C30" w:rsidRPr="00CB2CB5">
        <w:t xml:space="preserve"> the </w:t>
      </w:r>
      <w:r w:rsidR="006B0635">
        <w:t xml:space="preserve">Q&amp;A </w:t>
      </w:r>
      <w:r w:rsidR="007A6D8E">
        <w:t xml:space="preserve">or chat </w:t>
      </w:r>
      <w:r w:rsidR="00A13C30" w:rsidRPr="00CB2CB5">
        <w:t>conversation panel</w:t>
      </w:r>
      <w:r w:rsidR="007A6D8E">
        <w:t>s</w:t>
      </w:r>
      <w:r w:rsidR="00A13C30" w:rsidRPr="00CB2CB5">
        <w:t>.</w:t>
      </w:r>
    </w:p>
    <w:p w14:paraId="5FB14C0C" w14:textId="77777777" w:rsidR="00A13C30" w:rsidRPr="00CB2CB5" w:rsidRDefault="00A13C30" w:rsidP="008759DE">
      <w:pPr>
        <w:spacing w:line="276" w:lineRule="auto"/>
        <w:ind w:left="540"/>
      </w:pPr>
    </w:p>
    <w:p w14:paraId="2FBF463F" w14:textId="685CFBD2" w:rsidR="00F30283" w:rsidRPr="00CB2CB5" w:rsidRDefault="00F30283" w:rsidP="008759DE">
      <w:pPr>
        <w:spacing w:line="276" w:lineRule="auto"/>
        <w:ind w:left="540"/>
      </w:pPr>
      <w:r w:rsidRPr="00CB2CB5">
        <w:t xml:space="preserve">EPE recorded </w:t>
      </w:r>
      <w:r w:rsidR="006B0635">
        <w:t xml:space="preserve">some </w:t>
      </w:r>
      <w:r w:rsidRPr="00CB2CB5">
        <w:t>meetings</w:t>
      </w:r>
      <w:r w:rsidR="00A47DF1">
        <w:t>,</w:t>
      </w:r>
      <w:r w:rsidRPr="00CB2CB5">
        <w:t xml:space="preserve"> </w:t>
      </w:r>
      <w:r w:rsidR="006B0635">
        <w:t xml:space="preserve">upon </w:t>
      </w:r>
      <w:r w:rsidR="00B85672">
        <w:t>request</w:t>
      </w:r>
      <w:r w:rsidR="00A47DF1">
        <w:t>,</w:t>
      </w:r>
      <w:r w:rsidR="00B85672">
        <w:t xml:space="preserve"> and</w:t>
      </w:r>
      <w:r w:rsidRPr="00CB2CB5">
        <w:t xml:space="preserve"> posted </w:t>
      </w:r>
      <w:r w:rsidR="006B0635">
        <w:t>these</w:t>
      </w:r>
      <w:r w:rsidR="000E462A">
        <w:t xml:space="preserve"> on</w:t>
      </w:r>
      <w:r w:rsidRPr="00CB2CB5">
        <w:t xml:space="preserve"> EPE</w:t>
      </w:r>
      <w:r w:rsidR="00B81EE4" w:rsidRPr="00CB2CB5">
        <w:t>'</w:t>
      </w:r>
      <w:r w:rsidRPr="00CB2CB5">
        <w:t xml:space="preserve">s IRP website. </w:t>
      </w:r>
      <w:r w:rsidR="00E0061F" w:rsidRPr="00CB2CB5">
        <w:t xml:space="preserve"> </w:t>
      </w:r>
      <w:r w:rsidRPr="00CB2CB5">
        <w:t xml:space="preserve">  </w:t>
      </w:r>
    </w:p>
    <w:p w14:paraId="57F6A937" w14:textId="77777777" w:rsidR="00A13C30" w:rsidRPr="00CB2CB5" w:rsidRDefault="00A13C30" w:rsidP="008759DE">
      <w:pPr>
        <w:spacing w:line="276" w:lineRule="auto"/>
        <w:ind w:left="540"/>
      </w:pPr>
    </w:p>
    <w:p w14:paraId="1CE94D43" w14:textId="02A9069B" w:rsidR="00F30283" w:rsidRPr="00CB2CB5" w:rsidRDefault="00F30283" w:rsidP="008759DE">
      <w:pPr>
        <w:spacing w:line="276" w:lineRule="auto"/>
        <w:ind w:left="540"/>
      </w:pPr>
      <w:r w:rsidRPr="00CB2CB5">
        <w:t xml:space="preserve"> Additional discussion and feedback also took place outside of scheduled meetings. </w:t>
      </w:r>
      <w:r w:rsidR="00E0061F" w:rsidRPr="00CB2CB5">
        <w:t xml:space="preserve"> </w:t>
      </w:r>
      <w:r w:rsidRPr="00CB2CB5">
        <w:t xml:space="preserve">The </w:t>
      </w:r>
      <w:r w:rsidR="00B91662" w:rsidRPr="00CB2CB5">
        <w:t>Participants</w:t>
      </w:r>
      <w:r w:rsidRPr="00CB2CB5">
        <w:t xml:space="preserve"> submitted questions, requests, articles, and essays for consideration by EPE and other </w:t>
      </w:r>
      <w:r w:rsidR="00B91662" w:rsidRPr="00CB2CB5">
        <w:t>members of the public</w:t>
      </w:r>
      <w:r w:rsidRPr="00CB2CB5">
        <w:t xml:space="preserve">. </w:t>
      </w:r>
      <w:r w:rsidR="00E0061F" w:rsidRPr="00CB2CB5">
        <w:t xml:space="preserve"> </w:t>
      </w:r>
      <w:r w:rsidRPr="00CB2CB5">
        <w:t xml:space="preserve">EPE responded to all written requests for information in writing as described in the Stipulation Agreement. </w:t>
      </w:r>
      <w:r w:rsidR="00E0061F" w:rsidRPr="00CB2CB5">
        <w:t xml:space="preserve"> </w:t>
      </w:r>
    </w:p>
    <w:p w14:paraId="3D45CF2B" w14:textId="77777777" w:rsidR="00A13C30" w:rsidRPr="00CB2CB5" w:rsidRDefault="00A13C30" w:rsidP="008759DE">
      <w:pPr>
        <w:spacing w:line="276" w:lineRule="auto"/>
        <w:ind w:left="540"/>
      </w:pPr>
    </w:p>
    <w:p w14:paraId="3A297791" w14:textId="5BE0C970" w:rsidR="00F30283" w:rsidRPr="00CB2CB5" w:rsidRDefault="00F30283" w:rsidP="008759DE">
      <w:pPr>
        <w:spacing w:line="276" w:lineRule="auto"/>
        <w:ind w:left="540"/>
      </w:pPr>
      <w:r w:rsidRPr="00CB2CB5">
        <w:t xml:space="preserve">By attending any </w:t>
      </w:r>
      <w:r w:rsidR="00B91662" w:rsidRPr="00CB2CB5">
        <w:t>public meeting</w:t>
      </w:r>
      <w:r w:rsidRPr="00CB2CB5">
        <w:t xml:space="preserve">, </w:t>
      </w:r>
      <w:r w:rsidR="001D7D93" w:rsidRPr="00CB2CB5">
        <w:t xml:space="preserve">the </w:t>
      </w:r>
      <w:r w:rsidR="00101C1A" w:rsidRPr="00CB2CB5">
        <w:t>P</w:t>
      </w:r>
      <w:r w:rsidR="009A3F63" w:rsidRPr="00CB2CB5">
        <w:t>articipants were</w:t>
      </w:r>
      <w:r w:rsidRPr="00CB2CB5">
        <w:t xml:space="preserve"> automatically enrolled in EPE</w:t>
      </w:r>
      <w:r w:rsidR="00B81EE4" w:rsidRPr="00CB2CB5">
        <w:t>'</w:t>
      </w:r>
      <w:r w:rsidRPr="00CB2CB5">
        <w:t xml:space="preserve">s </w:t>
      </w:r>
      <w:r w:rsidR="006B0635">
        <w:t xml:space="preserve">attendance invitation </w:t>
      </w:r>
      <w:r w:rsidRPr="00CB2CB5">
        <w:t xml:space="preserve">list, where they were notified of upcoming meeting information, new website material, written questions and responses, and other IRP updates. </w:t>
      </w:r>
      <w:r w:rsidR="00E0061F" w:rsidRPr="00CB2CB5">
        <w:t xml:space="preserve"> </w:t>
      </w:r>
      <w:r w:rsidRPr="00CB2CB5">
        <w:t xml:space="preserve">Another available </w:t>
      </w:r>
      <w:r w:rsidRPr="00CB2CB5">
        <w:lastRenderedPageBreak/>
        <w:t xml:space="preserve">resource for </w:t>
      </w:r>
      <w:r w:rsidR="001D7D93" w:rsidRPr="00CB2CB5">
        <w:t xml:space="preserve">the </w:t>
      </w:r>
      <w:r w:rsidR="00906172">
        <w:rPr>
          <w:rFonts w:eastAsia="Times New Roman"/>
        </w:rPr>
        <w:t>Participants</w:t>
      </w:r>
      <w:r w:rsidR="000E462A">
        <w:rPr>
          <w:rFonts w:eastAsia="Times New Roman"/>
        </w:rPr>
        <w:t xml:space="preserve"> </w:t>
      </w:r>
      <w:r w:rsidRPr="00CB2CB5">
        <w:t>was EPE</w:t>
      </w:r>
      <w:r w:rsidR="00B81EE4" w:rsidRPr="00CB2CB5">
        <w:t>'</w:t>
      </w:r>
      <w:r w:rsidRPr="00CB2CB5">
        <w:t xml:space="preserve">s IRP website which includes helpful information and resources, such as IRP presentation material, written questions and responses, meeting schedule information, remote participation information, past IRP information, and </w:t>
      </w:r>
      <w:r w:rsidR="00B91662" w:rsidRPr="00CB2CB5">
        <w:t>r</w:t>
      </w:r>
      <w:r w:rsidRPr="00CB2CB5">
        <w:t xml:space="preserve">ules and </w:t>
      </w:r>
      <w:r w:rsidR="00B91662" w:rsidRPr="00CB2CB5">
        <w:t>s</w:t>
      </w:r>
      <w:r w:rsidRPr="00CB2CB5">
        <w:t xml:space="preserve">tatutes information. </w:t>
      </w:r>
    </w:p>
    <w:p w14:paraId="63DCD26F" w14:textId="77777777" w:rsidR="00910A8A" w:rsidRPr="00CB2CB5" w:rsidRDefault="00910A8A" w:rsidP="008759DE">
      <w:pPr>
        <w:spacing w:line="276" w:lineRule="auto"/>
        <w:ind w:left="540"/>
      </w:pPr>
    </w:p>
    <w:p w14:paraId="2981E795" w14:textId="77777777" w:rsidR="00F30283" w:rsidRPr="00CB2CB5" w:rsidRDefault="00F30283" w:rsidP="008759DE">
      <w:pPr>
        <w:spacing w:line="276" w:lineRule="auto"/>
        <w:ind w:left="540"/>
      </w:pPr>
      <w:r w:rsidRPr="00CB2CB5">
        <w:t xml:space="preserve">The sections below will describe the </w:t>
      </w:r>
      <w:r w:rsidR="002140D9" w:rsidRPr="00CB2CB5">
        <w:t>Public Process</w:t>
      </w:r>
      <w:r w:rsidRPr="00CB2CB5">
        <w:t xml:space="preserve"> in more detail. </w:t>
      </w:r>
    </w:p>
    <w:p w14:paraId="779E113F" w14:textId="77777777" w:rsidR="00A13C30" w:rsidRPr="00CB2CB5" w:rsidRDefault="00A13C30" w:rsidP="008759DE">
      <w:pPr>
        <w:spacing w:line="276" w:lineRule="auto"/>
        <w:ind w:left="540"/>
      </w:pPr>
    </w:p>
    <w:p w14:paraId="0608A117" w14:textId="77777777" w:rsidR="00F30283" w:rsidRPr="00CB2CB5" w:rsidRDefault="00F30283" w:rsidP="008759DE">
      <w:pPr>
        <w:pStyle w:val="ListParagraph"/>
        <w:keepNext/>
        <w:keepLines/>
        <w:numPr>
          <w:ilvl w:val="0"/>
          <w:numId w:val="21"/>
        </w:numPr>
        <w:spacing w:after="0" w:line="276" w:lineRule="auto"/>
        <w:ind w:left="1094" w:hanging="547"/>
        <w:contextualSpacing w:val="0"/>
        <w:rPr>
          <w:rFonts w:ascii="Times New Roman" w:hAnsi="Times New Roman"/>
          <w:b/>
          <w:sz w:val="24"/>
        </w:rPr>
      </w:pPr>
      <w:r w:rsidRPr="00CB2CB5">
        <w:rPr>
          <w:rFonts w:ascii="Times New Roman" w:hAnsi="Times New Roman"/>
          <w:b/>
          <w:sz w:val="24"/>
        </w:rPr>
        <w:t>Notice and Public Outreach</w:t>
      </w:r>
    </w:p>
    <w:p w14:paraId="1418A4EF" w14:textId="77777777" w:rsidR="00A13C30" w:rsidRPr="00CB2CB5" w:rsidRDefault="00A13C30" w:rsidP="008759DE">
      <w:pPr>
        <w:spacing w:line="276" w:lineRule="auto"/>
        <w:ind w:left="540"/>
      </w:pPr>
    </w:p>
    <w:p w14:paraId="107C136F" w14:textId="5235A4DE" w:rsidR="00F30283" w:rsidRPr="00CB2CB5" w:rsidRDefault="00F30283" w:rsidP="008759DE">
      <w:pPr>
        <w:spacing w:line="276" w:lineRule="auto"/>
        <w:ind w:left="540"/>
      </w:pPr>
      <w:r w:rsidRPr="00CB2CB5">
        <w:t xml:space="preserve">EPE initiated the </w:t>
      </w:r>
      <w:r w:rsidR="002140D9" w:rsidRPr="00CB2CB5">
        <w:t>Public Process</w:t>
      </w:r>
      <w:r w:rsidRPr="00CB2CB5">
        <w:t xml:space="preserve"> by publishing notice in the Las</w:t>
      </w:r>
      <w:r w:rsidR="000C1EB8" w:rsidRPr="00CB2CB5">
        <w:t> </w:t>
      </w:r>
      <w:r w:rsidRPr="00CB2CB5">
        <w:t>Cruces Sun</w:t>
      </w:r>
      <w:r w:rsidR="000C1EB8" w:rsidRPr="00CB2CB5">
        <w:noBreakHyphen/>
      </w:r>
      <w:r w:rsidRPr="00CB2CB5">
        <w:t>News, a newspaper of general circulation in every New</w:t>
      </w:r>
      <w:r w:rsidR="000C1EB8" w:rsidRPr="00CB2CB5">
        <w:t> </w:t>
      </w:r>
      <w:r w:rsidRPr="00CB2CB5">
        <w:t>Mexico County in which EPE serves, 30</w:t>
      </w:r>
      <w:r w:rsidR="000C1EB8" w:rsidRPr="00CB2CB5">
        <w:t> </w:t>
      </w:r>
      <w:r w:rsidRPr="00CB2CB5">
        <w:t xml:space="preserve">days prior to the first scheduled meeting, which was </w:t>
      </w:r>
      <w:r w:rsidR="000E462A">
        <w:t xml:space="preserve">July </w:t>
      </w:r>
      <w:r w:rsidR="000E462A" w:rsidRPr="007A6D8E">
        <w:t>10</w:t>
      </w:r>
      <w:r w:rsidRPr="007A6D8E">
        <w:t>, 20</w:t>
      </w:r>
      <w:r w:rsidR="000E462A" w:rsidRPr="007A6D8E">
        <w:t>20</w:t>
      </w:r>
      <w:r w:rsidRPr="007A6D8E">
        <w:t xml:space="preserve">.  EPE also included notice of </w:t>
      </w:r>
      <w:r w:rsidR="00B91662" w:rsidRPr="007A6D8E">
        <w:t xml:space="preserve">the </w:t>
      </w:r>
      <w:r w:rsidR="00906172" w:rsidRPr="007A6D8E">
        <w:rPr>
          <w:rFonts w:eastAsia="Times New Roman"/>
        </w:rPr>
        <w:t>Participants</w:t>
      </w:r>
      <w:r w:rsidR="000E462A" w:rsidRPr="007A6D8E">
        <w:rPr>
          <w:rFonts w:eastAsia="Times New Roman"/>
        </w:rPr>
        <w:t xml:space="preserve"> </w:t>
      </w:r>
      <w:r w:rsidRPr="007A6D8E">
        <w:t>meetings in New Mexico customer bill inserts.  Additionally</w:t>
      </w:r>
      <w:r w:rsidRPr="00CB2CB5">
        <w:t xml:space="preserve">, EPE provided notice 30 days prior to the first scheduled meeting to the </w:t>
      </w:r>
      <w:r w:rsidR="00B91662" w:rsidRPr="00CB2CB5">
        <w:t xml:space="preserve">Commission, </w:t>
      </w:r>
      <w:r w:rsidRPr="00CB2CB5">
        <w:t xml:space="preserve">intervenors in its most recent general rate case, intervenors in its most recent renewable energy procurement case at the time, and intervenors in its most recent </w:t>
      </w:r>
      <w:r w:rsidR="007A32D5">
        <w:t>E</w:t>
      </w:r>
      <w:r w:rsidR="007A32D5" w:rsidRPr="00CB2CB5">
        <w:t xml:space="preserve">nergy </w:t>
      </w:r>
      <w:r w:rsidR="007A32D5">
        <w:t>E</w:t>
      </w:r>
      <w:r w:rsidRPr="00CB2CB5">
        <w:t>fficiency</w:t>
      </w:r>
      <w:r w:rsidR="007A32D5">
        <w:t>/Load Management Plan</w:t>
      </w:r>
      <w:r w:rsidRPr="00CB2CB5">
        <w:t xml:space="preserve"> case. The notice and certificates of service were filed with the Commission's Records </w:t>
      </w:r>
      <w:r w:rsidRPr="00A47DF1">
        <w:t xml:space="preserve">Bureau.  </w:t>
      </w:r>
    </w:p>
    <w:p w14:paraId="03023C0E" w14:textId="77777777" w:rsidR="005A3385" w:rsidRPr="00CB2CB5" w:rsidRDefault="005A3385" w:rsidP="008759DE">
      <w:pPr>
        <w:spacing w:line="276" w:lineRule="auto"/>
        <w:ind w:left="540"/>
      </w:pPr>
    </w:p>
    <w:p w14:paraId="07C69771" w14:textId="77777777" w:rsidR="005A3385" w:rsidRPr="00CB2CB5" w:rsidRDefault="00F676BA" w:rsidP="005A3385">
      <w:pPr>
        <w:pStyle w:val="ListParagraph"/>
        <w:numPr>
          <w:ilvl w:val="0"/>
          <w:numId w:val="97"/>
        </w:numPr>
        <w:spacing w:line="276" w:lineRule="auto"/>
        <w:rPr>
          <w:rFonts w:ascii="Times New Roman" w:hAnsi="Times New Roman"/>
          <w:sz w:val="24"/>
        </w:rPr>
      </w:pPr>
      <w:r w:rsidRPr="00CB2CB5">
        <w:rPr>
          <w:rFonts w:ascii="Times New Roman" w:hAnsi="Times New Roman"/>
          <w:sz w:val="24"/>
        </w:rPr>
        <w:t>Copy of Published Public Notice</w:t>
      </w:r>
    </w:p>
    <w:p w14:paraId="68AC7FED" w14:textId="77777777" w:rsidR="005A3385" w:rsidRPr="00CB2CB5" w:rsidRDefault="005A3385" w:rsidP="005A3385">
      <w:pPr>
        <w:pStyle w:val="ListParagraph"/>
        <w:spacing w:line="276" w:lineRule="auto"/>
        <w:ind w:left="1080"/>
        <w:rPr>
          <w:rFonts w:ascii="Times New Roman" w:hAnsi="Times New Roman"/>
          <w:sz w:val="24"/>
        </w:rPr>
      </w:pPr>
    </w:p>
    <w:p w14:paraId="3CB48892" w14:textId="6B4E0C64" w:rsidR="005A3385" w:rsidRPr="00CB2CB5" w:rsidRDefault="005A3385" w:rsidP="00D44883">
      <w:pPr>
        <w:pStyle w:val="ListParagraph"/>
        <w:spacing w:line="276" w:lineRule="auto"/>
        <w:ind w:left="1080"/>
        <w:jc w:val="both"/>
        <w:rPr>
          <w:rFonts w:ascii="Times New Roman" w:hAnsi="Times New Roman"/>
          <w:sz w:val="24"/>
        </w:rPr>
      </w:pPr>
      <w:r w:rsidRPr="00CB2CB5">
        <w:rPr>
          <w:rFonts w:ascii="Times New Roman" w:hAnsi="Times New Roman"/>
          <w:sz w:val="24"/>
        </w:rPr>
        <w:t xml:space="preserve">A copy of the published Public </w:t>
      </w:r>
      <w:r w:rsidRPr="00A47DF1">
        <w:rPr>
          <w:rFonts w:ascii="Times New Roman" w:hAnsi="Times New Roman"/>
          <w:sz w:val="24"/>
        </w:rPr>
        <w:t>Notice, which was also used for bill inserts</w:t>
      </w:r>
      <w:r w:rsidR="006A5A95" w:rsidRPr="00A47DF1">
        <w:rPr>
          <w:rFonts w:ascii="Times New Roman" w:hAnsi="Times New Roman"/>
          <w:sz w:val="24"/>
        </w:rPr>
        <w:t>, publication in the Las Cruces Sun News,</w:t>
      </w:r>
      <w:r w:rsidRPr="00A47DF1">
        <w:rPr>
          <w:rFonts w:ascii="Times New Roman" w:hAnsi="Times New Roman"/>
          <w:sz w:val="24"/>
        </w:rPr>
        <w:t xml:space="preserve"> and email notifications</w:t>
      </w:r>
      <w:r w:rsidR="006A5A95" w:rsidRPr="00A47DF1">
        <w:rPr>
          <w:rFonts w:ascii="Times New Roman" w:hAnsi="Times New Roman"/>
          <w:sz w:val="24"/>
        </w:rPr>
        <w:t>,</w:t>
      </w:r>
      <w:r w:rsidR="0037479C" w:rsidRPr="00A47DF1">
        <w:rPr>
          <w:rFonts w:ascii="Times New Roman" w:hAnsi="Times New Roman"/>
          <w:sz w:val="24"/>
        </w:rPr>
        <w:t xml:space="preserve"> 30 days prior to the first scheduled meeting</w:t>
      </w:r>
      <w:r w:rsidRPr="00A47DF1">
        <w:rPr>
          <w:rFonts w:ascii="Times New Roman" w:hAnsi="Times New Roman"/>
          <w:sz w:val="24"/>
        </w:rPr>
        <w:t>, is attached as Attachment A-10</w:t>
      </w:r>
      <w:r w:rsidR="00CA145B" w:rsidRPr="00A47DF1">
        <w:rPr>
          <w:rFonts w:ascii="Times New Roman" w:hAnsi="Times New Roman"/>
          <w:sz w:val="24"/>
        </w:rPr>
        <w:t>.</w:t>
      </w:r>
      <w:r w:rsidR="00CA145B" w:rsidRPr="00CB2CB5">
        <w:rPr>
          <w:rFonts w:ascii="Times New Roman" w:hAnsi="Times New Roman"/>
          <w:sz w:val="24"/>
        </w:rPr>
        <w:t xml:space="preserve">  The attachment also contains the Proof of Publication, Affidavit of notification to customers, and Certificate of Service filed with </w:t>
      </w:r>
      <w:r w:rsidR="00CA145B" w:rsidRPr="00A47DF1">
        <w:rPr>
          <w:rFonts w:ascii="Times New Roman" w:hAnsi="Times New Roman"/>
          <w:sz w:val="24"/>
        </w:rPr>
        <w:t>the Commission on May 1</w:t>
      </w:r>
      <w:r w:rsidR="00A47DF1">
        <w:rPr>
          <w:rFonts w:ascii="Times New Roman" w:hAnsi="Times New Roman"/>
          <w:sz w:val="24"/>
        </w:rPr>
        <w:t>3</w:t>
      </w:r>
      <w:r w:rsidR="00CA145B" w:rsidRPr="00A47DF1">
        <w:rPr>
          <w:rFonts w:ascii="Times New Roman" w:hAnsi="Times New Roman"/>
          <w:sz w:val="24"/>
        </w:rPr>
        <w:t>, 20</w:t>
      </w:r>
      <w:r w:rsidR="00A47DF1">
        <w:rPr>
          <w:rFonts w:ascii="Times New Roman" w:hAnsi="Times New Roman"/>
          <w:sz w:val="24"/>
        </w:rPr>
        <w:t>2</w:t>
      </w:r>
      <w:r w:rsidR="00CA145B" w:rsidRPr="00A47DF1">
        <w:rPr>
          <w:rFonts w:ascii="Times New Roman" w:hAnsi="Times New Roman"/>
          <w:sz w:val="24"/>
        </w:rPr>
        <w:t>1</w:t>
      </w:r>
      <w:r w:rsidRPr="00CB2CB5">
        <w:rPr>
          <w:rFonts w:ascii="Times New Roman" w:hAnsi="Times New Roman"/>
          <w:sz w:val="24"/>
        </w:rPr>
        <w:t>.</w:t>
      </w:r>
      <w:r w:rsidR="00D44883" w:rsidRPr="00CB2CB5">
        <w:rPr>
          <w:rFonts w:ascii="Times New Roman" w:hAnsi="Times New Roman"/>
          <w:sz w:val="24"/>
        </w:rPr>
        <w:t xml:space="preserve">  The notice </w:t>
      </w:r>
      <w:r w:rsidR="0037479C" w:rsidRPr="00CB2CB5">
        <w:rPr>
          <w:rFonts w:ascii="Times New Roman" w:hAnsi="Times New Roman"/>
          <w:sz w:val="24"/>
        </w:rPr>
        <w:t>was served to intervenors in its most recent</w:t>
      </w:r>
      <w:r w:rsidR="006A5A95" w:rsidRPr="00CB2CB5">
        <w:rPr>
          <w:rFonts w:ascii="Times New Roman" w:hAnsi="Times New Roman"/>
          <w:sz w:val="24"/>
        </w:rPr>
        <w:t xml:space="preserve"> general</w:t>
      </w:r>
      <w:r w:rsidR="0037479C" w:rsidRPr="00CB2CB5">
        <w:rPr>
          <w:rFonts w:ascii="Times New Roman" w:hAnsi="Times New Roman"/>
          <w:sz w:val="24"/>
        </w:rPr>
        <w:t xml:space="preserve"> rate case, </w:t>
      </w:r>
      <w:r w:rsidR="006A5A95" w:rsidRPr="00CB2CB5">
        <w:rPr>
          <w:rFonts w:ascii="Times New Roman" w:hAnsi="Times New Roman"/>
          <w:sz w:val="24"/>
        </w:rPr>
        <w:t xml:space="preserve">and participants in EPE’s most recent </w:t>
      </w:r>
      <w:r w:rsidR="0037479C" w:rsidRPr="00CB2CB5">
        <w:rPr>
          <w:rFonts w:ascii="Times New Roman" w:hAnsi="Times New Roman"/>
          <w:sz w:val="24"/>
        </w:rPr>
        <w:t>renewable energy, energy efficiency</w:t>
      </w:r>
      <w:r w:rsidR="007A32D5">
        <w:rPr>
          <w:rFonts w:ascii="Times New Roman" w:hAnsi="Times New Roman"/>
          <w:sz w:val="24"/>
        </w:rPr>
        <w:t xml:space="preserve"> and load management</w:t>
      </w:r>
      <w:r w:rsidR="0037479C" w:rsidRPr="00CB2CB5">
        <w:rPr>
          <w:rFonts w:ascii="Times New Roman" w:hAnsi="Times New Roman"/>
          <w:sz w:val="24"/>
        </w:rPr>
        <w:t xml:space="preserve">, and IRP proceedings. The notice </w:t>
      </w:r>
      <w:r w:rsidR="00D44883" w:rsidRPr="00CB2CB5">
        <w:rPr>
          <w:rFonts w:ascii="Times New Roman" w:hAnsi="Times New Roman"/>
          <w:sz w:val="24"/>
        </w:rPr>
        <w:t>contain</w:t>
      </w:r>
      <w:r w:rsidR="006A5A95" w:rsidRPr="00CB2CB5">
        <w:rPr>
          <w:rFonts w:ascii="Times New Roman" w:hAnsi="Times New Roman"/>
          <w:sz w:val="24"/>
        </w:rPr>
        <w:t>ed</w:t>
      </w:r>
      <w:r w:rsidR="00D44883" w:rsidRPr="00CB2CB5">
        <w:rPr>
          <w:rFonts w:ascii="Times New Roman" w:hAnsi="Times New Roman"/>
          <w:sz w:val="24"/>
        </w:rPr>
        <w:t xml:space="preserve"> a brief description of the IRP process, time, </w:t>
      </w:r>
      <w:r w:rsidR="00B85672" w:rsidRPr="00CB2CB5">
        <w:rPr>
          <w:rFonts w:ascii="Times New Roman" w:hAnsi="Times New Roman"/>
          <w:sz w:val="24"/>
        </w:rPr>
        <w:t>date,</w:t>
      </w:r>
      <w:r w:rsidR="00D44883" w:rsidRPr="00CB2CB5">
        <w:rPr>
          <w:rFonts w:ascii="Times New Roman" w:hAnsi="Times New Roman"/>
          <w:sz w:val="24"/>
        </w:rPr>
        <w:t xml:space="preserve"> and location of the first meeting, a statement that interested individuals should notify the utility of their interest in participating in the process, and utility contact information.</w:t>
      </w:r>
    </w:p>
    <w:p w14:paraId="74E81FA7" w14:textId="77777777" w:rsidR="00A13C30" w:rsidRPr="00CB2CB5" w:rsidRDefault="00A13C30" w:rsidP="008759DE">
      <w:pPr>
        <w:spacing w:line="276" w:lineRule="auto"/>
        <w:ind w:left="540"/>
      </w:pPr>
    </w:p>
    <w:p w14:paraId="081348FA" w14:textId="77777777" w:rsidR="00F30283" w:rsidRPr="00CB2CB5" w:rsidRDefault="00F30283" w:rsidP="008759DE">
      <w:pPr>
        <w:pStyle w:val="ListParagraph"/>
        <w:keepNext/>
        <w:keepLines/>
        <w:numPr>
          <w:ilvl w:val="0"/>
          <w:numId w:val="21"/>
        </w:numPr>
        <w:spacing w:after="0" w:line="276" w:lineRule="auto"/>
        <w:ind w:left="1094" w:hanging="547"/>
        <w:contextualSpacing w:val="0"/>
        <w:rPr>
          <w:rFonts w:ascii="Times New Roman" w:hAnsi="Times New Roman"/>
          <w:b/>
          <w:sz w:val="24"/>
        </w:rPr>
      </w:pPr>
      <w:r w:rsidRPr="00CB2CB5">
        <w:rPr>
          <w:rFonts w:ascii="Times New Roman" w:hAnsi="Times New Roman"/>
          <w:b/>
          <w:sz w:val="24"/>
        </w:rPr>
        <w:t>Attendance</w:t>
      </w:r>
    </w:p>
    <w:p w14:paraId="66E3434F" w14:textId="77777777" w:rsidR="000C1EB8" w:rsidRPr="00CB2CB5" w:rsidRDefault="000C1EB8" w:rsidP="008759DE">
      <w:pPr>
        <w:keepNext/>
        <w:keepLines/>
        <w:spacing w:line="276" w:lineRule="auto"/>
        <w:ind w:left="540"/>
        <w:rPr>
          <w:b/>
        </w:rPr>
      </w:pPr>
    </w:p>
    <w:p w14:paraId="379A1926" w14:textId="255D4ABF" w:rsidR="00F30283" w:rsidRPr="00CB2CB5" w:rsidRDefault="0073592B" w:rsidP="008759DE">
      <w:pPr>
        <w:spacing w:line="276" w:lineRule="auto"/>
        <w:ind w:left="540"/>
      </w:pPr>
      <w:r w:rsidRPr="00CB2CB5">
        <w:t>A</w:t>
      </w:r>
      <w:r w:rsidR="000E462A">
        <w:t>n a</w:t>
      </w:r>
      <w:r w:rsidR="006B0635">
        <w:t xml:space="preserve">verage </w:t>
      </w:r>
      <w:r w:rsidR="006B0635" w:rsidRPr="00A47DF1">
        <w:t xml:space="preserve">of </w:t>
      </w:r>
      <w:r w:rsidR="00D20B0C" w:rsidRPr="00A47DF1">
        <w:t>4</w:t>
      </w:r>
      <w:r w:rsidR="006B0635" w:rsidRPr="00A47DF1">
        <w:t>8</w:t>
      </w:r>
      <w:r w:rsidR="00F30283" w:rsidRPr="00A47DF1">
        <w:t xml:space="preserve"> people attended EPE</w:t>
      </w:r>
      <w:r w:rsidR="00B81EE4" w:rsidRPr="00A47DF1">
        <w:t>'</w:t>
      </w:r>
      <w:r w:rsidR="00F30283" w:rsidRPr="00A47DF1">
        <w:t xml:space="preserve">s public advisory meetings remotely </w:t>
      </w:r>
      <w:r w:rsidR="006B0635" w:rsidRPr="00A47DF1">
        <w:t>as attendees</w:t>
      </w:r>
      <w:r w:rsidR="00F30283" w:rsidRPr="00A47DF1">
        <w:t xml:space="preserve"> over the course of the approximately </w:t>
      </w:r>
      <w:r w:rsidR="00D64CEC" w:rsidRPr="00A47DF1">
        <w:t>1</w:t>
      </w:r>
      <w:r w:rsidR="006B0635" w:rsidRPr="00A47DF1">
        <w:t>2</w:t>
      </w:r>
      <w:r w:rsidR="00F30283" w:rsidRPr="00A47DF1">
        <w:t xml:space="preserve">-month </w:t>
      </w:r>
      <w:r w:rsidR="00B91662" w:rsidRPr="00A47DF1">
        <w:t>Public Process</w:t>
      </w:r>
      <w:r w:rsidR="00F30283" w:rsidRPr="00A47DF1">
        <w:t xml:space="preserve">.  </w:t>
      </w:r>
      <w:r w:rsidR="006B0635" w:rsidRPr="00A47DF1">
        <w:t>There was an average of 10</w:t>
      </w:r>
      <w:r w:rsidR="006B0635">
        <w:t xml:space="preserve"> panelists during each meeting.</w:t>
      </w:r>
      <w:r w:rsidR="00F30283" w:rsidRPr="00CB2CB5">
        <w:t xml:space="preserve"> </w:t>
      </w:r>
    </w:p>
    <w:p w14:paraId="2DC38C6A" w14:textId="77777777" w:rsidR="000C1EB8" w:rsidRPr="00CB2CB5" w:rsidRDefault="000C1EB8" w:rsidP="008759DE">
      <w:pPr>
        <w:spacing w:line="276" w:lineRule="auto"/>
        <w:ind w:left="540"/>
      </w:pPr>
    </w:p>
    <w:p w14:paraId="41EE8E88" w14:textId="3B0B9A8A" w:rsidR="00F30283" w:rsidRPr="00CB2CB5" w:rsidRDefault="00B91662" w:rsidP="008759DE">
      <w:pPr>
        <w:spacing w:line="276" w:lineRule="auto"/>
        <w:ind w:left="540"/>
      </w:pPr>
      <w:r w:rsidRPr="00CB2CB5">
        <w:t>Public participation</w:t>
      </w:r>
      <w:r w:rsidR="00F30283" w:rsidRPr="00CB2CB5">
        <w:t xml:space="preserve"> consisted of continuous attendance from </w:t>
      </w:r>
      <w:r w:rsidR="00D20B0C">
        <w:t xml:space="preserve">the </w:t>
      </w:r>
      <w:r w:rsidR="00F30283" w:rsidRPr="00CB2CB5">
        <w:t xml:space="preserve">participants who were very active </w:t>
      </w:r>
      <w:r w:rsidR="00D20B0C">
        <w:t xml:space="preserve">in the Q&amp;A and chat panels </w:t>
      </w:r>
      <w:r w:rsidR="00F30283" w:rsidRPr="00CB2CB5">
        <w:t xml:space="preserve">and </w:t>
      </w:r>
      <w:r w:rsidR="005A4DEF">
        <w:t xml:space="preserve">were </w:t>
      </w:r>
      <w:r w:rsidR="00F30283" w:rsidRPr="00CB2CB5">
        <w:t xml:space="preserve">engaged throughout the entire </w:t>
      </w:r>
      <w:r w:rsidR="00ED2F2E" w:rsidRPr="00CB2CB5">
        <w:t>Public Process</w:t>
      </w:r>
      <w:r w:rsidR="00F30283" w:rsidRPr="00CB2CB5">
        <w:t xml:space="preserve">. There were also representatives from certain groups and companies, such as Coalition for </w:t>
      </w:r>
      <w:r w:rsidR="00F30283" w:rsidRPr="00CB2CB5">
        <w:lastRenderedPageBreak/>
        <w:t xml:space="preserve">Clean Affordable Energy, </w:t>
      </w:r>
      <w:r w:rsidR="005A4DEF">
        <w:t>Western Resource Advocates, Solar Smart Living, Cypress Creek Renewables</w:t>
      </w:r>
      <w:r w:rsidR="00F30283" w:rsidRPr="00CB2CB5">
        <w:t>, City of Las</w:t>
      </w:r>
      <w:r w:rsidR="00B97104" w:rsidRPr="00CB2CB5">
        <w:t> </w:t>
      </w:r>
      <w:r w:rsidR="00F30283" w:rsidRPr="00CB2CB5">
        <w:t>Cruces, and others. NMPRC Staff was represented at each meeting.</w:t>
      </w:r>
    </w:p>
    <w:p w14:paraId="77DED0F1" w14:textId="77777777" w:rsidR="000C1EB8" w:rsidRPr="00CB2CB5" w:rsidRDefault="000C1EB8" w:rsidP="008759DE">
      <w:pPr>
        <w:spacing w:line="276" w:lineRule="auto"/>
        <w:ind w:left="540"/>
      </w:pPr>
    </w:p>
    <w:p w14:paraId="3A02B014" w14:textId="77777777" w:rsidR="00F30283" w:rsidRPr="00CB2CB5" w:rsidRDefault="00F30283" w:rsidP="008759DE">
      <w:pPr>
        <w:spacing w:line="276" w:lineRule="auto"/>
        <w:ind w:left="540"/>
      </w:pPr>
      <w:r w:rsidRPr="00CB2CB5">
        <w:t xml:space="preserve">Participants demonstrated interest and </w:t>
      </w:r>
      <w:r w:rsidR="009A3F63" w:rsidRPr="00CB2CB5">
        <w:t xml:space="preserve">a disparate </w:t>
      </w:r>
      <w:r w:rsidRPr="00CB2CB5">
        <w:t xml:space="preserve">level of understanding of the </w:t>
      </w:r>
      <w:r w:rsidR="00897F9C" w:rsidRPr="00CB2CB5">
        <w:t>P</w:t>
      </w:r>
      <w:r w:rsidRPr="00CB2CB5">
        <w:t xml:space="preserve">lanning </w:t>
      </w:r>
      <w:r w:rsidR="00897F9C" w:rsidRPr="00CB2CB5">
        <w:t>P</w:t>
      </w:r>
      <w:r w:rsidRPr="00CB2CB5">
        <w:t>rocess, and an appreciation</w:t>
      </w:r>
      <w:r w:rsidR="009A3F63" w:rsidRPr="00CB2CB5">
        <w:t>,</w:t>
      </w:r>
      <w:r w:rsidRPr="00CB2CB5">
        <w:t xml:space="preserve"> to some degree</w:t>
      </w:r>
      <w:r w:rsidR="009A3F63" w:rsidRPr="00CB2CB5">
        <w:t>,</w:t>
      </w:r>
      <w:r w:rsidRPr="00CB2CB5">
        <w:t xml:space="preserve"> of the complexity involved. </w:t>
      </w:r>
    </w:p>
    <w:p w14:paraId="1429B2EE" w14:textId="77777777" w:rsidR="000C1EB8" w:rsidRPr="00CB2CB5" w:rsidRDefault="000C1EB8" w:rsidP="008759DE">
      <w:pPr>
        <w:spacing w:line="276" w:lineRule="auto"/>
        <w:ind w:left="540"/>
      </w:pPr>
    </w:p>
    <w:p w14:paraId="1EC208C3" w14:textId="77777777" w:rsidR="00F30283" w:rsidRPr="00CB2CB5" w:rsidRDefault="00F30283" w:rsidP="008759DE">
      <w:pPr>
        <w:pStyle w:val="ListParagraph"/>
        <w:keepNext/>
        <w:keepLines/>
        <w:numPr>
          <w:ilvl w:val="0"/>
          <w:numId w:val="21"/>
        </w:numPr>
        <w:spacing w:after="0" w:line="276" w:lineRule="auto"/>
        <w:ind w:left="1094" w:hanging="547"/>
        <w:contextualSpacing w:val="0"/>
        <w:rPr>
          <w:rFonts w:ascii="Times New Roman" w:hAnsi="Times New Roman"/>
          <w:b/>
          <w:sz w:val="24"/>
        </w:rPr>
      </w:pPr>
      <w:r w:rsidRPr="00CB2CB5">
        <w:rPr>
          <w:rFonts w:ascii="Times New Roman" w:hAnsi="Times New Roman"/>
          <w:b/>
          <w:sz w:val="24"/>
        </w:rPr>
        <w:t>Meeting Schedule and Format</w:t>
      </w:r>
    </w:p>
    <w:p w14:paraId="14D6F271" w14:textId="77777777" w:rsidR="000C1EB8" w:rsidRPr="00CB2CB5" w:rsidRDefault="000C1EB8" w:rsidP="008759DE">
      <w:pPr>
        <w:keepNext/>
        <w:keepLines/>
        <w:spacing w:line="276" w:lineRule="auto"/>
        <w:ind w:left="540"/>
      </w:pPr>
    </w:p>
    <w:p w14:paraId="151F851D" w14:textId="3096B292" w:rsidR="005628D4" w:rsidRPr="00CB2CB5" w:rsidRDefault="00F30283" w:rsidP="008759DE">
      <w:pPr>
        <w:spacing w:line="276" w:lineRule="auto"/>
        <w:ind w:left="540"/>
      </w:pPr>
      <w:r w:rsidRPr="00CB2CB5">
        <w:t>EPE</w:t>
      </w:r>
      <w:r w:rsidR="00B81EE4" w:rsidRPr="00CB2CB5">
        <w:t>'</w:t>
      </w:r>
      <w:r w:rsidRPr="00CB2CB5">
        <w:t xml:space="preserve">s original public advisory meeting schedule included </w:t>
      </w:r>
      <w:r w:rsidR="000E462A">
        <w:t>six</w:t>
      </w:r>
      <w:r w:rsidRPr="00CB2CB5">
        <w:t xml:space="preserve"> meetings</w:t>
      </w:r>
      <w:r w:rsidR="00D824CE" w:rsidRPr="00CB2CB5">
        <w:t>;</w:t>
      </w:r>
      <w:r w:rsidRPr="00CB2CB5">
        <w:t xml:space="preserve"> but</w:t>
      </w:r>
      <w:r w:rsidR="00D824CE" w:rsidRPr="00CB2CB5">
        <w:t>,</w:t>
      </w:r>
      <w:r w:rsidRPr="00CB2CB5">
        <w:t xml:space="preserve"> with the addition of </w:t>
      </w:r>
      <w:r w:rsidR="00A47DF1">
        <w:t>three</w:t>
      </w:r>
      <w:r w:rsidRPr="00CB2CB5">
        <w:t xml:space="preserve"> meetings requested by public participants, the final schedule consisted of </w:t>
      </w:r>
      <w:r w:rsidR="00A47DF1">
        <w:t>nine</w:t>
      </w:r>
      <w:r w:rsidR="000C1EB8" w:rsidRPr="00CB2CB5">
        <w:t> </w:t>
      </w:r>
      <w:r w:rsidRPr="00CB2CB5">
        <w:t xml:space="preserve">meetings. EPE modified its initial meeting schedule to accommodate several requests of </w:t>
      </w:r>
      <w:r w:rsidR="00D824CE" w:rsidRPr="00CB2CB5">
        <w:t xml:space="preserve">the </w:t>
      </w:r>
      <w:r w:rsidR="00661BF6">
        <w:t>Participants</w:t>
      </w:r>
      <w:r w:rsidRPr="00CB2CB5">
        <w:t xml:space="preserve">. For example, EPE scheduled </w:t>
      </w:r>
      <w:r w:rsidR="000E462A">
        <w:t>extra meeting</w:t>
      </w:r>
      <w:r w:rsidR="005A4DEF">
        <w:t>s</w:t>
      </w:r>
      <w:r w:rsidR="000E462A">
        <w:t xml:space="preserve"> to address </w:t>
      </w:r>
      <w:r w:rsidRPr="00CB2CB5">
        <w:t xml:space="preserve">topics to be covered </w:t>
      </w:r>
      <w:r w:rsidR="000E462A">
        <w:t>in more detail as</w:t>
      </w:r>
      <w:r w:rsidRPr="00CB2CB5">
        <w:t xml:space="preserve"> requested </w:t>
      </w:r>
      <w:r w:rsidR="000E462A">
        <w:t xml:space="preserve">by the </w:t>
      </w:r>
      <w:r w:rsidR="00661BF6">
        <w:t>Participants</w:t>
      </w:r>
      <w:r w:rsidRPr="00CB2CB5">
        <w:t xml:space="preserve">. </w:t>
      </w:r>
      <w:r w:rsidR="005628D4" w:rsidRPr="00CB2CB5">
        <w:t xml:space="preserve">Attachment </w:t>
      </w:r>
      <w:r w:rsidR="00C104C5">
        <w:t>X</w:t>
      </w:r>
      <w:r w:rsidR="005628D4" w:rsidRPr="00CB2CB5">
        <w:t xml:space="preserve"> shows the original and final public advisory group meeting schedule. </w:t>
      </w:r>
    </w:p>
    <w:p w14:paraId="75425584" w14:textId="77777777" w:rsidR="000C1EB8" w:rsidRPr="00CB2CB5" w:rsidRDefault="000C1EB8" w:rsidP="008759DE">
      <w:pPr>
        <w:spacing w:line="276" w:lineRule="auto"/>
        <w:ind w:left="540"/>
      </w:pPr>
    </w:p>
    <w:p w14:paraId="0CD79AB3" w14:textId="370970F8" w:rsidR="00F30283" w:rsidRDefault="00F30283" w:rsidP="008759DE">
      <w:pPr>
        <w:spacing w:line="276" w:lineRule="auto"/>
        <w:ind w:left="540"/>
      </w:pPr>
      <w:r w:rsidRPr="00CB2CB5">
        <w:t xml:space="preserve">Meetings were typically held on </w:t>
      </w:r>
      <w:r w:rsidR="000E462A">
        <w:t>Friday</w:t>
      </w:r>
      <w:r w:rsidR="00B81EE4" w:rsidRPr="00CB2CB5">
        <w:t>'</w:t>
      </w:r>
      <w:r w:rsidRPr="00CB2CB5">
        <w:t>s at 2 pm, for the duration of 2.5</w:t>
      </w:r>
      <w:r w:rsidR="00383B48" w:rsidRPr="00CB2CB5">
        <w:t> </w:t>
      </w:r>
      <w:r w:rsidRPr="00CB2CB5">
        <w:t>hours. In EPE</w:t>
      </w:r>
      <w:r w:rsidR="00B81EE4" w:rsidRPr="00CB2CB5">
        <w:t>'</w:t>
      </w:r>
      <w:r w:rsidRPr="00CB2CB5">
        <w:t xml:space="preserve">s experience, meetings held outside of normal business hours did not increase public participation. All </w:t>
      </w:r>
      <w:bookmarkStart w:id="68" w:name="_Hlk532455281"/>
      <w:r w:rsidRPr="00CB2CB5">
        <w:t xml:space="preserve">meetings were </w:t>
      </w:r>
      <w:r w:rsidR="000E462A">
        <w:t>held online.</w:t>
      </w:r>
      <w:bookmarkEnd w:id="68"/>
    </w:p>
    <w:p w14:paraId="003FA327" w14:textId="77777777" w:rsidR="000E6CAD" w:rsidRPr="00CB2CB5" w:rsidRDefault="000E6CAD" w:rsidP="008759DE">
      <w:pPr>
        <w:spacing w:line="276" w:lineRule="auto"/>
        <w:ind w:left="540"/>
      </w:pPr>
    </w:p>
    <w:p w14:paraId="603E21DD" w14:textId="77777777" w:rsidR="000E6CAD" w:rsidRPr="00CB2CB5" w:rsidRDefault="000E6CAD" w:rsidP="000E6CAD">
      <w:pPr>
        <w:spacing w:line="276" w:lineRule="auto"/>
        <w:ind w:left="540"/>
      </w:pPr>
      <w:r w:rsidRPr="00CB2CB5">
        <w:t xml:space="preserve">The schedule was structured to cover the required data as quickly and fully as possible to allow more time for development of the cost-effective portfolio. EPE has learned from past IRPs that Participants tend to be more focused on this portion of the IRP public process. </w:t>
      </w:r>
    </w:p>
    <w:p w14:paraId="4AA5F38D" w14:textId="77777777" w:rsidR="000E6CAD" w:rsidRPr="00CB2CB5" w:rsidRDefault="000E6CAD" w:rsidP="000E6CAD">
      <w:pPr>
        <w:spacing w:line="276" w:lineRule="auto"/>
        <w:ind w:left="540"/>
      </w:pPr>
    </w:p>
    <w:p w14:paraId="5B7D4103" w14:textId="49DB7A80" w:rsidR="000E6CAD" w:rsidRDefault="000E6CAD" w:rsidP="000E6CAD">
      <w:pPr>
        <w:spacing w:line="276" w:lineRule="auto"/>
        <w:ind w:left="540"/>
      </w:pPr>
      <w:r w:rsidRPr="00CB2CB5">
        <w:t xml:space="preserve">The structure of the meetings </w:t>
      </w:r>
      <w:r>
        <w:t>was presentation oriented.  Typically, presentations were completed before answering questions submitted through the Q&amp;A and chat panels, unless directly related to terms used in the presentation for clarification.  Additionally, at the end of each meeting, submitted questions were answered as time permitted.</w:t>
      </w:r>
      <w:r w:rsidRPr="00CB2CB5">
        <w:t xml:space="preserve"> </w:t>
      </w:r>
    </w:p>
    <w:p w14:paraId="03F74A3C" w14:textId="77777777" w:rsidR="000E6CAD" w:rsidRPr="00CB2CB5" w:rsidRDefault="000E6CAD" w:rsidP="000E6CAD">
      <w:pPr>
        <w:spacing w:line="276" w:lineRule="auto"/>
        <w:ind w:left="540"/>
      </w:pPr>
    </w:p>
    <w:p w14:paraId="1C9CE3CA" w14:textId="15ADCB6E" w:rsidR="000E6CAD" w:rsidRDefault="000E6CAD" w:rsidP="000E6CAD">
      <w:pPr>
        <w:spacing w:line="276" w:lineRule="auto"/>
        <w:ind w:left="540"/>
      </w:pPr>
      <w:r w:rsidRPr="00CB2CB5">
        <w:t xml:space="preserve">EPE presented topics required in the Rule for the Public Process, as well as more detailed information on those topics to better inform the Participants on the issues addressed in the IRP. These detailed topics were covered at the beginning of the Public Process so that more time could be dedicated to the development of the most cost-effective portfolio and review of the IRP report. </w:t>
      </w:r>
    </w:p>
    <w:p w14:paraId="46566E50" w14:textId="77777777" w:rsidR="000C1EB8" w:rsidRPr="00CB2CB5" w:rsidRDefault="000C1EB8" w:rsidP="008759DE">
      <w:pPr>
        <w:spacing w:line="276" w:lineRule="auto"/>
        <w:ind w:left="540"/>
      </w:pPr>
    </w:p>
    <w:p w14:paraId="7CD2D01F" w14:textId="2E7F387A" w:rsidR="00F30283" w:rsidRPr="00CB2CB5" w:rsidRDefault="00F30283" w:rsidP="008759DE">
      <w:pPr>
        <w:spacing w:line="276" w:lineRule="auto"/>
        <w:ind w:left="540"/>
      </w:pPr>
      <w:r w:rsidRPr="00CB2CB5">
        <w:t xml:space="preserve">In response to public feedback, </w:t>
      </w:r>
      <w:r w:rsidR="000E6CAD">
        <w:t xml:space="preserve">and in an effort to provide more information and explanation of the modeling process to the participants, </w:t>
      </w:r>
      <w:r w:rsidRPr="00CB2CB5">
        <w:t xml:space="preserve">EPE added </w:t>
      </w:r>
      <w:r w:rsidR="00C104C5">
        <w:t>three</w:t>
      </w:r>
      <w:r w:rsidRPr="00CB2CB5">
        <w:t xml:space="preserve"> additional meetings </w:t>
      </w:r>
      <w:r w:rsidR="000E462A">
        <w:t xml:space="preserve">to address </w:t>
      </w:r>
      <w:r w:rsidR="0024529E">
        <w:t>specific</w:t>
      </w:r>
      <w:r w:rsidR="004464F3">
        <w:t xml:space="preserve"> topics</w:t>
      </w:r>
      <w:r w:rsidRPr="00CB2CB5">
        <w:t xml:space="preserve">; first on </w:t>
      </w:r>
      <w:r w:rsidR="004464F3">
        <w:t>November</w:t>
      </w:r>
      <w:r w:rsidR="005A4DEF">
        <w:t xml:space="preserve"> 9, 2020,</w:t>
      </w:r>
      <w:r w:rsidRPr="00CB2CB5">
        <w:t xml:space="preserve"> second on </w:t>
      </w:r>
      <w:r w:rsidR="004464F3">
        <w:t xml:space="preserve">February </w:t>
      </w:r>
      <w:r w:rsidR="00CF665C">
        <w:t xml:space="preserve">5, 2021, </w:t>
      </w:r>
      <w:r w:rsidR="004464F3">
        <w:t>and the third on March</w:t>
      </w:r>
      <w:r w:rsidR="00CF665C">
        <w:t xml:space="preserve"> 19, 2021</w:t>
      </w:r>
      <w:r w:rsidRPr="00CB2CB5">
        <w:t xml:space="preserve">. </w:t>
      </w:r>
    </w:p>
    <w:p w14:paraId="29664C3D" w14:textId="77777777" w:rsidR="000E6CAD" w:rsidRPr="00CB2CB5" w:rsidRDefault="000E6CAD" w:rsidP="008759DE">
      <w:pPr>
        <w:spacing w:line="276" w:lineRule="auto"/>
        <w:ind w:left="540"/>
      </w:pPr>
    </w:p>
    <w:p w14:paraId="22B9104E" w14:textId="2574ED89" w:rsidR="00206581" w:rsidRDefault="00206581" w:rsidP="00496E9C">
      <w:pPr>
        <w:spacing w:line="276" w:lineRule="auto"/>
        <w:ind w:left="540"/>
      </w:pPr>
      <w:r w:rsidRPr="00CB2CB5">
        <w:lastRenderedPageBreak/>
        <w:t xml:space="preserve">During the </w:t>
      </w:r>
      <w:r w:rsidR="00496E9C">
        <w:t>November 9, 2020</w:t>
      </w:r>
      <w:r w:rsidRPr="00CB2CB5">
        <w:t xml:space="preserve">, meeting, </w:t>
      </w:r>
      <w:r w:rsidR="00496E9C">
        <w:t xml:space="preserve">the Public </w:t>
      </w:r>
      <w:r w:rsidR="00C104C5">
        <w:t>P</w:t>
      </w:r>
      <w:r w:rsidR="00496E9C">
        <w:t>articipants pr</w:t>
      </w:r>
      <w:r w:rsidR="00C104C5">
        <w:t>ovided</w:t>
      </w:r>
      <w:r w:rsidR="00496E9C">
        <w:t xml:space="preserve"> a slide presentation, then there was a discussion by EPE regarding EPE’s expectations as to its generation portfolio and power procurement in 2040 and 2045, consistent with REA requirements regarding renewable and non-carbon sources, EPE’s expectations regarding "must-run" resources in a non-carbon world and implications for renewable resources, including the use of curtailments, EPE’s expectations regarding the level of reliability appropriate for the system today and in 2040, and how EPE expects to analyze the provision and cost of defined levels of reliability, discussion by EPE of native load and system requirements in 2020, including how EPE met peak demand during the summer peak period, discussion of future meeting agendas, and additional scheduled meetings.</w:t>
      </w:r>
    </w:p>
    <w:p w14:paraId="6E8C122C" w14:textId="77777777" w:rsidR="000E6CAD" w:rsidRDefault="000E6CAD" w:rsidP="00496E9C">
      <w:pPr>
        <w:spacing w:line="276" w:lineRule="auto"/>
        <w:ind w:left="540"/>
      </w:pPr>
    </w:p>
    <w:p w14:paraId="7CB32587" w14:textId="750AB709" w:rsidR="00496E9C" w:rsidRDefault="00206581" w:rsidP="00496E9C">
      <w:pPr>
        <w:spacing w:line="276" w:lineRule="auto"/>
        <w:ind w:left="540"/>
      </w:pPr>
      <w:r w:rsidRPr="00CB2CB5">
        <w:t xml:space="preserve">During the </w:t>
      </w:r>
      <w:r w:rsidR="00496E9C">
        <w:t>February 5, 2021</w:t>
      </w:r>
      <w:r w:rsidRPr="00CB2CB5">
        <w:t>, meeting, EPE</w:t>
      </w:r>
      <w:r w:rsidR="00496E9C">
        <w:t xml:space="preserve"> pr</w:t>
      </w:r>
      <w:r w:rsidR="00C104C5">
        <w:t>esented</w:t>
      </w:r>
      <w:r w:rsidR="00496E9C">
        <w:t xml:space="preserve"> the modeling update in</w:t>
      </w:r>
      <w:r w:rsidR="00C104C5">
        <w:t xml:space="preserve"> a</w:t>
      </w:r>
      <w:r w:rsidR="00496E9C">
        <w:t xml:space="preserve"> joint presentation with E3 and discussed dates of future meetings</w:t>
      </w:r>
      <w:r w:rsidRPr="00CB2CB5">
        <w:t>.</w:t>
      </w:r>
    </w:p>
    <w:p w14:paraId="30B35515" w14:textId="09437A2F" w:rsidR="00206581" w:rsidRPr="00CB2CB5" w:rsidRDefault="00206581" w:rsidP="00496E9C">
      <w:pPr>
        <w:spacing w:line="276" w:lineRule="auto"/>
        <w:ind w:left="540"/>
      </w:pPr>
      <w:r w:rsidRPr="00CB2CB5">
        <w:t xml:space="preserve"> </w:t>
      </w:r>
    </w:p>
    <w:p w14:paraId="1C891F0C" w14:textId="29714404" w:rsidR="00F30283" w:rsidRPr="00CB2CB5" w:rsidRDefault="00F30283" w:rsidP="00496E9C">
      <w:pPr>
        <w:spacing w:line="276" w:lineRule="auto"/>
        <w:ind w:left="540"/>
      </w:pPr>
      <w:r w:rsidRPr="00CB2CB5">
        <w:t xml:space="preserve">During the </w:t>
      </w:r>
      <w:r w:rsidR="00496E9C">
        <w:t>March 19, 2021</w:t>
      </w:r>
      <w:r w:rsidR="003B60A7" w:rsidRPr="00CB2CB5">
        <w:t>,</w:t>
      </w:r>
      <w:r w:rsidRPr="00CB2CB5">
        <w:t xml:space="preserve"> meeting, EPE </w:t>
      </w:r>
      <w:r w:rsidR="00496E9C">
        <w:t>pr</w:t>
      </w:r>
      <w:r w:rsidR="00C104C5">
        <w:t>esented</w:t>
      </w:r>
      <w:r w:rsidR="00496E9C">
        <w:t xml:space="preserve"> an IRP modeling status summary, New Mexico Renewable Energy Act requirements, transmission for new resources</w:t>
      </w:r>
      <w:r w:rsidR="00C104C5">
        <w:t xml:space="preserve"> discussion</w:t>
      </w:r>
      <w:r w:rsidR="00496E9C">
        <w:t xml:space="preserve">, </w:t>
      </w:r>
      <w:r w:rsidR="00C104C5">
        <w:t xml:space="preserve">an </w:t>
      </w:r>
      <w:r w:rsidR="00496E9C">
        <w:t>assumptions update, model updates and results, and next steps</w:t>
      </w:r>
      <w:r w:rsidRPr="00CB2CB5">
        <w:t xml:space="preserve">. </w:t>
      </w:r>
    </w:p>
    <w:p w14:paraId="05DD8EEA" w14:textId="77777777" w:rsidR="00383B48" w:rsidRPr="00CB2CB5" w:rsidRDefault="00383B48" w:rsidP="00660412">
      <w:pPr>
        <w:spacing w:line="276" w:lineRule="auto"/>
        <w:ind w:left="540"/>
      </w:pPr>
    </w:p>
    <w:p w14:paraId="1FC05384" w14:textId="77777777" w:rsidR="00F30283" w:rsidRPr="00CB2CB5" w:rsidRDefault="00F30283" w:rsidP="00660412">
      <w:pPr>
        <w:pStyle w:val="ListParagraph"/>
        <w:keepNext/>
        <w:keepLines/>
        <w:numPr>
          <w:ilvl w:val="0"/>
          <w:numId w:val="21"/>
        </w:numPr>
        <w:spacing w:after="0" w:line="276" w:lineRule="auto"/>
        <w:ind w:left="1094" w:hanging="547"/>
        <w:contextualSpacing w:val="0"/>
        <w:rPr>
          <w:rFonts w:ascii="Times New Roman" w:hAnsi="Times New Roman"/>
          <w:b/>
          <w:sz w:val="24"/>
        </w:rPr>
      </w:pPr>
      <w:r w:rsidRPr="00CB2CB5">
        <w:rPr>
          <w:rFonts w:ascii="Times New Roman" w:hAnsi="Times New Roman"/>
          <w:b/>
          <w:sz w:val="24"/>
        </w:rPr>
        <w:t xml:space="preserve">Public Input </w:t>
      </w:r>
    </w:p>
    <w:p w14:paraId="3050C4BF" w14:textId="77777777" w:rsidR="00383B48" w:rsidRPr="00CB2CB5" w:rsidRDefault="00383B48" w:rsidP="00660412">
      <w:pPr>
        <w:keepNext/>
        <w:keepLines/>
        <w:spacing w:line="276" w:lineRule="auto"/>
        <w:ind w:left="540"/>
      </w:pPr>
    </w:p>
    <w:p w14:paraId="2598AC67" w14:textId="77777777" w:rsidR="00F30283" w:rsidRPr="00CB2CB5" w:rsidRDefault="00F30283" w:rsidP="00660412">
      <w:pPr>
        <w:spacing w:line="276" w:lineRule="auto"/>
        <w:ind w:left="540"/>
      </w:pPr>
      <w:r w:rsidRPr="00CB2CB5">
        <w:t xml:space="preserve">EPE structured the </w:t>
      </w:r>
      <w:r w:rsidR="00E223F6" w:rsidRPr="00CB2CB5">
        <w:t>Public P</w:t>
      </w:r>
      <w:r w:rsidRPr="00CB2CB5">
        <w:t xml:space="preserve">rocess to solicit, receive and consider public </w:t>
      </w:r>
      <w:r w:rsidR="00E223F6" w:rsidRPr="00CB2CB5">
        <w:t xml:space="preserve">comment </w:t>
      </w:r>
      <w:r w:rsidRPr="00CB2CB5">
        <w:t xml:space="preserve">regarding the development of its IRP in </w:t>
      </w:r>
      <w:proofErr w:type="gramStart"/>
      <w:r w:rsidRPr="00CB2CB5">
        <w:t>a number of</w:t>
      </w:r>
      <w:proofErr w:type="gramEnd"/>
      <w:r w:rsidRPr="00CB2CB5">
        <w:t xml:space="preserve"> ways. EPE encouraged </w:t>
      </w:r>
      <w:r w:rsidR="00E223F6" w:rsidRPr="00CB2CB5">
        <w:t>P</w:t>
      </w:r>
      <w:r w:rsidRPr="00CB2CB5">
        <w:t>articipants to:</w:t>
      </w:r>
    </w:p>
    <w:p w14:paraId="35D7D49E" w14:textId="368C4B3D" w:rsidR="00F30283" w:rsidRPr="00CB2CB5" w:rsidRDefault="00FE1D07" w:rsidP="00660412">
      <w:pPr>
        <w:numPr>
          <w:ilvl w:val="0"/>
          <w:numId w:val="7"/>
        </w:numPr>
        <w:spacing w:line="276" w:lineRule="auto"/>
        <w:ind w:left="900"/>
      </w:pPr>
      <w:r>
        <w:t xml:space="preserve">participate </w:t>
      </w:r>
      <w:r w:rsidR="00CF665C">
        <w:t xml:space="preserve">in the online </w:t>
      </w:r>
      <w:r w:rsidR="00F30283" w:rsidRPr="00CB2CB5">
        <w:t>public advisory meetings and give their input during the meetings</w:t>
      </w:r>
      <w:r w:rsidR="00E223F6" w:rsidRPr="00CB2CB5">
        <w:t>,</w:t>
      </w:r>
    </w:p>
    <w:p w14:paraId="34047BA7" w14:textId="6048C473" w:rsidR="00F30283" w:rsidRPr="00CB2CB5" w:rsidRDefault="00F30283" w:rsidP="00660412">
      <w:pPr>
        <w:numPr>
          <w:ilvl w:val="0"/>
          <w:numId w:val="7"/>
        </w:numPr>
        <w:spacing w:line="276" w:lineRule="auto"/>
        <w:ind w:left="900"/>
      </w:pPr>
      <w:r w:rsidRPr="00CB2CB5">
        <w:t xml:space="preserve">submit written requests for information </w:t>
      </w:r>
      <w:r w:rsidR="004464F3">
        <w:t xml:space="preserve">through the Q&amp;A </w:t>
      </w:r>
      <w:r w:rsidR="00CF665C">
        <w:t>and chat panels</w:t>
      </w:r>
      <w:r w:rsidRPr="00CB2CB5">
        <w:t xml:space="preserve"> during the meetings</w:t>
      </w:r>
      <w:r w:rsidR="00E223F6" w:rsidRPr="00CB2CB5">
        <w:t>,</w:t>
      </w:r>
    </w:p>
    <w:p w14:paraId="2B088FBC" w14:textId="77777777" w:rsidR="00F30283" w:rsidRPr="00CB2CB5" w:rsidRDefault="00F30283" w:rsidP="00660412">
      <w:pPr>
        <w:numPr>
          <w:ilvl w:val="0"/>
          <w:numId w:val="7"/>
        </w:numPr>
        <w:spacing w:line="276" w:lineRule="auto"/>
        <w:ind w:left="900"/>
      </w:pPr>
      <w:r w:rsidRPr="00CB2CB5">
        <w:t>send EPE their written input or requests by email, during or after scheduled meeting</w:t>
      </w:r>
      <w:r w:rsidR="00E223F6" w:rsidRPr="00CB2CB5">
        <w:t>,</w:t>
      </w:r>
    </w:p>
    <w:p w14:paraId="5851719D" w14:textId="17E49917" w:rsidR="00F30283" w:rsidRPr="00CB2CB5" w:rsidRDefault="00F30283" w:rsidP="00FE1D07">
      <w:pPr>
        <w:spacing w:line="276" w:lineRule="auto"/>
        <w:ind w:left="540"/>
      </w:pPr>
      <w:r w:rsidRPr="00CB2CB5">
        <w:t xml:space="preserve"> </w:t>
      </w:r>
    </w:p>
    <w:p w14:paraId="30743A9B" w14:textId="332B7E96" w:rsidR="0006690A" w:rsidRPr="00CB2CB5" w:rsidRDefault="00F30283" w:rsidP="00286B74">
      <w:pPr>
        <w:keepNext/>
        <w:keepLines/>
        <w:spacing w:line="276" w:lineRule="auto"/>
        <w:ind w:left="547"/>
        <w:rPr>
          <w:b/>
        </w:rPr>
      </w:pPr>
      <w:r w:rsidRPr="00CB2CB5">
        <w:t xml:space="preserve">EPE received and considered all views and opinions expressed during the </w:t>
      </w:r>
      <w:r w:rsidR="004D1BAD" w:rsidRPr="00CB2CB5">
        <w:t>P</w:t>
      </w:r>
      <w:r w:rsidRPr="00CB2CB5">
        <w:t xml:space="preserve">ublic </w:t>
      </w:r>
      <w:r w:rsidR="004D1BAD" w:rsidRPr="00CB2CB5">
        <w:t>P</w:t>
      </w:r>
      <w:r w:rsidRPr="00CB2CB5">
        <w:t xml:space="preserve">rocess. </w:t>
      </w:r>
    </w:p>
    <w:p w14:paraId="6CE2D4B3" w14:textId="77777777" w:rsidR="00B34736" w:rsidRPr="00CB2CB5" w:rsidRDefault="00B34736" w:rsidP="0046082D">
      <w:pPr>
        <w:spacing w:line="276" w:lineRule="auto"/>
        <w:ind w:left="547"/>
        <w:rPr>
          <w:b/>
        </w:rPr>
      </w:pPr>
    </w:p>
    <w:p w14:paraId="5506D44E" w14:textId="77777777" w:rsidR="00F30283" w:rsidRPr="00CB2CB5" w:rsidRDefault="00F30283" w:rsidP="008759DE">
      <w:pPr>
        <w:pStyle w:val="ListParagraph"/>
        <w:keepNext/>
        <w:keepLines/>
        <w:numPr>
          <w:ilvl w:val="0"/>
          <w:numId w:val="21"/>
        </w:numPr>
        <w:spacing w:after="0" w:line="276" w:lineRule="auto"/>
        <w:ind w:left="1094" w:hanging="547"/>
        <w:contextualSpacing w:val="0"/>
        <w:rPr>
          <w:rFonts w:ascii="Times New Roman" w:hAnsi="Times New Roman"/>
          <w:b/>
          <w:sz w:val="24"/>
        </w:rPr>
      </w:pPr>
      <w:r w:rsidRPr="00CB2CB5">
        <w:rPr>
          <w:rFonts w:ascii="Times New Roman" w:hAnsi="Times New Roman"/>
          <w:b/>
          <w:sz w:val="24"/>
        </w:rPr>
        <w:t>Conclusion of Public Advisory Process</w:t>
      </w:r>
    </w:p>
    <w:p w14:paraId="020BA927" w14:textId="77777777" w:rsidR="00A529B2" w:rsidRPr="00CB2CB5" w:rsidRDefault="00A529B2" w:rsidP="008759DE">
      <w:pPr>
        <w:spacing w:line="276" w:lineRule="auto"/>
        <w:ind w:left="540"/>
      </w:pPr>
    </w:p>
    <w:p w14:paraId="1464F777" w14:textId="60E317DF" w:rsidR="00A529B2" w:rsidRPr="00CB2CB5" w:rsidRDefault="000E6CAD" w:rsidP="008759DE">
      <w:pPr>
        <w:spacing w:line="276" w:lineRule="auto"/>
        <w:ind w:left="540"/>
      </w:pPr>
      <w:r w:rsidRPr="000E6CAD">
        <w:t xml:space="preserve">Due to the pandemic and New Mexico Governor </w:t>
      </w:r>
      <w:proofErr w:type="spellStart"/>
      <w:r w:rsidRPr="000E6CAD">
        <w:t>Grishams</w:t>
      </w:r>
      <w:proofErr w:type="spellEnd"/>
      <w:r w:rsidRPr="000E6CAD">
        <w:t xml:space="preserve"> Executive Orders, </w:t>
      </w:r>
      <w:r w:rsidR="00F30283" w:rsidRPr="000E6CAD">
        <w:t xml:space="preserve">EPE made a significant effort to </w:t>
      </w:r>
      <w:r w:rsidR="00DF7BF4">
        <w:t>provide the public as much access as possible</w:t>
      </w:r>
      <w:r w:rsidR="00F30283" w:rsidRPr="000E6CAD">
        <w:t xml:space="preserve"> </w:t>
      </w:r>
      <w:proofErr w:type="gramStart"/>
      <w:r w:rsidR="00F30283" w:rsidRPr="000E6CAD">
        <w:t>in order to</w:t>
      </w:r>
      <w:proofErr w:type="gramEnd"/>
      <w:r w:rsidR="00F30283" w:rsidRPr="000E6CAD">
        <w:t xml:space="preserve"> make it a more inclusive and interactive process. By providing the </w:t>
      </w:r>
      <w:r w:rsidR="00122534" w:rsidRPr="000E6CAD">
        <w:t xml:space="preserve">Participants </w:t>
      </w:r>
      <w:r w:rsidR="00F30283" w:rsidRPr="000E6CAD">
        <w:t xml:space="preserve">with additional features such as increasing the number of meetings and public discussion time, and including a written request and response option, EPE </w:t>
      </w:r>
      <w:r w:rsidR="00DF7BF4">
        <w:t>made the</w:t>
      </w:r>
      <w:r w:rsidR="00F30283" w:rsidRPr="000E6CAD">
        <w:t xml:space="preserve"> </w:t>
      </w:r>
      <w:r w:rsidR="00DF7BF4">
        <w:t>p</w:t>
      </w:r>
      <w:r w:rsidR="00F30283" w:rsidRPr="000E6CAD">
        <w:t xml:space="preserve">ublic </w:t>
      </w:r>
      <w:r w:rsidR="00DF7BF4">
        <w:t>p</w:t>
      </w:r>
      <w:r w:rsidR="00F30283" w:rsidRPr="000E6CAD">
        <w:t xml:space="preserve">rocess </w:t>
      </w:r>
      <w:r w:rsidR="00DF7BF4">
        <w:t>as accessible and as effective as possible under the circumstances</w:t>
      </w:r>
      <w:r w:rsidR="00F30283" w:rsidRPr="000E6CAD">
        <w:t>.</w:t>
      </w:r>
      <w:r w:rsidR="00F30283" w:rsidRPr="00CB2CB5">
        <w:t xml:space="preserve"> </w:t>
      </w:r>
    </w:p>
    <w:p w14:paraId="00764FDA" w14:textId="77777777" w:rsidR="00A529B2" w:rsidRPr="00CB2CB5" w:rsidRDefault="00A529B2" w:rsidP="008759DE">
      <w:pPr>
        <w:spacing w:line="276" w:lineRule="auto"/>
        <w:ind w:left="540"/>
      </w:pPr>
    </w:p>
    <w:p w14:paraId="55E20A7A" w14:textId="77777777" w:rsidR="001329C9" w:rsidRPr="00CB2CB5" w:rsidRDefault="00925B19" w:rsidP="008759DE">
      <w:pPr>
        <w:pStyle w:val="Heading1"/>
        <w:keepNext/>
        <w:keepLines/>
        <w:widowControl/>
        <w:numPr>
          <w:ilvl w:val="0"/>
          <w:numId w:val="23"/>
        </w:numPr>
        <w:tabs>
          <w:tab w:val="left" w:pos="720"/>
        </w:tabs>
        <w:autoSpaceDE/>
        <w:autoSpaceDN/>
        <w:spacing w:before="0" w:line="276" w:lineRule="auto"/>
        <w:ind w:hanging="720"/>
        <w:jc w:val="both"/>
      </w:pPr>
      <w:bookmarkStart w:id="69" w:name="_Toc534190339"/>
      <w:r w:rsidRPr="00CB2CB5">
        <w:lastRenderedPageBreak/>
        <w:t>CONCLUSION</w:t>
      </w:r>
      <w:bookmarkEnd w:id="69"/>
      <w:r w:rsidR="001329C9" w:rsidRPr="00CB2CB5">
        <w:t xml:space="preserve"> </w:t>
      </w:r>
    </w:p>
    <w:p w14:paraId="5BB8D192" w14:textId="77777777" w:rsidR="001329C9" w:rsidRPr="00CB2CB5" w:rsidRDefault="001329C9" w:rsidP="008759DE">
      <w:pPr>
        <w:spacing w:line="276" w:lineRule="auto"/>
        <w:jc w:val="left"/>
      </w:pPr>
    </w:p>
    <w:p w14:paraId="5C4CBEE1" w14:textId="77777777" w:rsidR="00931EE0" w:rsidRPr="00CB2CB5" w:rsidRDefault="00931EE0" w:rsidP="008759DE">
      <w:pPr>
        <w:keepNext/>
        <w:keepLines/>
        <w:spacing w:line="276" w:lineRule="auto"/>
        <w:ind w:left="720"/>
        <w:rPr>
          <w:rFonts w:eastAsia="Times New Roman"/>
        </w:rPr>
      </w:pPr>
      <w:r w:rsidRPr="00CB2CB5">
        <w:rPr>
          <w:rFonts w:eastAsia="Times New Roman"/>
        </w:rPr>
        <w:t xml:space="preserve">The identified resource </w:t>
      </w:r>
      <w:r w:rsidR="00EB4861" w:rsidRPr="00CB2CB5">
        <w:rPr>
          <w:rFonts w:eastAsia="Times New Roman"/>
        </w:rPr>
        <w:t xml:space="preserve">additions result in the optimal </w:t>
      </w:r>
      <w:r w:rsidR="002302CF" w:rsidRPr="00CB2CB5">
        <w:rPr>
          <w:rFonts w:eastAsia="Times New Roman"/>
        </w:rPr>
        <w:t>cost-effective</w:t>
      </w:r>
      <w:r w:rsidR="00EB4861" w:rsidRPr="00CB2CB5">
        <w:rPr>
          <w:rFonts w:eastAsia="Times New Roman"/>
        </w:rPr>
        <w:t xml:space="preserve"> resource portfolio and were</w:t>
      </w:r>
      <w:r w:rsidRPr="00CB2CB5">
        <w:rPr>
          <w:rFonts w:eastAsia="Times New Roman"/>
        </w:rPr>
        <w:t xml:space="preserve"> identified through a robust and comprehensive Planning Process.  The resulting resource portfolio additions include a mix of solar, battery storage, and conventional gas generation.  The battery storage and conventional gas generation resources compliment the solar resources, which are intermittent in nature.  It is noted that the actual resource additions in the future will be determined by results of competitive requests for proposals and may differ based on future changes to forecasted loads, economic conditions, technological advances, </w:t>
      </w:r>
      <w:r w:rsidR="00C53900" w:rsidRPr="00CB2CB5">
        <w:rPr>
          <w:rFonts w:eastAsia="Times New Roman"/>
        </w:rPr>
        <w:t xml:space="preserve">specific generation resource proposals, </w:t>
      </w:r>
      <w:r w:rsidRPr="00CB2CB5">
        <w:rPr>
          <w:rFonts w:eastAsia="Times New Roman"/>
        </w:rPr>
        <w:t>and environmental and regulatory standards.</w:t>
      </w:r>
    </w:p>
    <w:p w14:paraId="0743ACB6" w14:textId="77777777" w:rsidR="0046082D" w:rsidRPr="00CB2CB5" w:rsidRDefault="0046082D" w:rsidP="008759DE">
      <w:pPr>
        <w:keepNext/>
        <w:keepLines/>
        <w:spacing w:line="276" w:lineRule="auto"/>
        <w:ind w:left="720"/>
        <w:rPr>
          <w:rFonts w:eastAsia="Times New Roman"/>
        </w:rPr>
      </w:pPr>
    </w:p>
    <w:p w14:paraId="4CFD1243" w14:textId="61934314" w:rsidR="006138F4" w:rsidRDefault="006138F4" w:rsidP="00CB2CB5">
      <w:pPr>
        <w:rPr>
          <w:rFonts w:asciiTheme="minorHAnsi" w:hAnsiTheme="minorHAnsi"/>
          <w:sz w:val="22"/>
          <w:szCs w:val="22"/>
        </w:rPr>
      </w:pPr>
    </w:p>
    <w:p w14:paraId="69813EDD" w14:textId="1E559401" w:rsidR="00F42E4A" w:rsidRDefault="00F42E4A" w:rsidP="00CB2CB5">
      <w:pPr>
        <w:rPr>
          <w:rFonts w:asciiTheme="minorHAnsi" w:hAnsiTheme="minorHAnsi"/>
          <w:sz w:val="22"/>
          <w:szCs w:val="22"/>
        </w:rPr>
      </w:pPr>
    </w:p>
    <w:p w14:paraId="541BBD88" w14:textId="4742FC13" w:rsidR="00F42E4A" w:rsidRDefault="00F42E4A" w:rsidP="00CB2CB5">
      <w:pPr>
        <w:rPr>
          <w:rFonts w:asciiTheme="minorHAnsi" w:hAnsiTheme="minorHAnsi"/>
          <w:sz w:val="22"/>
          <w:szCs w:val="22"/>
        </w:rPr>
      </w:pPr>
    </w:p>
    <w:p w14:paraId="6FCD2D6E" w14:textId="2D54CE92" w:rsidR="00F42E4A" w:rsidRDefault="00F42E4A" w:rsidP="00CB2CB5">
      <w:pPr>
        <w:rPr>
          <w:rFonts w:asciiTheme="minorHAnsi" w:hAnsiTheme="minorHAnsi"/>
          <w:sz w:val="22"/>
          <w:szCs w:val="22"/>
        </w:rPr>
      </w:pPr>
    </w:p>
    <w:p w14:paraId="29858963" w14:textId="02F46659" w:rsidR="00F42E4A" w:rsidRDefault="00F42E4A" w:rsidP="00CB2CB5">
      <w:pPr>
        <w:rPr>
          <w:rFonts w:asciiTheme="minorHAnsi" w:hAnsiTheme="minorHAnsi"/>
          <w:sz w:val="22"/>
          <w:szCs w:val="22"/>
        </w:rPr>
      </w:pPr>
    </w:p>
    <w:p w14:paraId="75070D77" w14:textId="2A9C83B9" w:rsidR="00F42E4A" w:rsidRDefault="00F42E4A" w:rsidP="00CB2CB5">
      <w:pPr>
        <w:rPr>
          <w:rFonts w:asciiTheme="minorHAnsi" w:hAnsiTheme="minorHAnsi"/>
          <w:sz w:val="22"/>
          <w:szCs w:val="22"/>
        </w:rPr>
      </w:pPr>
    </w:p>
    <w:p w14:paraId="51761391" w14:textId="39D986D4" w:rsidR="00F42E4A" w:rsidRDefault="00F42E4A" w:rsidP="00CB2CB5">
      <w:pPr>
        <w:rPr>
          <w:rFonts w:asciiTheme="minorHAnsi" w:hAnsiTheme="minorHAnsi"/>
          <w:sz w:val="22"/>
          <w:szCs w:val="22"/>
        </w:rPr>
      </w:pPr>
    </w:p>
    <w:p w14:paraId="69165518" w14:textId="18CB7102" w:rsidR="00F42E4A" w:rsidRDefault="00F42E4A" w:rsidP="00CB2CB5">
      <w:pPr>
        <w:rPr>
          <w:rFonts w:asciiTheme="minorHAnsi" w:hAnsiTheme="minorHAnsi"/>
          <w:sz w:val="22"/>
          <w:szCs w:val="22"/>
        </w:rPr>
      </w:pPr>
    </w:p>
    <w:p w14:paraId="4FBB13CC" w14:textId="56F34A2E" w:rsidR="00F42E4A" w:rsidRDefault="00F42E4A" w:rsidP="00CB2CB5">
      <w:pPr>
        <w:rPr>
          <w:rFonts w:asciiTheme="minorHAnsi" w:hAnsiTheme="minorHAnsi"/>
          <w:sz w:val="22"/>
          <w:szCs w:val="22"/>
        </w:rPr>
      </w:pPr>
    </w:p>
    <w:p w14:paraId="4E71B514" w14:textId="7B3CAF75" w:rsidR="00F42E4A" w:rsidRDefault="00F42E4A" w:rsidP="00CB2CB5">
      <w:pPr>
        <w:rPr>
          <w:rFonts w:asciiTheme="minorHAnsi" w:hAnsiTheme="minorHAnsi"/>
          <w:sz w:val="22"/>
          <w:szCs w:val="22"/>
        </w:rPr>
      </w:pPr>
    </w:p>
    <w:p w14:paraId="62240A9F" w14:textId="1BB85DFD" w:rsidR="00F42E4A" w:rsidRDefault="00F42E4A" w:rsidP="00CB2CB5">
      <w:pPr>
        <w:rPr>
          <w:rFonts w:asciiTheme="minorHAnsi" w:hAnsiTheme="minorHAnsi"/>
          <w:sz w:val="22"/>
          <w:szCs w:val="22"/>
        </w:rPr>
      </w:pPr>
    </w:p>
    <w:p w14:paraId="0AFA7FCA" w14:textId="470529CC" w:rsidR="00F42E4A" w:rsidRDefault="00F42E4A" w:rsidP="00CB2CB5">
      <w:pPr>
        <w:rPr>
          <w:rFonts w:asciiTheme="minorHAnsi" w:hAnsiTheme="minorHAnsi"/>
          <w:sz w:val="22"/>
          <w:szCs w:val="22"/>
        </w:rPr>
      </w:pPr>
    </w:p>
    <w:p w14:paraId="22C18873" w14:textId="77777777" w:rsidR="000E4ABA" w:rsidRDefault="00F42E4A" w:rsidP="00CB2CB5">
      <w:pPr>
        <w:rPr>
          <w:rFonts w:asciiTheme="minorHAnsi" w:hAnsiTheme="minorHAnsi"/>
          <w:sz w:val="22"/>
          <w:szCs w:val="22"/>
        </w:rPr>
      </w:pPr>
      <w:r>
        <w:rPr>
          <w:noProof/>
        </w:rPr>
        <w:lastRenderedPageBreak/>
        <w:drawing>
          <wp:inline distT="0" distB="0" distL="0" distR="0" wp14:anchorId="6C7D77F8" wp14:editId="2669ED0A">
            <wp:extent cx="5943600" cy="42437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243705"/>
                    </a:xfrm>
                    <a:prstGeom prst="rect">
                      <a:avLst/>
                    </a:prstGeom>
                  </pic:spPr>
                </pic:pic>
              </a:graphicData>
            </a:graphic>
          </wp:inline>
        </w:drawing>
      </w:r>
    </w:p>
    <w:p w14:paraId="2C21408A" w14:textId="35F4A624" w:rsidR="00F42E4A" w:rsidRDefault="000E4ABA" w:rsidP="00CB2CB5">
      <w:pPr>
        <w:rPr>
          <w:rFonts w:asciiTheme="minorHAnsi" w:hAnsiTheme="minorHAnsi"/>
          <w:sz w:val="22"/>
          <w:szCs w:val="22"/>
        </w:rPr>
      </w:pPr>
      <w:r>
        <w:rPr>
          <w:noProof/>
        </w:rPr>
        <w:lastRenderedPageBreak/>
        <w:drawing>
          <wp:inline distT="0" distB="0" distL="0" distR="0" wp14:anchorId="78BA31CC" wp14:editId="3DAFF7B5">
            <wp:extent cx="5943600" cy="46729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672965"/>
                    </a:xfrm>
                    <a:prstGeom prst="rect">
                      <a:avLst/>
                    </a:prstGeom>
                  </pic:spPr>
                </pic:pic>
              </a:graphicData>
            </a:graphic>
          </wp:inline>
        </w:drawing>
      </w:r>
      <w:r>
        <w:rPr>
          <w:noProof/>
        </w:rPr>
        <w:lastRenderedPageBreak/>
        <w:drawing>
          <wp:inline distT="0" distB="0" distL="0" distR="0" wp14:anchorId="6D3F9F63" wp14:editId="767C55DD">
            <wp:extent cx="5943600" cy="46450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645025"/>
                    </a:xfrm>
                    <a:prstGeom prst="rect">
                      <a:avLst/>
                    </a:prstGeom>
                  </pic:spPr>
                </pic:pic>
              </a:graphicData>
            </a:graphic>
          </wp:inline>
        </w:drawing>
      </w:r>
      <w:r>
        <w:rPr>
          <w:noProof/>
        </w:rPr>
        <w:lastRenderedPageBreak/>
        <w:drawing>
          <wp:inline distT="0" distB="0" distL="0" distR="0" wp14:anchorId="4E75CA58" wp14:editId="049D107B">
            <wp:extent cx="5943600" cy="5247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247640"/>
                    </a:xfrm>
                    <a:prstGeom prst="rect">
                      <a:avLst/>
                    </a:prstGeom>
                  </pic:spPr>
                </pic:pic>
              </a:graphicData>
            </a:graphic>
          </wp:inline>
        </w:drawing>
      </w:r>
    </w:p>
    <w:p w14:paraId="059672D9" w14:textId="19F07623" w:rsidR="00A07538" w:rsidRPr="00A70657" w:rsidRDefault="00A07538" w:rsidP="00CB2CB5">
      <w:pPr>
        <w:rPr>
          <w:rFonts w:asciiTheme="minorHAnsi" w:hAnsiTheme="minorHAnsi"/>
          <w:sz w:val="22"/>
          <w:szCs w:val="22"/>
        </w:rPr>
      </w:pPr>
      <w:r>
        <w:rPr>
          <w:noProof/>
        </w:rPr>
        <w:lastRenderedPageBreak/>
        <w:drawing>
          <wp:inline distT="0" distB="0" distL="0" distR="0" wp14:anchorId="38F0D703" wp14:editId="5A547B16">
            <wp:extent cx="5943600" cy="43764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376420"/>
                    </a:xfrm>
                    <a:prstGeom prst="rect">
                      <a:avLst/>
                    </a:prstGeom>
                  </pic:spPr>
                </pic:pic>
              </a:graphicData>
            </a:graphic>
          </wp:inline>
        </w:drawing>
      </w:r>
    </w:p>
    <w:sectPr w:rsidR="00A07538" w:rsidRPr="00A70657" w:rsidSect="00B82A5D">
      <w:headerReference w:type="even" r:id="rId59"/>
      <w:footerReference w:type="even" r:id="rId60"/>
      <w:footerReference w:type="default" r:id="rId61"/>
      <w:headerReference w:type="first" r:id="rId6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E81A0" w14:textId="77777777" w:rsidR="001730EF" w:rsidRDefault="001730EF" w:rsidP="005E170D">
      <w:pPr>
        <w:spacing w:line="240" w:lineRule="auto"/>
      </w:pPr>
      <w:r>
        <w:separator/>
      </w:r>
    </w:p>
  </w:endnote>
  <w:endnote w:type="continuationSeparator" w:id="0">
    <w:p w14:paraId="51DE386A" w14:textId="77777777" w:rsidR="001730EF" w:rsidRDefault="001730EF" w:rsidP="005E1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0B1AB" w14:textId="5D793AB1" w:rsidR="00BA09F0" w:rsidRPr="004D2436" w:rsidRDefault="00BA09F0" w:rsidP="004275C1">
    <w:pPr>
      <w:pStyle w:val="Footer"/>
      <w:tabs>
        <w:tab w:val="clear" w:pos="4680"/>
        <w:tab w:val="clear" w:pos="9360"/>
      </w:tabs>
      <w:jc w:val="left"/>
      <w:rPr>
        <w:noProof/>
        <w:color w:val="404040" w:themeColor="text1" w:themeTint="BF"/>
        <w:sz w:val="20"/>
        <w:szCs w:val="20"/>
      </w:rPr>
    </w:pPr>
    <w:r>
      <w:rPr>
        <w:noProof/>
        <w:color w:val="404040" w:themeColor="text1" w:themeTint="BF"/>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A1D39" w14:textId="77777777" w:rsidR="00BA09F0" w:rsidRPr="004D2436" w:rsidRDefault="00BA09F0" w:rsidP="004D2436">
    <w:pPr>
      <w:pStyle w:val="Footer"/>
      <w:pBdr>
        <w:top w:val="single" w:sz="4" w:space="1" w:color="auto"/>
      </w:pBdr>
      <w:tabs>
        <w:tab w:val="clear" w:pos="4680"/>
        <w:tab w:val="clear" w:pos="9360"/>
        <w:tab w:val="right" w:pos="9270"/>
      </w:tabs>
      <w:spacing w:before="120"/>
      <w:jc w:val="left"/>
      <w:rPr>
        <w:noProof/>
        <w:color w:val="404040" w:themeColor="text1" w:themeTint="BF"/>
        <w:sz w:val="20"/>
        <w:szCs w:val="20"/>
      </w:rPr>
    </w:pPr>
    <w:r w:rsidRPr="004D2436">
      <w:rPr>
        <w:noProof/>
        <w:color w:val="404040" w:themeColor="text1" w:themeTint="BF"/>
        <w:sz w:val="20"/>
        <w:szCs w:val="20"/>
      </w:rPr>
      <w:t>El Paso Electric Company</w:t>
    </w:r>
    <w:r w:rsidRPr="004D2436">
      <w:rPr>
        <w:noProof/>
        <w:color w:val="404040" w:themeColor="text1" w:themeTint="BF"/>
        <w:sz w:val="20"/>
        <w:szCs w:val="20"/>
      </w:rPr>
      <w:tab/>
    </w:r>
    <w:r>
      <w:rPr>
        <w:noProof/>
        <w:color w:val="404040" w:themeColor="text1" w:themeTint="BF"/>
        <w:sz w:val="20"/>
        <w:szCs w:val="20"/>
      </w:rPr>
      <w:t xml:space="preserve">Page </w:t>
    </w:r>
    <w:r w:rsidRPr="004D2436">
      <w:rPr>
        <w:noProof/>
        <w:color w:val="404040" w:themeColor="text1" w:themeTint="BF"/>
        <w:sz w:val="20"/>
        <w:szCs w:val="20"/>
      </w:rPr>
      <w:fldChar w:fldCharType="begin"/>
    </w:r>
    <w:r w:rsidRPr="004D2436">
      <w:rPr>
        <w:noProof/>
        <w:color w:val="404040" w:themeColor="text1" w:themeTint="BF"/>
        <w:sz w:val="20"/>
        <w:szCs w:val="20"/>
      </w:rPr>
      <w:instrText xml:space="preserve"> PAGE   \* MERGEFORMAT </w:instrText>
    </w:r>
    <w:r w:rsidRPr="004D2436">
      <w:rPr>
        <w:noProof/>
        <w:color w:val="404040" w:themeColor="text1" w:themeTint="BF"/>
        <w:sz w:val="20"/>
        <w:szCs w:val="20"/>
      </w:rPr>
      <w:fldChar w:fldCharType="separate"/>
    </w:r>
    <w:r>
      <w:rPr>
        <w:noProof/>
        <w:color w:val="404040" w:themeColor="text1" w:themeTint="BF"/>
        <w:sz w:val="20"/>
        <w:szCs w:val="20"/>
      </w:rPr>
      <w:t>iv</w:t>
    </w:r>
    <w:r w:rsidRPr="004D2436">
      <w:rPr>
        <w:noProof/>
        <w:color w:val="404040" w:themeColor="text1" w:themeTint="BF"/>
        <w:sz w:val="20"/>
        <w:szCs w:val="20"/>
      </w:rPr>
      <w:fldChar w:fldCharType="end"/>
    </w:r>
  </w:p>
  <w:p w14:paraId="57B003F3" w14:textId="6834E773" w:rsidR="00BA09F0" w:rsidRPr="004D2436" w:rsidRDefault="00BA09F0" w:rsidP="004D2436">
    <w:pPr>
      <w:pStyle w:val="Footer"/>
      <w:tabs>
        <w:tab w:val="clear" w:pos="4680"/>
        <w:tab w:val="clear" w:pos="9360"/>
      </w:tabs>
      <w:jc w:val="left"/>
      <w:rPr>
        <w:noProof/>
        <w:color w:val="404040" w:themeColor="text1" w:themeTint="BF"/>
        <w:sz w:val="20"/>
        <w:szCs w:val="20"/>
      </w:rPr>
    </w:pPr>
    <w:r w:rsidRPr="004D2436">
      <w:rPr>
        <w:noProof/>
        <w:color w:val="404040" w:themeColor="text1" w:themeTint="BF"/>
        <w:sz w:val="20"/>
        <w:szCs w:val="20"/>
      </w:rPr>
      <w:t>20</w:t>
    </w:r>
    <w:r>
      <w:rPr>
        <w:noProof/>
        <w:color w:val="404040" w:themeColor="text1" w:themeTint="BF"/>
        <w:sz w:val="20"/>
        <w:szCs w:val="20"/>
      </w:rPr>
      <w:t>21</w:t>
    </w:r>
    <w:r w:rsidRPr="004D2436">
      <w:rPr>
        <w:noProof/>
        <w:color w:val="404040" w:themeColor="text1" w:themeTint="BF"/>
        <w:sz w:val="20"/>
        <w:szCs w:val="20"/>
      </w:rPr>
      <w:t xml:space="preserve"> Integrated Resource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41D53" w14:textId="77777777" w:rsidR="00BA09F0" w:rsidRDefault="00BA09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09219" w14:textId="1882DF75" w:rsidR="00BA09F0" w:rsidRPr="004D2436" w:rsidRDefault="00BA09F0" w:rsidP="006C7935">
    <w:pPr>
      <w:pStyle w:val="Footer"/>
      <w:pBdr>
        <w:top w:val="single" w:sz="4" w:space="1" w:color="auto"/>
      </w:pBdr>
      <w:tabs>
        <w:tab w:val="clear" w:pos="4680"/>
        <w:tab w:val="clear" w:pos="9360"/>
        <w:tab w:val="left" w:pos="6315"/>
        <w:tab w:val="right" w:pos="9270"/>
      </w:tabs>
      <w:spacing w:before="120"/>
      <w:jc w:val="left"/>
      <w:rPr>
        <w:noProof/>
        <w:color w:val="404040" w:themeColor="text1" w:themeTint="BF"/>
        <w:sz w:val="20"/>
        <w:szCs w:val="20"/>
      </w:rPr>
    </w:pPr>
    <w:r w:rsidRPr="004D2436">
      <w:rPr>
        <w:noProof/>
        <w:color w:val="404040" w:themeColor="text1" w:themeTint="BF"/>
        <w:sz w:val="20"/>
        <w:szCs w:val="20"/>
      </w:rPr>
      <w:t>El Paso Electric Company</w:t>
    </w:r>
    <w:r w:rsidRPr="004D2436">
      <w:rPr>
        <w:noProof/>
        <w:color w:val="404040" w:themeColor="text1" w:themeTint="BF"/>
        <w:sz w:val="20"/>
        <w:szCs w:val="20"/>
      </w:rPr>
      <w:tab/>
    </w:r>
    <w:r>
      <w:rPr>
        <w:noProof/>
        <w:color w:val="404040" w:themeColor="text1" w:themeTint="BF"/>
        <w:sz w:val="20"/>
        <w:szCs w:val="20"/>
      </w:rPr>
      <w:tab/>
    </w:r>
    <w:r w:rsidRPr="004D2436">
      <w:rPr>
        <w:noProof/>
        <w:color w:val="404040" w:themeColor="text1" w:themeTint="BF"/>
        <w:sz w:val="20"/>
        <w:szCs w:val="20"/>
      </w:rPr>
      <w:t xml:space="preserve">Page </w:t>
    </w:r>
    <w:r>
      <w:rPr>
        <w:noProof/>
        <w:color w:val="404040" w:themeColor="text1" w:themeTint="BF"/>
        <w:sz w:val="20"/>
        <w:szCs w:val="20"/>
      </w:rPr>
      <w:fldChar w:fldCharType="begin"/>
    </w:r>
    <w:r>
      <w:rPr>
        <w:noProof/>
        <w:color w:val="404040" w:themeColor="text1" w:themeTint="BF"/>
        <w:sz w:val="20"/>
        <w:szCs w:val="20"/>
      </w:rPr>
      <w:instrText xml:space="preserve"> PAGE  \* roman  \* MERGEFORMAT </w:instrText>
    </w:r>
    <w:r>
      <w:rPr>
        <w:noProof/>
        <w:color w:val="404040" w:themeColor="text1" w:themeTint="BF"/>
        <w:sz w:val="20"/>
        <w:szCs w:val="20"/>
      </w:rPr>
      <w:fldChar w:fldCharType="separate"/>
    </w:r>
    <w:r>
      <w:rPr>
        <w:noProof/>
        <w:color w:val="404040" w:themeColor="text1" w:themeTint="BF"/>
        <w:sz w:val="20"/>
        <w:szCs w:val="20"/>
      </w:rPr>
      <w:t>ii</w:t>
    </w:r>
    <w:r>
      <w:rPr>
        <w:noProof/>
        <w:color w:val="404040" w:themeColor="text1" w:themeTint="BF"/>
        <w:sz w:val="20"/>
        <w:szCs w:val="20"/>
      </w:rPr>
      <w:fldChar w:fldCharType="end"/>
    </w:r>
  </w:p>
  <w:p w14:paraId="25D19D74" w14:textId="50A00C74" w:rsidR="00BA09F0" w:rsidRPr="004D2436" w:rsidRDefault="00BA09F0" w:rsidP="004D2436">
    <w:pPr>
      <w:pStyle w:val="Footer"/>
      <w:tabs>
        <w:tab w:val="clear" w:pos="4680"/>
        <w:tab w:val="clear" w:pos="9360"/>
      </w:tabs>
      <w:jc w:val="left"/>
      <w:rPr>
        <w:noProof/>
        <w:color w:val="404040" w:themeColor="text1" w:themeTint="BF"/>
        <w:sz w:val="20"/>
        <w:szCs w:val="20"/>
      </w:rPr>
    </w:pPr>
    <w:r w:rsidRPr="004D2436">
      <w:rPr>
        <w:noProof/>
        <w:color w:val="404040" w:themeColor="text1" w:themeTint="BF"/>
        <w:sz w:val="20"/>
        <w:szCs w:val="20"/>
      </w:rPr>
      <w:t>20</w:t>
    </w:r>
    <w:r>
      <w:rPr>
        <w:noProof/>
        <w:color w:val="404040" w:themeColor="text1" w:themeTint="BF"/>
        <w:sz w:val="20"/>
        <w:szCs w:val="20"/>
      </w:rPr>
      <w:t>21</w:t>
    </w:r>
    <w:r w:rsidRPr="004D2436">
      <w:rPr>
        <w:noProof/>
        <w:color w:val="404040" w:themeColor="text1" w:themeTint="BF"/>
        <w:sz w:val="20"/>
        <w:szCs w:val="20"/>
      </w:rPr>
      <w:t xml:space="preserve"> Integrated Resource Plan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051B" w14:textId="24518072" w:rsidR="00BA09F0" w:rsidRPr="004D2436" w:rsidRDefault="00BA09F0" w:rsidP="006C7935">
    <w:pPr>
      <w:pStyle w:val="Footer"/>
      <w:pBdr>
        <w:top w:val="single" w:sz="4" w:space="1" w:color="auto"/>
      </w:pBdr>
      <w:tabs>
        <w:tab w:val="clear" w:pos="4680"/>
        <w:tab w:val="clear" w:pos="9360"/>
        <w:tab w:val="left" w:pos="6315"/>
        <w:tab w:val="right" w:pos="9270"/>
      </w:tabs>
      <w:spacing w:before="120"/>
      <w:jc w:val="left"/>
      <w:rPr>
        <w:noProof/>
        <w:color w:val="404040" w:themeColor="text1" w:themeTint="BF"/>
        <w:sz w:val="20"/>
        <w:szCs w:val="20"/>
      </w:rPr>
    </w:pPr>
    <w:r w:rsidRPr="004D2436">
      <w:rPr>
        <w:noProof/>
        <w:color w:val="404040" w:themeColor="text1" w:themeTint="BF"/>
        <w:sz w:val="20"/>
        <w:szCs w:val="20"/>
      </w:rPr>
      <w:t>El Paso Electric Company</w:t>
    </w:r>
    <w:r w:rsidRPr="004D2436">
      <w:rPr>
        <w:noProof/>
        <w:color w:val="404040" w:themeColor="text1" w:themeTint="BF"/>
        <w:sz w:val="20"/>
        <w:szCs w:val="20"/>
      </w:rPr>
      <w:tab/>
    </w:r>
    <w:r>
      <w:rPr>
        <w:noProof/>
        <w:color w:val="404040" w:themeColor="text1" w:themeTint="BF"/>
        <w:sz w:val="20"/>
        <w:szCs w:val="20"/>
      </w:rPr>
      <w:tab/>
    </w:r>
    <w:r w:rsidRPr="004D2436">
      <w:rPr>
        <w:noProof/>
        <w:color w:val="404040" w:themeColor="text1" w:themeTint="BF"/>
        <w:sz w:val="20"/>
        <w:szCs w:val="20"/>
      </w:rPr>
      <w:t xml:space="preserve">Page </w:t>
    </w:r>
    <w:r>
      <w:rPr>
        <w:noProof/>
        <w:color w:val="404040" w:themeColor="text1" w:themeTint="BF"/>
        <w:sz w:val="20"/>
        <w:szCs w:val="20"/>
      </w:rPr>
      <w:t>v</w:t>
    </w:r>
  </w:p>
  <w:p w14:paraId="14BB8AA1" w14:textId="77777777" w:rsidR="00BA09F0" w:rsidRPr="004D2436" w:rsidRDefault="00BA09F0" w:rsidP="004D2436">
    <w:pPr>
      <w:pStyle w:val="Footer"/>
      <w:tabs>
        <w:tab w:val="clear" w:pos="4680"/>
        <w:tab w:val="clear" w:pos="9360"/>
      </w:tabs>
      <w:jc w:val="left"/>
      <w:rPr>
        <w:noProof/>
        <w:color w:val="404040" w:themeColor="text1" w:themeTint="BF"/>
        <w:sz w:val="20"/>
        <w:szCs w:val="20"/>
      </w:rPr>
    </w:pPr>
    <w:r w:rsidRPr="004D2436">
      <w:rPr>
        <w:noProof/>
        <w:color w:val="404040" w:themeColor="text1" w:themeTint="BF"/>
        <w:sz w:val="20"/>
        <w:szCs w:val="20"/>
      </w:rPr>
      <w:t>20</w:t>
    </w:r>
    <w:r>
      <w:rPr>
        <w:noProof/>
        <w:color w:val="404040" w:themeColor="text1" w:themeTint="BF"/>
        <w:sz w:val="20"/>
        <w:szCs w:val="20"/>
      </w:rPr>
      <w:t>21</w:t>
    </w:r>
    <w:r w:rsidRPr="004D2436">
      <w:rPr>
        <w:noProof/>
        <w:color w:val="404040" w:themeColor="text1" w:themeTint="BF"/>
        <w:sz w:val="20"/>
        <w:szCs w:val="20"/>
      </w:rPr>
      <w:t xml:space="preserve"> Integrated Resource Plan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91EE5" w14:textId="77777777" w:rsidR="00BA09F0" w:rsidRDefault="00BA09F0" w:rsidP="00AE601D">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A7662" w14:textId="0EB869EA" w:rsidR="00BA09F0" w:rsidRPr="004D2436" w:rsidRDefault="00BA09F0" w:rsidP="006C7935">
    <w:pPr>
      <w:pStyle w:val="Footer"/>
      <w:pBdr>
        <w:top w:val="single" w:sz="4" w:space="1" w:color="auto"/>
      </w:pBdr>
      <w:tabs>
        <w:tab w:val="clear" w:pos="4680"/>
        <w:tab w:val="clear" w:pos="9360"/>
        <w:tab w:val="left" w:pos="6315"/>
        <w:tab w:val="right" w:pos="9270"/>
      </w:tabs>
      <w:spacing w:before="120"/>
      <w:jc w:val="left"/>
      <w:rPr>
        <w:noProof/>
        <w:color w:val="404040" w:themeColor="text1" w:themeTint="BF"/>
        <w:sz w:val="20"/>
        <w:szCs w:val="20"/>
      </w:rPr>
    </w:pPr>
    <w:r w:rsidRPr="004D2436">
      <w:rPr>
        <w:noProof/>
        <w:color w:val="404040" w:themeColor="text1" w:themeTint="BF"/>
        <w:sz w:val="20"/>
        <w:szCs w:val="20"/>
      </w:rPr>
      <w:t>El Paso Electric Company</w:t>
    </w:r>
    <w:r w:rsidRPr="004D2436">
      <w:rPr>
        <w:noProof/>
        <w:color w:val="404040" w:themeColor="text1" w:themeTint="BF"/>
        <w:sz w:val="20"/>
        <w:szCs w:val="20"/>
      </w:rPr>
      <w:tab/>
    </w:r>
    <w:r>
      <w:rPr>
        <w:noProof/>
        <w:color w:val="404040" w:themeColor="text1" w:themeTint="BF"/>
        <w:sz w:val="20"/>
        <w:szCs w:val="20"/>
      </w:rPr>
      <w:tab/>
    </w:r>
    <w:r w:rsidRPr="004D2436">
      <w:rPr>
        <w:noProof/>
        <w:color w:val="404040" w:themeColor="text1" w:themeTint="BF"/>
        <w:sz w:val="20"/>
        <w:szCs w:val="20"/>
      </w:rPr>
      <w:t xml:space="preserve">Page </w:t>
    </w:r>
    <w:r>
      <w:rPr>
        <w:noProof/>
        <w:color w:val="404040" w:themeColor="text1" w:themeTint="BF"/>
        <w:sz w:val="20"/>
        <w:szCs w:val="20"/>
      </w:rPr>
      <w:fldChar w:fldCharType="begin"/>
    </w:r>
    <w:r>
      <w:rPr>
        <w:noProof/>
        <w:color w:val="404040" w:themeColor="text1" w:themeTint="BF"/>
        <w:sz w:val="20"/>
        <w:szCs w:val="20"/>
      </w:rPr>
      <w:instrText xml:space="preserve"> PAGE   \* MERGEFORMAT </w:instrText>
    </w:r>
    <w:r>
      <w:rPr>
        <w:noProof/>
        <w:color w:val="404040" w:themeColor="text1" w:themeTint="BF"/>
        <w:sz w:val="20"/>
        <w:szCs w:val="20"/>
      </w:rPr>
      <w:fldChar w:fldCharType="separate"/>
    </w:r>
    <w:r>
      <w:rPr>
        <w:noProof/>
        <w:color w:val="404040" w:themeColor="text1" w:themeTint="BF"/>
        <w:sz w:val="20"/>
        <w:szCs w:val="20"/>
      </w:rPr>
      <w:t>3</w:t>
    </w:r>
    <w:r>
      <w:rPr>
        <w:noProof/>
        <w:color w:val="404040" w:themeColor="text1" w:themeTint="BF"/>
        <w:sz w:val="20"/>
        <w:szCs w:val="20"/>
      </w:rPr>
      <w:fldChar w:fldCharType="end"/>
    </w:r>
  </w:p>
  <w:p w14:paraId="2EEC760E" w14:textId="77777777" w:rsidR="00BA09F0" w:rsidRPr="004D2436" w:rsidRDefault="00BA09F0" w:rsidP="004D2436">
    <w:pPr>
      <w:pStyle w:val="Footer"/>
      <w:tabs>
        <w:tab w:val="clear" w:pos="4680"/>
        <w:tab w:val="clear" w:pos="9360"/>
      </w:tabs>
      <w:jc w:val="left"/>
      <w:rPr>
        <w:noProof/>
        <w:color w:val="404040" w:themeColor="text1" w:themeTint="BF"/>
        <w:sz w:val="20"/>
        <w:szCs w:val="20"/>
      </w:rPr>
    </w:pPr>
    <w:r w:rsidRPr="004D2436">
      <w:rPr>
        <w:noProof/>
        <w:color w:val="404040" w:themeColor="text1" w:themeTint="BF"/>
        <w:sz w:val="20"/>
        <w:szCs w:val="20"/>
      </w:rPr>
      <w:t>20</w:t>
    </w:r>
    <w:r>
      <w:rPr>
        <w:noProof/>
        <w:color w:val="404040" w:themeColor="text1" w:themeTint="BF"/>
        <w:sz w:val="20"/>
        <w:szCs w:val="20"/>
      </w:rPr>
      <w:t>21</w:t>
    </w:r>
    <w:r w:rsidRPr="004D2436">
      <w:rPr>
        <w:noProof/>
        <w:color w:val="404040" w:themeColor="text1" w:themeTint="BF"/>
        <w:sz w:val="20"/>
        <w:szCs w:val="20"/>
      </w:rPr>
      <w:t xml:space="preserve"> Integrated Resource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CDA82" w14:textId="77777777" w:rsidR="001730EF" w:rsidRDefault="001730EF" w:rsidP="005E170D">
      <w:pPr>
        <w:spacing w:line="240" w:lineRule="auto"/>
      </w:pPr>
      <w:r>
        <w:separator/>
      </w:r>
    </w:p>
  </w:footnote>
  <w:footnote w:type="continuationSeparator" w:id="0">
    <w:p w14:paraId="73782982" w14:textId="77777777" w:rsidR="001730EF" w:rsidRDefault="001730EF" w:rsidP="005E170D">
      <w:pPr>
        <w:spacing w:line="240" w:lineRule="auto"/>
      </w:pPr>
      <w:r>
        <w:continuationSeparator/>
      </w:r>
    </w:p>
  </w:footnote>
  <w:footnote w:id="1">
    <w:p w14:paraId="3767FACC" w14:textId="7BE43CEC" w:rsidR="00BA09F0" w:rsidRDefault="00BA09F0">
      <w:pPr>
        <w:pStyle w:val="FootnoteText"/>
      </w:pPr>
      <w:r>
        <w:rPr>
          <w:rStyle w:val="FootnoteReference"/>
        </w:rPr>
        <w:footnoteRef/>
      </w:r>
      <w:r>
        <w:t xml:space="preserve"> Additionally, as addressed infra in relevant sections, this IRP is consistent with the Stipulation resolving protested issues in EPE’s Commission-accepted 2015 IRP approved by Commission Final Order in Case No 15-00241-UT.</w:t>
      </w:r>
    </w:p>
  </w:footnote>
  <w:footnote w:id="2">
    <w:p w14:paraId="7347A932" w14:textId="169FA0F5" w:rsidR="00BA09F0" w:rsidRDefault="00BA09F0">
      <w:pPr>
        <w:pStyle w:val="FootnoteText"/>
      </w:pPr>
      <w:r>
        <w:rPr>
          <w:rStyle w:val="FootnoteReference"/>
        </w:rPr>
        <w:footnoteRef/>
      </w:r>
      <w:r>
        <w:t xml:space="preserve"> Does not include Rio Grande Unit 6, which is subject to a pending abandonment proceeding in Case No. 20-00194-UT.</w:t>
      </w:r>
    </w:p>
  </w:footnote>
  <w:footnote w:id="3">
    <w:p w14:paraId="7B6F86F2" w14:textId="3A8AC445" w:rsidR="00BA09F0" w:rsidRDefault="00BA09F0">
      <w:pPr>
        <w:pStyle w:val="FootnoteText"/>
      </w:pPr>
      <w:r>
        <w:rPr>
          <w:rStyle w:val="FootnoteReference"/>
        </w:rPr>
        <w:footnoteRef/>
      </w:r>
      <w:r>
        <w:t xml:space="preserve"> The $30/MWh renewable energy credit (“REC”) premium for this facility approved by the Commission in Case No. 18-00099-UT, is subject to a Commission Stay Order issued in that docket, while pending a City of Las Cruces appeal of the Commission Final Order in that case to the New Mexico Supreme Court.</w:t>
      </w:r>
    </w:p>
  </w:footnote>
  <w:footnote w:id="4">
    <w:p w14:paraId="7CF366D4" w14:textId="7D71AA6B" w:rsidR="00BA09F0" w:rsidRDefault="00BA09F0">
      <w:pPr>
        <w:pStyle w:val="FootnoteText"/>
      </w:pPr>
      <w:r>
        <w:rPr>
          <w:rStyle w:val="FootnoteReference"/>
        </w:rPr>
        <w:footnoteRef/>
      </w:r>
      <w:r>
        <w:t xml:space="preserve"> EPE does own a 1 MW battery storage system coupled with the 3 MW Aggie Power project located at NMSU.</w:t>
      </w:r>
    </w:p>
  </w:footnote>
  <w:footnote w:id="5">
    <w:p w14:paraId="05E7AC44" w14:textId="77777777" w:rsidR="00BA09F0" w:rsidRDefault="00BA09F0">
      <w:pPr>
        <w:pStyle w:val="FootnoteText"/>
      </w:pPr>
      <w:r>
        <w:rPr>
          <w:rStyle w:val="FootnoteReference"/>
        </w:rPr>
        <w:footnoteRef/>
      </w:r>
      <w:r>
        <w:t xml:space="preserve"> NERC.  </w:t>
      </w:r>
      <w:hyperlink r:id="rId1" w:history="1">
        <w:r w:rsidRPr="00D35EDD">
          <w:rPr>
            <w:rStyle w:val="Hyperlink"/>
          </w:rPr>
          <w:t>https://www.nerc.com/AboutNERC/Pages/default.aspx</w:t>
        </w:r>
      </w:hyperlink>
    </w:p>
    <w:p w14:paraId="23C856E4" w14:textId="77777777" w:rsidR="00BA09F0" w:rsidRDefault="00BA09F0">
      <w:pPr>
        <w:pStyle w:val="FootnoteText"/>
      </w:pPr>
    </w:p>
  </w:footnote>
  <w:footnote w:id="6">
    <w:p w14:paraId="589E92A0" w14:textId="68073E92" w:rsidR="00BA09F0" w:rsidRDefault="00BA09F0">
      <w:pPr>
        <w:pStyle w:val="FootnoteText"/>
      </w:pPr>
      <w:r>
        <w:rPr>
          <w:rStyle w:val="FootnoteReference"/>
        </w:rPr>
        <w:footnoteRef/>
      </w:r>
      <w:r>
        <w:t xml:space="preserve"> </w:t>
      </w:r>
      <w:proofErr w:type="spellStart"/>
      <w:r>
        <w:t>NREL</w:t>
      </w:r>
      <w:proofErr w:type="spellEnd"/>
      <w:r>
        <w:t xml:space="preserve">.  LA100: The Los Angeles 100% Renewable Energy Study – Executive Summary.  pp. 29, 34. March 2021. </w:t>
      </w:r>
      <w:hyperlink r:id="rId2" w:history="1">
        <w:r w:rsidRPr="00207CB5">
          <w:rPr>
            <w:rStyle w:val="Hyperlink"/>
          </w:rPr>
          <w:t>https://www.nrel.gov/docs/fy21osti/79444-ES.pdf</w:t>
        </w:r>
      </w:hyperlink>
      <w:r>
        <w:t xml:space="preserve"> </w:t>
      </w:r>
    </w:p>
  </w:footnote>
  <w:footnote w:id="7">
    <w:p w14:paraId="20C11BE9" w14:textId="77777777" w:rsidR="00BA09F0" w:rsidRPr="007418F9" w:rsidRDefault="00BA09F0" w:rsidP="007418F9">
      <w:pPr>
        <w:spacing w:line="240" w:lineRule="auto"/>
        <w:rPr>
          <w:sz w:val="20"/>
          <w:szCs w:val="20"/>
        </w:rPr>
      </w:pPr>
      <w:r w:rsidRPr="007418F9">
        <w:rPr>
          <w:rStyle w:val="FootnoteReference"/>
          <w:sz w:val="20"/>
          <w:szCs w:val="20"/>
        </w:rPr>
        <w:footnoteRef/>
      </w:r>
      <w:r w:rsidRPr="007418F9">
        <w:rPr>
          <w:sz w:val="20"/>
          <w:szCs w:val="20"/>
        </w:rPr>
        <w:t xml:space="preserve"> Texas has a statewide goal for 10,000 mw of installed renewable generation located in Texas by 2025, with a target of 500 mw of it to be non-wind generation.  The goal is to be met through a requirement for each load serving entity in the state to retire their share of Renewable Energy Credits (RECs) each year.  El Paso Electric Company can obtain RECs for retirement either through producing such RECs from their own renewable generation located within Texas or purchasing them.  PURA Section 39.904, Goal for Renewable Energy, and 16 Tex. Admin. Code §25.173.</w:t>
      </w:r>
    </w:p>
    <w:p w14:paraId="0610EDA7" w14:textId="2B586B79" w:rsidR="00BA09F0" w:rsidRDefault="00BA09F0">
      <w:pPr>
        <w:pStyle w:val="FootnoteText"/>
      </w:pPr>
    </w:p>
  </w:footnote>
  <w:footnote w:id="8">
    <w:p w14:paraId="00930856" w14:textId="049045EA" w:rsidR="00BA09F0" w:rsidRDefault="00BA09F0" w:rsidP="00EF5BBB">
      <w:pPr>
        <w:pStyle w:val="FootnoteText"/>
      </w:pPr>
      <w:r>
        <w:rPr>
          <w:rStyle w:val="FootnoteReference"/>
        </w:rPr>
        <w:footnoteRef/>
      </w:r>
      <w:r>
        <w:t xml:space="preserve"> The New Mexico REA allows for consideration of reliability for the 2040 target of 80% renewable and the 2045 target of 100% carbon free.  The decision for if additional gas resources required are required for the latter years will be addressed further in the future.  For this IRP cycle, it is determined that additional gas resources are not required.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DDB2" w14:textId="77777777" w:rsidR="00BA09F0" w:rsidRDefault="00BA0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643E1" w14:textId="77777777" w:rsidR="00BA09F0" w:rsidRDefault="00BA09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8191A" w14:textId="77777777" w:rsidR="00BA09F0" w:rsidRDefault="00BA09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B6919" w14:textId="77777777" w:rsidR="00BA09F0" w:rsidRDefault="00BA09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9AF07" w14:textId="7DA69777" w:rsidR="00BA09F0" w:rsidRPr="009B03FC" w:rsidRDefault="00BA09F0" w:rsidP="009B03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58228" w14:textId="77777777" w:rsidR="00BA09F0" w:rsidRDefault="00BA09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EE458" w14:textId="77777777" w:rsidR="00BA09F0" w:rsidRDefault="00BA09F0" w:rsidP="00AE601D">
    <w:pPr>
      <w:spacing w:line="240" w:lineRule="auto"/>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70896" w14:textId="77777777" w:rsidR="00BA09F0" w:rsidRDefault="00BA09F0">
    <w:pPr>
      <w:pStyle w:val="Header"/>
    </w:pPr>
    <w:r>
      <w:rPr>
        <w:noProof/>
      </w:rPr>
      <mc:AlternateContent>
        <mc:Choice Requires="wps">
          <w:drawing>
            <wp:anchor distT="0" distB="0" distL="118745" distR="118745" simplePos="0" relativeHeight="251659264" behindDoc="1" locked="0" layoutInCell="1" allowOverlap="0" wp14:anchorId="00669A60" wp14:editId="7B3CFA6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779634273"/>
                            <w:showingPlcHdr/>
                            <w:dataBinding w:prefixMappings="xmlns:ns0='http://purl.org/dc/elements/1.1/' xmlns:ns1='http://schemas.openxmlformats.org/package/2006/metadata/core-properties' " w:xpath="/ns1:coreProperties[1]/ns0:title[1]" w:storeItemID="{6C3C8BC8-F283-45AE-878A-BAB7291924A1}"/>
                            <w:text/>
                          </w:sdtPr>
                          <w:sdtEndPr/>
                          <w:sdtContent>
                            <w:p w14:paraId="35CF7120" w14:textId="77777777" w:rsidR="00BA09F0" w:rsidRDefault="00BA09F0">
                              <w:pPr>
                                <w:pStyle w:val="Header"/>
                                <w:tabs>
                                  <w:tab w:val="clear" w:pos="4680"/>
                                  <w:tab w:val="clear" w:pos="9360"/>
                                </w:tabs>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0669A60"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779634273"/>
                      <w:showingPlcHdr/>
                      <w:dataBinding w:prefixMappings="xmlns:ns0='http://purl.org/dc/elements/1.1/' xmlns:ns1='http://schemas.openxmlformats.org/package/2006/metadata/core-properties' " w:xpath="/ns1:coreProperties[1]/ns0:title[1]" w:storeItemID="{6C3C8BC8-F283-45AE-878A-BAB7291924A1}"/>
                      <w:text/>
                    </w:sdtPr>
                    <w:sdtEndPr/>
                    <w:sdtContent>
                      <w:p w14:paraId="35CF7120" w14:textId="77777777" w:rsidR="00BA09F0" w:rsidRDefault="00BA09F0">
                        <w:pPr>
                          <w:pStyle w:val="Header"/>
                          <w:tabs>
                            <w:tab w:val="clear" w:pos="4680"/>
                            <w:tab w:val="clear" w:pos="9360"/>
                          </w:tabs>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2F07E4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AE8D07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BA8C375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AD8D21A"/>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FC5043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A940F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25C8D7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8AD6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AE815E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56439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870D7"/>
    <w:multiLevelType w:val="hybridMultilevel"/>
    <w:tmpl w:val="70C6C658"/>
    <w:lvl w:ilvl="0" w:tplc="94C23DE8">
      <w:start w:val="1"/>
      <w:numFmt w:val="bullet"/>
      <w:lvlText w:val=""/>
      <w:lvlJc w:val="left"/>
      <w:pPr>
        <w:ind w:left="1039" w:hanging="989"/>
      </w:pPr>
      <w:rPr>
        <w:rFonts w:ascii="Wingdings" w:eastAsia="Wingdings" w:hAnsi="Wingdings" w:hint="default"/>
        <w:w w:val="99"/>
        <w:sz w:val="16"/>
        <w:szCs w:val="16"/>
      </w:rPr>
    </w:lvl>
    <w:lvl w:ilvl="1" w:tplc="543E576C">
      <w:start w:val="1"/>
      <w:numFmt w:val="bullet"/>
      <w:lvlText w:val="•"/>
      <w:lvlJc w:val="left"/>
      <w:pPr>
        <w:ind w:left="1146" w:hanging="989"/>
      </w:pPr>
      <w:rPr>
        <w:rFonts w:hint="default"/>
      </w:rPr>
    </w:lvl>
    <w:lvl w:ilvl="2" w:tplc="26BC757E">
      <w:start w:val="1"/>
      <w:numFmt w:val="bullet"/>
      <w:lvlText w:val="•"/>
      <w:lvlJc w:val="left"/>
      <w:pPr>
        <w:ind w:left="1253" w:hanging="989"/>
      </w:pPr>
      <w:rPr>
        <w:rFonts w:hint="default"/>
      </w:rPr>
    </w:lvl>
    <w:lvl w:ilvl="3" w:tplc="CC00D920">
      <w:start w:val="1"/>
      <w:numFmt w:val="bullet"/>
      <w:lvlText w:val="•"/>
      <w:lvlJc w:val="left"/>
      <w:pPr>
        <w:ind w:left="1360" w:hanging="989"/>
      </w:pPr>
      <w:rPr>
        <w:rFonts w:hint="default"/>
      </w:rPr>
    </w:lvl>
    <w:lvl w:ilvl="4" w:tplc="3976D4A0">
      <w:start w:val="1"/>
      <w:numFmt w:val="bullet"/>
      <w:lvlText w:val="•"/>
      <w:lvlJc w:val="left"/>
      <w:pPr>
        <w:ind w:left="1467" w:hanging="989"/>
      </w:pPr>
      <w:rPr>
        <w:rFonts w:hint="default"/>
      </w:rPr>
    </w:lvl>
    <w:lvl w:ilvl="5" w:tplc="AA54C306">
      <w:start w:val="1"/>
      <w:numFmt w:val="bullet"/>
      <w:lvlText w:val="•"/>
      <w:lvlJc w:val="left"/>
      <w:pPr>
        <w:ind w:left="1574" w:hanging="989"/>
      </w:pPr>
      <w:rPr>
        <w:rFonts w:hint="default"/>
      </w:rPr>
    </w:lvl>
    <w:lvl w:ilvl="6" w:tplc="74C06A8E">
      <w:start w:val="1"/>
      <w:numFmt w:val="bullet"/>
      <w:lvlText w:val="•"/>
      <w:lvlJc w:val="left"/>
      <w:pPr>
        <w:ind w:left="1680" w:hanging="989"/>
      </w:pPr>
      <w:rPr>
        <w:rFonts w:hint="default"/>
      </w:rPr>
    </w:lvl>
    <w:lvl w:ilvl="7" w:tplc="2EB65F50">
      <w:start w:val="1"/>
      <w:numFmt w:val="bullet"/>
      <w:lvlText w:val="•"/>
      <w:lvlJc w:val="left"/>
      <w:pPr>
        <w:ind w:left="1787" w:hanging="989"/>
      </w:pPr>
      <w:rPr>
        <w:rFonts w:hint="default"/>
      </w:rPr>
    </w:lvl>
    <w:lvl w:ilvl="8" w:tplc="D944925A">
      <w:start w:val="1"/>
      <w:numFmt w:val="bullet"/>
      <w:lvlText w:val="•"/>
      <w:lvlJc w:val="left"/>
      <w:pPr>
        <w:ind w:left="1894" w:hanging="989"/>
      </w:pPr>
      <w:rPr>
        <w:rFonts w:hint="default"/>
      </w:rPr>
    </w:lvl>
  </w:abstractNum>
  <w:abstractNum w:abstractNumId="11" w15:restartNumberingAfterBreak="0">
    <w:nsid w:val="00EF0C1F"/>
    <w:multiLevelType w:val="multilevel"/>
    <w:tmpl w:val="1FEADA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1B06E87"/>
    <w:multiLevelType w:val="hybridMultilevel"/>
    <w:tmpl w:val="8E50FB62"/>
    <w:lvl w:ilvl="0" w:tplc="0AAE1520">
      <w:start w:val="1"/>
      <w:numFmt w:val="upperRoman"/>
      <w:lvlText w:val="%1."/>
      <w:lvlJc w:val="left"/>
      <w:pPr>
        <w:ind w:left="720" w:hanging="720"/>
      </w:pPr>
      <w:rPr>
        <w:rFonts w:hint="default"/>
      </w:rPr>
    </w:lvl>
    <w:lvl w:ilvl="1" w:tplc="86A29D72">
      <w:start w:val="1"/>
      <w:numFmt w:val="upperLetter"/>
      <w:lvlText w:val="%2."/>
      <w:lvlJc w:val="left"/>
      <w:pPr>
        <w:ind w:left="1440" w:hanging="360"/>
      </w:pPr>
      <w:rPr>
        <w:rFonts w:ascii="Times New Roman" w:hAnsi="Times New Roman" w:cs="Times New Roman" w:hint="default"/>
        <w:sz w:val="24"/>
        <w:szCs w:val="24"/>
      </w:rPr>
    </w:lvl>
    <w:lvl w:ilvl="2" w:tplc="2348DED6">
      <w:start w:val="1"/>
      <w:numFmt w:val="decimal"/>
      <w:lvlText w:val="%3."/>
      <w:lvlJc w:val="left"/>
      <w:pPr>
        <w:ind w:left="2160" w:hanging="180"/>
      </w:pPr>
      <w:rPr>
        <w:rFonts w:ascii="Times New Roman" w:hAnsi="Times New Roman" w:cs="Arial" w:hint="default"/>
        <w:b w:val="0"/>
        <w:i w:val="0"/>
        <w:caps w:val="0"/>
        <w:strike w:val="0"/>
        <w:dstrike w:val="0"/>
        <w:vanish w:val="0"/>
        <w:color w:val="auto"/>
        <w:w w:val="77"/>
        <w:sz w:val="24"/>
        <w:szCs w:val="22"/>
        <w:vertAlign w:val="baseline"/>
      </w:rPr>
    </w:lvl>
    <w:lvl w:ilvl="3" w:tplc="C6DA2F8E">
      <w:start w:val="1"/>
      <w:numFmt w:val="decimal"/>
      <w:lvlText w:val="%4."/>
      <w:lvlJc w:val="left"/>
      <w:pPr>
        <w:ind w:left="0" w:firstLine="144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35673F"/>
    <w:multiLevelType w:val="hybridMultilevel"/>
    <w:tmpl w:val="4026704A"/>
    <w:lvl w:ilvl="0" w:tplc="35F69666">
      <w:start w:val="1"/>
      <w:numFmt w:val="bullet"/>
      <w:lvlText w:val=""/>
      <w:lvlJc w:val="left"/>
      <w:pPr>
        <w:ind w:left="900" w:hanging="360"/>
      </w:pPr>
      <w:rPr>
        <w:rFonts w:ascii="Symbol" w:eastAsia="Symbol" w:hAnsi="Symbol" w:hint="default"/>
        <w:sz w:val="24"/>
        <w:szCs w:val="24"/>
      </w:rPr>
    </w:lvl>
    <w:lvl w:ilvl="1" w:tplc="6C127698">
      <w:start w:val="1"/>
      <w:numFmt w:val="bullet"/>
      <w:lvlText w:val="•"/>
      <w:lvlJc w:val="left"/>
      <w:pPr>
        <w:ind w:left="1810" w:hanging="360"/>
      </w:pPr>
      <w:rPr>
        <w:rFonts w:hint="default"/>
      </w:rPr>
    </w:lvl>
    <w:lvl w:ilvl="2" w:tplc="06925E00">
      <w:start w:val="1"/>
      <w:numFmt w:val="bullet"/>
      <w:lvlText w:val="•"/>
      <w:lvlJc w:val="left"/>
      <w:pPr>
        <w:ind w:left="2720" w:hanging="360"/>
      </w:pPr>
      <w:rPr>
        <w:rFonts w:hint="default"/>
      </w:rPr>
    </w:lvl>
    <w:lvl w:ilvl="3" w:tplc="7E200958">
      <w:start w:val="1"/>
      <w:numFmt w:val="bullet"/>
      <w:lvlText w:val="•"/>
      <w:lvlJc w:val="left"/>
      <w:pPr>
        <w:ind w:left="3630" w:hanging="360"/>
      </w:pPr>
      <w:rPr>
        <w:rFonts w:hint="default"/>
      </w:rPr>
    </w:lvl>
    <w:lvl w:ilvl="4" w:tplc="E5E883F4">
      <w:start w:val="1"/>
      <w:numFmt w:val="bullet"/>
      <w:lvlText w:val="•"/>
      <w:lvlJc w:val="left"/>
      <w:pPr>
        <w:ind w:left="4540" w:hanging="360"/>
      </w:pPr>
      <w:rPr>
        <w:rFonts w:hint="default"/>
      </w:rPr>
    </w:lvl>
    <w:lvl w:ilvl="5" w:tplc="BF86FEAC">
      <w:start w:val="1"/>
      <w:numFmt w:val="bullet"/>
      <w:lvlText w:val="•"/>
      <w:lvlJc w:val="left"/>
      <w:pPr>
        <w:ind w:left="5450" w:hanging="360"/>
      </w:pPr>
      <w:rPr>
        <w:rFonts w:hint="default"/>
      </w:rPr>
    </w:lvl>
    <w:lvl w:ilvl="6" w:tplc="DAEAF446">
      <w:start w:val="1"/>
      <w:numFmt w:val="bullet"/>
      <w:lvlText w:val="•"/>
      <w:lvlJc w:val="left"/>
      <w:pPr>
        <w:ind w:left="6360" w:hanging="360"/>
      </w:pPr>
      <w:rPr>
        <w:rFonts w:hint="default"/>
      </w:rPr>
    </w:lvl>
    <w:lvl w:ilvl="7" w:tplc="E8324C40">
      <w:start w:val="1"/>
      <w:numFmt w:val="bullet"/>
      <w:lvlText w:val="•"/>
      <w:lvlJc w:val="left"/>
      <w:pPr>
        <w:ind w:left="7270" w:hanging="360"/>
      </w:pPr>
      <w:rPr>
        <w:rFonts w:hint="default"/>
      </w:rPr>
    </w:lvl>
    <w:lvl w:ilvl="8" w:tplc="BA8E5FF4">
      <w:start w:val="1"/>
      <w:numFmt w:val="bullet"/>
      <w:lvlText w:val="•"/>
      <w:lvlJc w:val="left"/>
      <w:pPr>
        <w:ind w:left="8180" w:hanging="360"/>
      </w:pPr>
      <w:rPr>
        <w:rFonts w:hint="default"/>
      </w:rPr>
    </w:lvl>
  </w:abstractNum>
  <w:abstractNum w:abstractNumId="14" w15:restartNumberingAfterBreak="0">
    <w:nsid w:val="03881E03"/>
    <w:multiLevelType w:val="hybridMultilevel"/>
    <w:tmpl w:val="25A4682E"/>
    <w:lvl w:ilvl="0" w:tplc="D66EF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C41F29"/>
    <w:multiLevelType w:val="hybridMultilevel"/>
    <w:tmpl w:val="D6E4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D112A9"/>
    <w:multiLevelType w:val="hybridMultilevel"/>
    <w:tmpl w:val="43A8DEB8"/>
    <w:lvl w:ilvl="0" w:tplc="6D2EF6C2">
      <w:start w:val="1"/>
      <w:numFmt w:val="upp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47766E"/>
    <w:multiLevelType w:val="hybridMultilevel"/>
    <w:tmpl w:val="5FE082FA"/>
    <w:lvl w:ilvl="0" w:tplc="565ED3B6">
      <w:start w:val="1"/>
      <w:numFmt w:val="bullet"/>
      <w:lvlText w:val=""/>
      <w:lvlJc w:val="left"/>
      <w:pPr>
        <w:ind w:left="1924" w:hanging="360"/>
      </w:pPr>
      <w:rPr>
        <w:rFonts w:ascii="Wingdings" w:eastAsia="Wingdings" w:hAnsi="Wingdings" w:hint="default"/>
        <w:color w:val="0582BE"/>
        <w:w w:val="102"/>
        <w:sz w:val="21"/>
        <w:szCs w:val="21"/>
      </w:rPr>
    </w:lvl>
    <w:lvl w:ilvl="1" w:tplc="97369974">
      <w:start w:val="1"/>
      <w:numFmt w:val="bullet"/>
      <w:lvlText w:val="•"/>
      <w:lvlJc w:val="left"/>
      <w:pPr>
        <w:ind w:left="3200" w:hanging="360"/>
      </w:pPr>
      <w:rPr>
        <w:rFonts w:hint="default"/>
      </w:rPr>
    </w:lvl>
    <w:lvl w:ilvl="2" w:tplc="6E66B15A">
      <w:start w:val="1"/>
      <w:numFmt w:val="bullet"/>
      <w:lvlText w:val="•"/>
      <w:lvlJc w:val="left"/>
      <w:pPr>
        <w:ind w:left="4475" w:hanging="360"/>
      </w:pPr>
      <w:rPr>
        <w:rFonts w:hint="default"/>
      </w:rPr>
    </w:lvl>
    <w:lvl w:ilvl="3" w:tplc="3FAE6FF6">
      <w:start w:val="1"/>
      <w:numFmt w:val="bullet"/>
      <w:lvlText w:val="•"/>
      <w:lvlJc w:val="left"/>
      <w:pPr>
        <w:ind w:left="5751" w:hanging="360"/>
      </w:pPr>
      <w:rPr>
        <w:rFonts w:hint="default"/>
      </w:rPr>
    </w:lvl>
    <w:lvl w:ilvl="4" w:tplc="A02E94A6">
      <w:start w:val="1"/>
      <w:numFmt w:val="bullet"/>
      <w:lvlText w:val="•"/>
      <w:lvlJc w:val="left"/>
      <w:pPr>
        <w:ind w:left="7026" w:hanging="360"/>
      </w:pPr>
      <w:rPr>
        <w:rFonts w:hint="default"/>
      </w:rPr>
    </w:lvl>
    <w:lvl w:ilvl="5" w:tplc="5082F9C8">
      <w:start w:val="1"/>
      <w:numFmt w:val="bullet"/>
      <w:lvlText w:val="•"/>
      <w:lvlJc w:val="left"/>
      <w:pPr>
        <w:ind w:left="8302" w:hanging="360"/>
      </w:pPr>
      <w:rPr>
        <w:rFonts w:hint="default"/>
      </w:rPr>
    </w:lvl>
    <w:lvl w:ilvl="6" w:tplc="F7E23CC4">
      <w:start w:val="1"/>
      <w:numFmt w:val="bullet"/>
      <w:lvlText w:val="•"/>
      <w:lvlJc w:val="left"/>
      <w:pPr>
        <w:ind w:left="9577" w:hanging="360"/>
      </w:pPr>
      <w:rPr>
        <w:rFonts w:hint="default"/>
      </w:rPr>
    </w:lvl>
    <w:lvl w:ilvl="7" w:tplc="AE72CFB8">
      <w:start w:val="1"/>
      <w:numFmt w:val="bullet"/>
      <w:lvlText w:val="•"/>
      <w:lvlJc w:val="left"/>
      <w:pPr>
        <w:ind w:left="10853" w:hanging="360"/>
      </w:pPr>
      <w:rPr>
        <w:rFonts w:hint="default"/>
      </w:rPr>
    </w:lvl>
    <w:lvl w:ilvl="8" w:tplc="657EFAC4">
      <w:start w:val="1"/>
      <w:numFmt w:val="bullet"/>
      <w:lvlText w:val="•"/>
      <w:lvlJc w:val="left"/>
      <w:pPr>
        <w:ind w:left="12128" w:hanging="360"/>
      </w:pPr>
      <w:rPr>
        <w:rFonts w:hint="default"/>
      </w:rPr>
    </w:lvl>
  </w:abstractNum>
  <w:abstractNum w:abstractNumId="18" w15:restartNumberingAfterBreak="0">
    <w:nsid w:val="0A6F7D39"/>
    <w:multiLevelType w:val="hybridMultilevel"/>
    <w:tmpl w:val="213C5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FE5A0C"/>
    <w:multiLevelType w:val="hybridMultilevel"/>
    <w:tmpl w:val="73E0F4B4"/>
    <w:lvl w:ilvl="0" w:tplc="3926F738">
      <w:start w:val="1"/>
      <w:numFmt w:val="lowerLetter"/>
      <w:lvlText w:val="(%1)"/>
      <w:lvlJc w:val="left"/>
      <w:pPr>
        <w:ind w:left="2108" w:hanging="504"/>
      </w:pPr>
      <w:rPr>
        <w:rFonts w:ascii="Garamond" w:eastAsia="Garamond" w:hAnsi="Garamond" w:hint="default"/>
        <w:w w:val="102"/>
        <w:sz w:val="14"/>
        <w:szCs w:val="14"/>
      </w:rPr>
    </w:lvl>
    <w:lvl w:ilvl="1" w:tplc="A66E62A6">
      <w:start w:val="1"/>
      <w:numFmt w:val="bullet"/>
      <w:lvlText w:val="•"/>
      <w:lvlJc w:val="left"/>
      <w:pPr>
        <w:ind w:left="3365" w:hanging="504"/>
      </w:pPr>
      <w:rPr>
        <w:rFonts w:hint="default"/>
      </w:rPr>
    </w:lvl>
    <w:lvl w:ilvl="2" w:tplc="18387466">
      <w:start w:val="1"/>
      <w:numFmt w:val="bullet"/>
      <w:lvlText w:val="•"/>
      <w:lvlJc w:val="left"/>
      <w:pPr>
        <w:ind w:left="4623" w:hanging="504"/>
      </w:pPr>
      <w:rPr>
        <w:rFonts w:hint="default"/>
      </w:rPr>
    </w:lvl>
    <w:lvl w:ilvl="3" w:tplc="EBE65D44">
      <w:start w:val="1"/>
      <w:numFmt w:val="bullet"/>
      <w:lvlText w:val="•"/>
      <w:lvlJc w:val="left"/>
      <w:pPr>
        <w:ind w:left="5880" w:hanging="504"/>
      </w:pPr>
      <w:rPr>
        <w:rFonts w:hint="default"/>
      </w:rPr>
    </w:lvl>
    <w:lvl w:ilvl="4" w:tplc="774E7C58">
      <w:start w:val="1"/>
      <w:numFmt w:val="bullet"/>
      <w:lvlText w:val="•"/>
      <w:lvlJc w:val="left"/>
      <w:pPr>
        <w:ind w:left="7137" w:hanging="504"/>
      </w:pPr>
      <w:rPr>
        <w:rFonts w:hint="default"/>
      </w:rPr>
    </w:lvl>
    <w:lvl w:ilvl="5" w:tplc="AC4668D6">
      <w:start w:val="1"/>
      <w:numFmt w:val="bullet"/>
      <w:lvlText w:val="•"/>
      <w:lvlJc w:val="left"/>
      <w:pPr>
        <w:ind w:left="8394" w:hanging="504"/>
      </w:pPr>
      <w:rPr>
        <w:rFonts w:hint="default"/>
      </w:rPr>
    </w:lvl>
    <w:lvl w:ilvl="6" w:tplc="558C4B0C">
      <w:start w:val="1"/>
      <w:numFmt w:val="bullet"/>
      <w:lvlText w:val="•"/>
      <w:lvlJc w:val="left"/>
      <w:pPr>
        <w:ind w:left="9651" w:hanging="504"/>
      </w:pPr>
      <w:rPr>
        <w:rFonts w:hint="default"/>
      </w:rPr>
    </w:lvl>
    <w:lvl w:ilvl="7" w:tplc="8E0E185C">
      <w:start w:val="1"/>
      <w:numFmt w:val="bullet"/>
      <w:lvlText w:val="•"/>
      <w:lvlJc w:val="left"/>
      <w:pPr>
        <w:ind w:left="10908" w:hanging="504"/>
      </w:pPr>
      <w:rPr>
        <w:rFonts w:hint="default"/>
      </w:rPr>
    </w:lvl>
    <w:lvl w:ilvl="8" w:tplc="E1FC3DEC">
      <w:start w:val="1"/>
      <w:numFmt w:val="bullet"/>
      <w:lvlText w:val="•"/>
      <w:lvlJc w:val="left"/>
      <w:pPr>
        <w:ind w:left="12165" w:hanging="504"/>
      </w:pPr>
      <w:rPr>
        <w:rFonts w:hint="default"/>
      </w:rPr>
    </w:lvl>
  </w:abstractNum>
  <w:abstractNum w:abstractNumId="20" w15:restartNumberingAfterBreak="0">
    <w:nsid w:val="0B94691E"/>
    <w:multiLevelType w:val="hybridMultilevel"/>
    <w:tmpl w:val="F0B4CC6E"/>
    <w:lvl w:ilvl="0" w:tplc="5714F6E4">
      <w:start w:val="1"/>
      <w:numFmt w:val="lowerLetter"/>
      <w:lvlText w:val="(%1)"/>
      <w:lvlJc w:val="left"/>
      <w:pPr>
        <w:ind w:left="1882" w:hanging="504"/>
      </w:pPr>
      <w:rPr>
        <w:rFonts w:ascii="Garamond" w:eastAsia="Garamond" w:hAnsi="Garamond" w:hint="default"/>
        <w:spacing w:val="2"/>
        <w:w w:val="103"/>
        <w:sz w:val="12"/>
        <w:szCs w:val="12"/>
      </w:rPr>
    </w:lvl>
    <w:lvl w:ilvl="1" w:tplc="0AE8BABE">
      <w:start w:val="1"/>
      <w:numFmt w:val="bullet"/>
      <w:lvlText w:val="•"/>
      <w:lvlJc w:val="left"/>
      <w:pPr>
        <w:ind w:left="3190" w:hanging="504"/>
      </w:pPr>
      <w:rPr>
        <w:rFonts w:hint="default"/>
      </w:rPr>
    </w:lvl>
    <w:lvl w:ilvl="2" w:tplc="977AC8D8">
      <w:start w:val="1"/>
      <w:numFmt w:val="bullet"/>
      <w:lvlText w:val="•"/>
      <w:lvlJc w:val="left"/>
      <w:pPr>
        <w:ind w:left="4497" w:hanging="504"/>
      </w:pPr>
      <w:rPr>
        <w:rFonts w:hint="default"/>
      </w:rPr>
    </w:lvl>
    <w:lvl w:ilvl="3" w:tplc="A0B0001A">
      <w:start w:val="1"/>
      <w:numFmt w:val="bullet"/>
      <w:lvlText w:val="•"/>
      <w:lvlJc w:val="left"/>
      <w:pPr>
        <w:ind w:left="5805" w:hanging="504"/>
      </w:pPr>
      <w:rPr>
        <w:rFonts w:hint="default"/>
      </w:rPr>
    </w:lvl>
    <w:lvl w:ilvl="4" w:tplc="509E1896">
      <w:start w:val="1"/>
      <w:numFmt w:val="bullet"/>
      <w:lvlText w:val="•"/>
      <w:lvlJc w:val="left"/>
      <w:pPr>
        <w:ind w:left="7113" w:hanging="504"/>
      </w:pPr>
      <w:rPr>
        <w:rFonts w:hint="default"/>
      </w:rPr>
    </w:lvl>
    <w:lvl w:ilvl="5" w:tplc="7944BB06">
      <w:start w:val="1"/>
      <w:numFmt w:val="bullet"/>
      <w:lvlText w:val="•"/>
      <w:lvlJc w:val="left"/>
      <w:pPr>
        <w:ind w:left="8421" w:hanging="504"/>
      </w:pPr>
      <w:rPr>
        <w:rFonts w:hint="default"/>
      </w:rPr>
    </w:lvl>
    <w:lvl w:ilvl="6" w:tplc="70AE519A">
      <w:start w:val="1"/>
      <w:numFmt w:val="bullet"/>
      <w:lvlText w:val="•"/>
      <w:lvlJc w:val="left"/>
      <w:pPr>
        <w:ind w:left="9728" w:hanging="504"/>
      </w:pPr>
      <w:rPr>
        <w:rFonts w:hint="default"/>
      </w:rPr>
    </w:lvl>
    <w:lvl w:ilvl="7" w:tplc="F51022C2">
      <w:start w:val="1"/>
      <w:numFmt w:val="bullet"/>
      <w:lvlText w:val="•"/>
      <w:lvlJc w:val="left"/>
      <w:pPr>
        <w:ind w:left="11036" w:hanging="504"/>
      </w:pPr>
      <w:rPr>
        <w:rFonts w:hint="default"/>
      </w:rPr>
    </w:lvl>
    <w:lvl w:ilvl="8" w:tplc="B7C21AA4">
      <w:start w:val="1"/>
      <w:numFmt w:val="bullet"/>
      <w:lvlText w:val="•"/>
      <w:lvlJc w:val="left"/>
      <w:pPr>
        <w:ind w:left="12344" w:hanging="504"/>
      </w:pPr>
      <w:rPr>
        <w:rFonts w:hint="default"/>
      </w:rPr>
    </w:lvl>
  </w:abstractNum>
  <w:abstractNum w:abstractNumId="21" w15:restartNumberingAfterBreak="0">
    <w:nsid w:val="0D6B63B4"/>
    <w:multiLevelType w:val="hybridMultilevel"/>
    <w:tmpl w:val="57640DD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AF0064"/>
    <w:multiLevelType w:val="hybridMultilevel"/>
    <w:tmpl w:val="66AEA2CA"/>
    <w:lvl w:ilvl="0" w:tplc="B4A49260">
      <w:start w:val="1"/>
      <w:numFmt w:val="upperLetter"/>
      <w:lvlText w:val="%1."/>
      <w:lvlJc w:val="left"/>
      <w:pPr>
        <w:ind w:left="900" w:hanging="480"/>
      </w:pPr>
      <w:rPr>
        <w:rFonts w:ascii="Times New Roman" w:eastAsia="Times New Roman" w:hAnsi="Times New Roman" w:hint="default"/>
        <w:spacing w:val="-1"/>
        <w:sz w:val="24"/>
        <w:szCs w:val="24"/>
      </w:rPr>
    </w:lvl>
    <w:lvl w:ilvl="1" w:tplc="141CB31E">
      <w:start w:val="1"/>
      <w:numFmt w:val="decimal"/>
      <w:lvlText w:val="%2."/>
      <w:lvlJc w:val="left"/>
      <w:pPr>
        <w:ind w:left="1440" w:hanging="540"/>
      </w:pPr>
      <w:rPr>
        <w:rFonts w:ascii="Times New Roman" w:eastAsia="Times New Roman" w:hAnsi="Times New Roman" w:hint="default"/>
        <w:w w:val="99"/>
        <w:sz w:val="22"/>
        <w:szCs w:val="22"/>
      </w:rPr>
    </w:lvl>
    <w:lvl w:ilvl="2" w:tplc="FAF4004A">
      <w:start w:val="1"/>
      <w:numFmt w:val="bullet"/>
      <w:lvlText w:val="•"/>
      <w:lvlJc w:val="left"/>
      <w:pPr>
        <w:ind w:left="2360" w:hanging="540"/>
      </w:pPr>
      <w:rPr>
        <w:rFonts w:hint="default"/>
      </w:rPr>
    </w:lvl>
    <w:lvl w:ilvl="3" w:tplc="7084155C">
      <w:start w:val="1"/>
      <w:numFmt w:val="bullet"/>
      <w:lvlText w:val="•"/>
      <w:lvlJc w:val="left"/>
      <w:pPr>
        <w:ind w:left="3280" w:hanging="540"/>
      </w:pPr>
      <w:rPr>
        <w:rFonts w:hint="default"/>
      </w:rPr>
    </w:lvl>
    <w:lvl w:ilvl="4" w:tplc="C3FA034C">
      <w:start w:val="1"/>
      <w:numFmt w:val="bullet"/>
      <w:lvlText w:val="•"/>
      <w:lvlJc w:val="left"/>
      <w:pPr>
        <w:ind w:left="4200" w:hanging="540"/>
      </w:pPr>
      <w:rPr>
        <w:rFonts w:hint="default"/>
      </w:rPr>
    </w:lvl>
    <w:lvl w:ilvl="5" w:tplc="F81ABA1E">
      <w:start w:val="1"/>
      <w:numFmt w:val="bullet"/>
      <w:lvlText w:val="•"/>
      <w:lvlJc w:val="left"/>
      <w:pPr>
        <w:ind w:left="5120" w:hanging="540"/>
      </w:pPr>
      <w:rPr>
        <w:rFonts w:hint="default"/>
      </w:rPr>
    </w:lvl>
    <w:lvl w:ilvl="6" w:tplc="8F24D282">
      <w:start w:val="1"/>
      <w:numFmt w:val="bullet"/>
      <w:lvlText w:val="•"/>
      <w:lvlJc w:val="left"/>
      <w:pPr>
        <w:ind w:left="6040" w:hanging="540"/>
      </w:pPr>
      <w:rPr>
        <w:rFonts w:hint="default"/>
      </w:rPr>
    </w:lvl>
    <w:lvl w:ilvl="7" w:tplc="5A12C4F2">
      <w:start w:val="1"/>
      <w:numFmt w:val="bullet"/>
      <w:lvlText w:val="•"/>
      <w:lvlJc w:val="left"/>
      <w:pPr>
        <w:ind w:left="6960" w:hanging="540"/>
      </w:pPr>
      <w:rPr>
        <w:rFonts w:hint="default"/>
      </w:rPr>
    </w:lvl>
    <w:lvl w:ilvl="8" w:tplc="0F22EAC2">
      <w:start w:val="1"/>
      <w:numFmt w:val="bullet"/>
      <w:lvlText w:val="•"/>
      <w:lvlJc w:val="left"/>
      <w:pPr>
        <w:ind w:left="7880" w:hanging="540"/>
      </w:pPr>
      <w:rPr>
        <w:rFonts w:hint="default"/>
      </w:rPr>
    </w:lvl>
  </w:abstractNum>
  <w:abstractNum w:abstractNumId="23" w15:restartNumberingAfterBreak="0">
    <w:nsid w:val="0F3047B5"/>
    <w:multiLevelType w:val="hybridMultilevel"/>
    <w:tmpl w:val="5DE6AB64"/>
    <w:lvl w:ilvl="0" w:tplc="B77E03EA">
      <w:start w:val="1"/>
      <w:numFmt w:val="decimal"/>
      <w:lvlText w:val="(%1)"/>
      <w:lvlJc w:val="left"/>
      <w:pPr>
        <w:ind w:left="852" w:hanging="312"/>
      </w:pPr>
      <w:rPr>
        <w:rFonts w:ascii="Times New Roman" w:eastAsia="Times New Roman" w:hAnsi="Times New Roman" w:hint="default"/>
        <w:w w:val="99"/>
        <w:sz w:val="22"/>
        <w:szCs w:val="22"/>
      </w:rPr>
    </w:lvl>
    <w:lvl w:ilvl="1" w:tplc="7E1C6ED8">
      <w:start w:val="1"/>
      <w:numFmt w:val="bullet"/>
      <w:lvlText w:val="•"/>
      <w:lvlJc w:val="left"/>
      <w:pPr>
        <w:ind w:left="1774" w:hanging="312"/>
      </w:pPr>
      <w:rPr>
        <w:rFonts w:hint="default"/>
      </w:rPr>
    </w:lvl>
    <w:lvl w:ilvl="2" w:tplc="D602C954">
      <w:start w:val="1"/>
      <w:numFmt w:val="bullet"/>
      <w:lvlText w:val="•"/>
      <w:lvlJc w:val="left"/>
      <w:pPr>
        <w:ind w:left="2695" w:hanging="312"/>
      </w:pPr>
      <w:rPr>
        <w:rFonts w:hint="default"/>
      </w:rPr>
    </w:lvl>
    <w:lvl w:ilvl="3" w:tplc="2E2A7F8C">
      <w:start w:val="1"/>
      <w:numFmt w:val="bullet"/>
      <w:lvlText w:val="•"/>
      <w:lvlJc w:val="left"/>
      <w:pPr>
        <w:ind w:left="3617" w:hanging="312"/>
      </w:pPr>
      <w:rPr>
        <w:rFonts w:hint="default"/>
      </w:rPr>
    </w:lvl>
    <w:lvl w:ilvl="4" w:tplc="BB66CB4C">
      <w:start w:val="1"/>
      <w:numFmt w:val="bullet"/>
      <w:lvlText w:val="•"/>
      <w:lvlJc w:val="left"/>
      <w:pPr>
        <w:ind w:left="4539" w:hanging="312"/>
      </w:pPr>
      <w:rPr>
        <w:rFonts w:hint="default"/>
      </w:rPr>
    </w:lvl>
    <w:lvl w:ilvl="5" w:tplc="D2A6CE00">
      <w:start w:val="1"/>
      <w:numFmt w:val="bullet"/>
      <w:lvlText w:val="•"/>
      <w:lvlJc w:val="left"/>
      <w:pPr>
        <w:ind w:left="5460" w:hanging="312"/>
      </w:pPr>
      <w:rPr>
        <w:rFonts w:hint="default"/>
      </w:rPr>
    </w:lvl>
    <w:lvl w:ilvl="6" w:tplc="4A700CC4">
      <w:start w:val="1"/>
      <w:numFmt w:val="bullet"/>
      <w:lvlText w:val="•"/>
      <w:lvlJc w:val="left"/>
      <w:pPr>
        <w:ind w:left="6382" w:hanging="312"/>
      </w:pPr>
      <w:rPr>
        <w:rFonts w:hint="default"/>
      </w:rPr>
    </w:lvl>
    <w:lvl w:ilvl="7" w:tplc="23B4F7DC">
      <w:start w:val="1"/>
      <w:numFmt w:val="bullet"/>
      <w:lvlText w:val="•"/>
      <w:lvlJc w:val="left"/>
      <w:pPr>
        <w:ind w:left="7304" w:hanging="312"/>
      </w:pPr>
      <w:rPr>
        <w:rFonts w:hint="default"/>
      </w:rPr>
    </w:lvl>
    <w:lvl w:ilvl="8" w:tplc="4EC66318">
      <w:start w:val="1"/>
      <w:numFmt w:val="bullet"/>
      <w:lvlText w:val="•"/>
      <w:lvlJc w:val="left"/>
      <w:pPr>
        <w:ind w:left="8225" w:hanging="312"/>
      </w:pPr>
      <w:rPr>
        <w:rFonts w:hint="default"/>
      </w:rPr>
    </w:lvl>
  </w:abstractNum>
  <w:abstractNum w:abstractNumId="24" w15:restartNumberingAfterBreak="0">
    <w:nsid w:val="0FB82F9E"/>
    <w:multiLevelType w:val="hybridMultilevel"/>
    <w:tmpl w:val="D99AA992"/>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5" w15:restartNumberingAfterBreak="0">
    <w:nsid w:val="10F66159"/>
    <w:multiLevelType w:val="hybridMultilevel"/>
    <w:tmpl w:val="C854E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CB5F2F"/>
    <w:multiLevelType w:val="hybridMultilevel"/>
    <w:tmpl w:val="85F0CA3E"/>
    <w:lvl w:ilvl="0" w:tplc="832EEF94">
      <w:start w:val="1"/>
      <w:numFmt w:val="upperLetter"/>
      <w:lvlText w:val="%1."/>
      <w:lvlJc w:val="left"/>
      <w:pPr>
        <w:ind w:left="720" w:hanging="360"/>
      </w:pPr>
      <w:rPr>
        <w:rFonts w:ascii="Times New Roman" w:hAnsi="Times New Roman" w:cs="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CC5151"/>
    <w:multiLevelType w:val="hybridMultilevel"/>
    <w:tmpl w:val="255A4E64"/>
    <w:lvl w:ilvl="0" w:tplc="CE4CC90E">
      <w:start w:val="1"/>
      <w:numFmt w:val="decimal"/>
      <w:lvlText w:val="%1."/>
      <w:lvlJc w:val="righ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3682B07"/>
    <w:multiLevelType w:val="hybridMultilevel"/>
    <w:tmpl w:val="79DA3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BE022A"/>
    <w:multiLevelType w:val="hybridMultilevel"/>
    <w:tmpl w:val="78AE4AF4"/>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51322AF"/>
    <w:multiLevelType w:val="hybridMultilevel"/>
    <w:tmpl w:val="8F10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174780"/>
    <w:multiLevelType w:val="hybridMultilevel"/>
    <w:tmpl w:val="8744A19C"/>
    <w:lvl w:ilvl="0" w:tplc="F16C7B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6AF7338"/>
    <w:multiLevelType w:val="hybridMultilevel"/>
    <w:tmpl w:val="941438F2"/>
    <w:lvl w:ilvl="0" w:tplc="189A2902">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7AD09DC"/>
    <w:multiLevelType w:val="hybridMultilevel"/>
    <w:tmpl w:val="40DED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1F200D"/>
    <w:multiLevelType w:val="hybridMultilevel"/>
    <w:tmpl w:val="CD2CB1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B0A12E7"/>
    <w:multiLevelType w:val="hybridMultilevel"/>
    <w:tmpl w:val="B606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BA65E8"/>
    <w:multiLevelType w:val="hybridMultilevel"/>
    <w:tmpl w:val="5FC6A900"/>
    <w:lvl w:ilvl="0" w:tplc="FA80B7AC">
      <w:start w:val="1"/>
      <w:numFmt w:val="upperLetter"/>
      <w:lvlText w:val="%1."/>
      <w:lvlJc w:val="left"/>
      <w:pPr>
        <w:ind w:left="1620" w:hanging="720"/>
      </w:pPr>
      <w:rPr>
        <w:rFonts w:ascii="Times New Roman" w:eastAsia="Times New Roman" w:hAnsi="Times New Roman" w:hint="default"/>
        <w:b/>
        <w:bCs/>
        <w:spacing w:val="-1"/>
        <w:sz w:val="24"/>
        <w:szCs w:val="24"/>
      </w:rPr>
    </w:lvl>
    <w:lvl w:ilvl="1" w:tplc="CA781684">
      <w:start w:val="1"/>
      <w:numFmt w:val="decimal"/>
      <w:lvlText w:val="%2."/>
      <w:lvlJc w:val="left"/>
      <w:pPr>
        <w:ind w:left="2340" w:hanging="720"/>
      </w:pPr>
      <w:rPr>
        <w:rFonts w:ascii="Times New Roman" w:eastAsia="Times New Roman" w:hAnsi="Times New Roman" w:hint="default"/>
        <w:b/>
        <w:bCs/>
        <w:sz w:val="24"/>
        <w:szCs w:val="24"/>
      </w:rPr>
    </w:lvl>
    <w:lvl w:ilvl="2" w:tplc="28FCA30E">
      <w:start w:val="1"/>
      <w:numFmt w:val="bullet"/>
      <w:lvlText w:val="•"/>
      <w:lvlJc w:val="left"/>
      <w:pPr>
        <w:ind w:left="3191" w:hanging="720"/>
      </w:pPr>
      <w:rPr>
        <w:rFonts w:hint="default"/>
      </w:rPr>
    </w:lvl>
    <w:lvl w:ilvl="3" w:tplc="F2869070">
      <w:start w:val="1"/>
      <w:numFmt w:val="bullet"/>
      <w:lvlText w:val="•"/>
      <w:lvlJc w:val="left"/>
      <w:pPr>
        <w:ind w:left="4042" w:hanging="720"/>
      </w:pPr>
      <w:rPr>
        <w:rFonts w:hint="default"/>
      </w:rPr>
    </w:lvl>
    <w:lvl w:ilvl="4" w:tplc="827C6116">
      <w:start w:val="1"/>
      <w:numFmt w:val="bullet"/>
      <w:lvlText w:val="•"/>
      <w:lvlJc w:val="left"/>
      <w:pPr>
        <w:ind w:left="4893" w:hanging="720"/>
      </w:pPr>
      <w:rPr>
        <w:rFonts w:hint="default"/>
      </w:rPr>
    </w:lvl>
    <w:lvl w:ilvl="5" w:tplc="EFB232EE">
      <w:start w:val="1"/>
      <w:numFmt w:val="bullet"/>
      <w:lvlText w:val="•"/>
      <w:lvlJc w:val="left"/>
      <w:pPr>
        <w:ind w:left="5744" w:hanging="720"/>
      </w:pPr>
      <w:rPr>
        <w:rFonts w:hint="default"/>
      </w:rPr>
    </w:lvl>
    <w:lvl w:ilvl="6" w:tplc="614632FC">
      <w:start w:val="1"/>
      <w:numFmt w:val="bullet"/>
      <w:lvlText w:val="•"/>
      <w:lvlJc w:val="left"/>
      <w:pPr>
        <w:ind w:left="6595" w:hanging="720"/>
      </w:pPr>
      <w:rPr>
        <w:rFonts w:hint="default"/>
      </w:rPr>
    </w:lvl>
    <w:lvl w:ilvl="7" w:tplc="60B45FE8">
      <w:start w:val="1"/>
      <w:numFmt w:val="bullet"/>
      <w:lvlText w:val="•"/>
      <w:lvlJc w:val="left"/>
      <w:pPr>
        <w:ind w:left="7446" w:hanging="720"/>
      </w:pPr>
      <w:rPr>
        <w:rFonts w:hint="default"/>
      </w:rPr>
    </w:lvl>
    <w:lvl w:ilvl="8" w:tplc="9C1A1E00">
      <w:start w:val="1"/>
      <w:numFmt w:val="bullet"/>
      <w:lvlText w:val="•"/>
      <w:lvlJc w:val="left"/>
      <w:pPr>
        <w:ind w:left="8297" w:hanging="720"/>
      </w:pPr>
      <w:rPr>
        <w:rFonts w:hint="default"/>
      </w:rPr>
    </w:lvl>
  </w:abstractNum>
  <w:abstractNum w:abstractNumId="37" w15:restartNumberingAfterBreak="0">
    <w:nsid w:val="1BDB65B0"/>
    <w:multiLevelType w:val="hybridMultilevel"/>
    <w:tmpl w:val="D7569A16"/>
    <w:lvl w:ilvl="0" w:tplc="AF6C6314">
      <w:start w:val="1"/>
      <w:numFmt w:val="lowerLetter"/>
      <w:lvlText w:val="(%1)"/>
      <w:lvlJc w:val="left"/>
      <w:pPr>
        <w:ind w:left="2056" w:hanging="452"/>
      </w:pPr>
      <w:rPr>
        <w:rFonts w:ascii="Garamond" w:eastAsia="Garamond" w:hAnsi="Garamond" w:hint="default"/>
        <w:spacing w:val="-1"/>
        <w:w w:val="99"/>
        <w:sz w:val="16"/>
        <w:szCs w:val="16"/>
      </w:rPr>
    </w:lvl>
    <w:lvl w:ilvl="1" w:tplc="8C80913E">
      <w:start w:val="1"/>
      <w:numFmt w:val="bullet"/>
      <w:lvlText w:val=""/>
      <w:lvlJc w:val="left"/>
      <w:pPr>
        <w:ind w:left="2124" w:hanging="360"/>
      </w:pPr>
      <w:rPr>
        <w:rFonts w:ascii="Wingdings" w:eastAsia="Wingdings" w:hAnsi="Wingdings" w:hint="default"/>
        <w:color w:val="0582BE"/>
        <w:w w:val="102"/>
        <w:sz w:val="21"/>
        <w:szCs w:val="21"/>
      </w:rPr>
    </w:lvl>
    <w:lvl w:ilvl="2" w:tplc="9B0CA236">
      <w:start w:val="1"/>
      <w:numFmt w:val="bullet"/>
      <w:lvlText w:val="•"/>
      <w:lvlJc w:val="left"/>
      <w:pPr>
        <w:ind w:left="2900" w:hanging="360"/>
      </w:pPr>
      <w:rPr>
        <w:rFonts w:hint="default"/>
      </w:rPr>
    </w:lvl>
    <w:lvl w:ilvl="3" w:tplc="88104B7C">
      <w:start w:val="1"/>
      <w:numFmt w:val="bullet"/>
      <w:lvlText w:val="•"/>
      <w:lvlJc w:val="left"/>
      <w:pPr>
        <w:ind w:left="3675" w:hanging="360"/>
      </w:pPr>
      <w:rPr>
        <w:rFonts w:hint="default"/>
      </w:rPr>
    </w:lvl>
    <w:lvl w:ilvl="4" w:tplc="32B25824">
      <w:start w:val="1"/>
      <w:numFmt w:val="bullet"/>
      <w:lvlText w:val="•"/>
      <w:lvlJc w:val="left"/>
      <w:pPr>
        <w:ind w:left="4450" w:hanging="360"/>
      </w:pPr>
      <w:rPr>
        <w:rFonts w:hint="default"/>
      </w:rPr>
    </w:lvl>
    <w:lvl w:ilvl="5" w:tplc="F32EF584">
      <w:start w:val="1"/>
      <w:numFmt w:val="bullet"/>
      <w:lvlText w:val="•"/>
      <w:lvlJc w:val="left"/>
      <w:pPr>
        <w:ind w:left="5225" w:hanging="360"/>
      </w:pPr>
      <w:rPr>
        <w:rFonts w:hint="default"/>
      </w:rPr>
    </w:lvl>
    <w:lvl w:ilvl="6" w:tplc="5FB28438">
      <w:start w:val="1"/>
      <w:numFmt w:val="bullet"/>
      <w:lvlText w:val="•"/>
      <w:lvlJc w:val="left"/>
      <w:pPr>
        <w:ind w:left="6001" w:hanging="360"/>
      </w:pPr>
      <w:rPr>
        <w:rFonts w:hint="default"/>
      </w:rPr>
    </w:lvl>
    <w:lvl w:ilvl="7" w:tplc="D0E0B2AA">
      <w:start w:val="1"/>
      <w:numFmt w:val="bullet"/>
      <w:lvlText w:val="•"/>
      <w:lvlJc w:val="left"/>
      <w:pPr>
        <w:ind w:left="6776" w:hanging="360"/>
      </w:pPr>
      <w:rPr>
        <w:rFonts w:hint="default"/>
      </w:rPr>
    </w:lvl>
    <w:lvl w:ilvl="8" w:tplc="AA48FABE">
      <w:start w:val="1"/>
      <w:numFmt w:val="bullet"/>
      <w:lvlText w:val="•"/>
      <w:lvlJc w:val="left"/>
      <w:pPr>
        <w:ind w:left="7551" w:hanging="360"/>
      </w:pPr>
      <w:rPr>
        <w:rFonts w:hint="default"/>
      </w:rPr>
    </w:lvl>
  </w:abstractNum>
  <w:abstractNum w:abstractNumId="38" w15:restartNumberingAfterBreak="0">
    <w:nsid w:val="1D021C8A"/>
    <w:multiLevelType w:val="hybridMultilevel"/>
    <w:tmpl w:val="D34C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0C48FD"/>
    <w:multiLevelType w:val="hybridMultilevel"/>
    <w:tmpl w:val="CF441FFE"/>
    <w:lvl w:ilvl="0" w:tplc="7CA8D4D4">
      <w:start w:val="1"/>
      <w:numFmt w:val="upperLetter"/>
      <w:lvlText w:val="%1."/>
      <w:lvlJc w:val="left"/>
      <w:pPr>
        <w:ind w:left="8550" w:hanging="360"/>
      </w:pPr>
      <w:rPr>
        <w:rFonts w:ascii="Times New Roman" w:hAnsi="Times New Roman" w:cs="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262A5B"/>
    <w:multiLevelType w:val="hybridMultilevel"/>
    <w:tmpl w:val="A2D8A5CE"/>
    <w:lvl w:ilvl="0" w:tplc="46D6F846">
      <w:start w:val="1"/>
      <w:numFmt w:val="decimal"/>
      <w:pStyle w:val="Heading3"/>
      <w:lvlText w:val="%1."/>
      <w:lvlJc w:val="left"/>
      <w:pPr>
        <w:ind w:left="1710" w:hanging="360"/>
      </w:pPr>
      <w:rPr>
        <w:rFonts w:ascii="Times New Roman" w:hAnsi="Times New Roman" w:cs="Times New Roman" w:hint="default"/>
        <w:b/>
        <w:i w:val="0"/>
        <w:caps w:val="0"/>
        <w:strike w:val="0"/>
        <w:dstrike w:val="0"/>
        <w:vanish w:val="0"/>
        <w:sz w:val="24"/>
        <w:vertAlign w:val="baseline"/>
      </w:rPr>
    </w:lvl>
    <w:lvl w:ilvl="1" w:tplc="ADDC573E">
      <w:start w:val="1"/>
      <w:numFmt w:val="decimal"/>
      <w:lvlText w:val="%2."/>
      <w:lvlJc w:val="left"/>
      <w:pPr>
        <w:ind w:left="1440" w:hanging="360"/>
      </w:pPr>
      <w:rPr>
        <w:rFonts w:ascii="Times New Roman" w:hAnsi="Times New Roman" w:hint="default"/>
        <w:b/>
        <w:i w:val="0"/>
        <w:caps w:val="0"/>
        <w:strike w:val="0"/>
        <w:dstrike w:val="0"/>
        <w:vanish w:val="0"/>
        <w:spacing w:val="0"/>
        <w:w w:val="100"/>
        <w:kern w:val="0"/>
        <w:position w:val="0"/>
        <w:sz w:val="24"/>
        <w:vertAlign w:val="baseline"/>
        <w14:cntxtAlts w14:val="0"/>
      </w:r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1" w15:restartNumberingAfterBreak="0">
    <w:nsid w:val="246564FF"/>
    <w:multiLevelType w:val="hybridMultilevel"/>
    <w:tmpl w:val="48AE8C16"/>
    <w:lvl w:ilvl="0" w:tplc="BBA06DB0">
      <w:start w:val="3"/>
      <w:numFmt w:val="decimal"/>
      <w:lvlText w:val="(%1)"/>
      <w:lvlJc w:val="left"/>
      <w:pPr>
        <w:ind w:left="519" w:hanging="340"/>
      </w:pPr>
      <w:rPr>
        <w:rFonts w:ascii="Times New Roman" w:eastAsia="Times New Roman" w:hAnsi="Times New Roman" w:hint="default"/>
        <w:sz w:val="24"/>
        <w:szCs w:val="24"/>
      </w:rPr>
    </w:lvl>
    <w:lvl w:ilvl="1" w:tplc="97204452">
      <w:start w:val="1"/>
      <w:numFmt w:val="upperLetter"/>
      <w:lvlText w:val="%2."/>
      <w:lvlJc w:val="left"/>
      <w:pPr>
        <w:ind w:left="2420" w:hanging="720"/>
        <w:jc w:val="right"/>
      </w:pPr>
      <w:rPr>
        <w:rFonts w:ascii="Times New Roman" w:eastAsia="Times New Roman" w:hAnsi="Times New Roman" w:hint="default"/>
        <w:b/>
        <w:bCs/>
        <w:spacing w:val="-1"/>
        <w:sz w:val="24"/>
        <w:szCs w:val="24"/>
      </w:rPr>
    </w:lvl>
    <w:lvl w:ilvl="2" w:tplc="6B447924">
      <w:start w:val="1"/>
      <w:numFmt w:val="decimal"/>
      <w:lvlText w:val="%3."/>
      <w:lvlJc w:val="left"/>
      <w:pPr>
        <w:ind w:left="2340" w:hanging="720"/>
      </w:pPr>
      <w:rPr>
        <w:rFonts w:ascii="Times New Roman" w:eastAsia="Times New Roman" w:hAnsi="Times New Roman" w:hint="default"/>
        <w:b/>
        <w:bCs/>
        <w:sz w:val="24"/>
        <w:szCs w:val="24"/>
      </w:rPr>
    </w:lvl>
    <w:lvl w:ilvl="3" w:tplc="EE642D04">
      <w:start w:val="1"/>
      <w:numFmt w:val="bullet"/>
      <w:lvlText w:val="•"/>
      <w:lvlJc w:val="left"/>
      <w:pPr>
        <w:ind w:left="3367" w:hanging="720"/>
      </w:pPr>
      <w:rPr>
        <w:rFonts w:hint="default"/>
      </w:rPr>
    </w:lvl>
    <w:lvl w:ilvl="4" w:tplc="3A066FC4">
      <w:start w:val="1"/>
      <w:numFmt w:val="bullet"/>
      <w:lvlText w:val="•"/>
      <w:lvlJc w:val="left"/>
      <w:pPr>
        <w:ind w:left="4315" w:hanging="720"/>
      </w:pPr>
      <w:rPr>
        <w:rFonts w:hint="default"/>
      </w:rPr>
    </w:lvl>
    <w:lvl w:ilvl="5" w:tplc="26C48CBA">
      <w:start w:val="1"/>
      <w:numFmt w:val="bullet"/>
      <w:lvlText w:val="•"/>
      <w:lvlJc w:val="left"/>
      <w:pPr>
        <w:ind w:left="5262" w:hanging="720"/>
      </w:pPr>
      <w:rPr>
        <w:rFonts w:hint="default"/>
      </w:rPr>
    </w:lvl>
    <w:lvl w:ilvl="6" w:tplc="45F080A6">
      <w:start w:val="1"/>
      <w:numFmt w:val="bullet"/>
      <w:lvlText w:val="•"/>
      <w:lvlJc w:val="left"/>
      <w:pPr>
        <w:ind w:left="6210" w:hanging="720"/>
      </w:pPr>
      <w:rPr>
        <w:rFonts w:hint="default"/>
      </w:rPr>
    </w:lvl>
    <w:lvl w:ilvl="7" w:tplc="E5C42DBE">
      <w:start w:val="1"/>
      <w:numFmt w:val="bullet"/>
      <w:lvlText w:val="•"/>
      <w:lvlJc w:val="left"/>
      <w:pPr>
        <w:ind w:left="7157" w:hanging="720"/>
      </w:pPr>
      <w:rPr>
        <w:rFonts w:hint="default"/>
      </w:rPr>
    </w:lvl>
    <w:lvl w:ilvl="8" w:tplc="4B4AC946">
      <w:start w:val="1"/>
      <w:numFmt w:val="bullet"/>
      <w:lvlText w:val="•"/>
      <w:lvlJc w:val="left"/>
      <w:pPr>
        <w:ind w:left="8105" w:hanging="720"/>
      </w:pPr>
      <w:rPr>
        <w:rFonts w:hint="default"/>
      </w:rPr>
    </w:lvl>
  </w:abstractNum>
  <w:abstractNum w:abstractNumId="42" w15:restartNumberingAfterBreak="0">
    <w:nsid w:val="25515480"/>
    <w:multiLevelType w:val="multilevel"/>
    <w:tmpl w:val="FCA4B566"/>
    <w:lvl w:ilvl="0">
      <w:start w:val="1"/>
      <w:numFmt w:val="decimal"/>
      <w:lvlText w:val="%1."/>
      <w:lvlJc w:val="left"/>
      <w:pPr>
        <w:ind w:left="720" w:hanging="720"/>
      </w:pPr>
      <w:rPr>
        <w:rFonts w:ascii="Calibri" w:hAnsi="Calibri" w:cs="Times New Roman" w:hint="default"/>
        <w:b/>
        <w:i w:val="0"/>
        <w:color w:val="1B5877"/>
        <w:sz w:val="56"/>
        <w:u w:val="none" w:color="1B5877"/>
      </w:rPr>
    </w:lvl>
    <w:lvl w:ilvl="1">
      <w:start w:val="1"/>
      <w:numFmt w:val="decimal"/>
      <w:lvlText w:val="%1.%2"/>
      <w:lvlJc w:val="left"/>
      <w:pPr>
        <w:tabs>
          <w:tab w:val="num" w:pos="144"/>
        </w:tabs>
        <w:ind w:left="720" w:hanging="720"/>
      </w:pPr>
      <w:rPr>
        <w:rFonts w:ascii="Calibri" w:hAnsi="Calibri" w:cs="Times New Roman" w:hint="default"/>
        <w:b/>
        <w:i w:val="0"/>
        <w:color w:val="912A1F"/>
        <w:sz w:val="32"/>
      </w:rPr>
    </w:lvl>
    <w:lvl w:ilvl="2">
      <w:start w:val="1"/>
      <w:numFmt w:val="decimal"/>
      <w:lvlText w:val="%1.%2.%3"/>
      <w:lvlJc w:val="left"/>
      <w:pPr>
        <w:ind w:left="720" w:hanging="720"/>
      </w:pPr>
      <w:rPr>
        <w:rFonts w:ascii="Calibri" w:hAnsi="Calibri" w:cs="Times New Roman" w:hint="default"/>
        <w:b/>
        <w:i w:val="0"/>
        <w:color w:val="B46D04"/>
        <w:sz w:val="24"/>
      </w:rPr>
    </w:lvl>
    <w:lvl w:ilvl="3">
      <w:start w:val="1"/>
      <w:numFmt w:val="decimal"/>
      <w:lvlText w:val="%1.%2.%3.%4."/>
      <w:lvlJc w:val="left"/>
      <w:pPr>
        <w:tabs>
          <w:tab w:val="num" w:pos="1368"/>
        </w:tabs>
        <w:ind w:left="1368" w:hanging="648"/>
      </w:pPr>
      <w:rPr>
        <w:rFonts w:cs="Times New Roman" w:hint="default"/>
      </w:rPr>
    </w:lvl>
    <w:lvl w:ilvl="4">
      <w:start w:val="1"/>
      <w:numFmt w:val="decimal"/>
      <w:lvlText w:val="%1.%2.%3.%4.%5."/>
      <w:lvlJc w:val="left"/>
      <w:pPr>
        <w:tabs>
          <w:tab w:val="num" w:pos="1872"/>
        </w:tabs>
        <w:ind w:left="1872" w:hanging="792"/>
      </w:pPr>
      <w:rPr>
        <w:rFonts w:cs="Times New Roman" w:hint="default"/>
      </w:rPr>
    </w:lvl>
    <w:lvl w:ilvl="5">
      <w:start w:val="1"/>
      <w:numFmt w:val="decimal"/>
      <w:lvlText w:val="%1.%2.%3.%4.%5.%6."/>
      <w:lvlJc w:val="left"/>
      <w:pPr>
        <w:tabs>
          <w:tab w:val="num" w:pos="2376"/>
        </w:tabs>
        <w:ind w:left="2376" w:hanging="936"/>
      </w:pPr>
      <w:rPr>
        <w:rFonts w:cs="Times New Roman" w:hint="default"/>
      </w:rPr>
    </w:lvl>
    <w:lvl w:ilvl="6">
      <w:start w:val="1"/>
      <w:numFmt w:val="decimal"/>
      <w:lvlText w:val="%1.%2.%3.%4.%5.%6.%7."/>
      <w:lvlJc w:val="left"/>
      <w:pPr>
        <w:tabs>
          <w:tab w:val="num" w:pos="2880"/>
        </w:tabs>
        <w:ind w:left="2880" w:hanging="1080"/>
      </w:pPr>
      <w:rPr>
        <w:rFonts w:cs="Times New Roman" w:hint="default"/>
      </w:rPr>
    </w:lvl>
    <w:lvl w:ilvl="7">
      <w:start w:val="1"/>
      <w:numFmt w:val="decimal"/>
      <w:lvlText w:val="%1.%2.%3.%4.%5.%6.%7.%8."/>
      <w:lvlJc w:val="left"/>
      <w:pPr>
        <w:tabs>
          <w:tab w:val="num" w:pos="3384"/>
        </w:tabs>
        <w:ind w:left="3384" w:hanging="1224"/>
      </w:pPr>
      <w:rPr>
        <w:rFonts w:cs="Times New Roman" w:hint="default"/>
      </w:rPr>
    </w:lvl>
    <w:lvl w:ilvl="8">
      <w:start w:val="1"/>
      <w:numFmt w:val="decimal"/>
      <w:lvlText w:val="%1.%2.%3.%4.%5.%6.%7.%8.%9."/>
      <w:lvlJc w:val="left"/>
      <w:pPr>
        <w:tabs>
          <w:tab w:val="num" w:pos="3960"/>
        </w:tabs>
        <w:ind w:left="3960" w:hanging="1440"/>
      </w:pPr>
      <w:rPr>
        <w:rFonts w:cs="Times New Roman" w:hint="default"/>
      </w:rPr>
    </w:lvl>
  </w:abstractNum>
  <w:abstractNum w:abstractNumId="43" w15:restartNumberingAfterBreak="0">
    <w:nsid w:val="271B7B7A"/>
    <w:multiLevelType w:val="hybridMultilevel"/>
    <w:tmpl w:val="7E3C4286"/>
    <w:lvl w:ilvl="0" w:tplc="1A8CB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7314964"/>
    <w:multiLevelType w:val="hybridMultilevel"/>
    <w:tmpl w:val="54B619EE"/>
    <w:lvl w:ilvl="0" w:tplc="F08244E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AE55A20"/>
    <w:multiLevelType w:val="hybridMultilevel"/>
    <w:tmpl w:val="A11E9CCC"/>
    <w:lvl w:ilvl="0" w:tplc="D66EF3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4A03F8"/>
    <w:multiLevelType w:val="hybridMultilevel"/>
    <w:tmpl w:val="F03E324A"/>
    <w:lvl w:ilvl="0" w:tplc="F0EE6F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564F5C"/>
    <w:multiLevelType w:val="hybridMultilevel"/>
    <w:tmpl w:val="7C0E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A164F5"/>
    <w:multiLevelType w:val="hybridMultilevel"/>
    <w:tmpl w:val="C328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354EDE"/>
    <w:multiLevelType w:val="hybridMultilevel"/>
    <w:tmpl w:val="A87E6E16"/>
    <w:lvl w:ilvl="0" w:tplc="C3FAF1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A91FBE"/>
    <w:multiLevelType w:val="hybridMultilevel"/>
    <w:tmpl w:val="DB7C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6348A9"/>
    <w:multiLevelType w:val="hybridMultilevel"/>
    <w:tmpl w:val="94CC038C"/>
    <w:lvl w:ilvl="0" w:tplc="F0EE6F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8A2AF6"/>
    <w:multiLevelType w:val="hybridMultilevel"/>
    <w:tmpl w:val="A5121904"/>
    <w:lvl w:ilvl="0" w:tplc="6B9A87A0">
      <w:start w:val="1"/>
      <w:numFmt w:val="bullet"/>
      <w:lvlText w:val=""/>
      <w:lvlJc w:val="left"/>
      <w:pPr>
        <w:ind w:left="1080" w:hanging="360"/>
      </w:pPr>
      <w:rPr>
        <w:rFonts w:ascii="Wingdings 2" w:hAnsi="Wingdings 2" w:hint="default"/>
        <w:color w:val="44546A"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5D97313"/>
    <w:multiLevelType w:val="hybridMultilevel"/>
    <w:tmpl w:val="E9A87EF2"/>
    <w:lvl w:ilvl="0" w:tplc="04090001">
      <w:start w:val="1"/>
      <w:numFmt w:val="bullet"/>
      <w:lvlText w:val=""/>
      <w:lvlJc w:val="left"/>
      <w:pPr>
        <w:ind w:left="720" w:hanging="360"/>
      </w:pPr>
      <w:rPr>
        <w:rFonts w:ascii="Symbol" w:hAnsi="Symbol" w:hint="default"/>
        <w:b w:val="0"/>
        <w:i w:val="0"/>
        <w:caps w:val="0"/>
        <w:strike w:val="0"/>
        <w:dstrike w:val="0"/>
        <w:vanish w:val="0"/>
        <w:color w:val="auto"/>
        <w:spacing w:val="0"/>
        <w:w w:val="100"/>
        <w:kern w:val="0"/>
        <w:position w:val="0"/>
        <w:sz w:val="24"/>
        <w:szCs w:val="22"/>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7552FE"/>
    <w:multiLevelType w:val="hybridMultilevel"/>
    <w:tmpl w:val="BFDABAFA"/>
    <w:lvl w:ilvl="0" w:tplc="3CDAE234">
      <w:start w:val="1"/>
      <w:numFmt w:val="decimal"/>
      <w:lvlText w:val="%1."/>
      <w:lvlJc w:val="left"/>
      <w:pPr>
        <w:ind w:left="720" w:hanging="360"/>
      </w:pPr>
      <w:rPr>
        <w:rFonts w:ascii="Times New Roman" w:hAnsi="Times New Roman" w:cs="Times New Roman" w:hint="default"/>
        <w:b/>
        <w:i w:val="0"/>
        <w:caps w:val="0"/>
        <w:strike w:val="0"/>
        <w:dstrike w:val="0"/>
        <w:vanish w:val="0"/>
        <w:sz w:val="24"/>
        <w:vertAlign w:val="baseline"/>
      </w:rPr>
    </w:lvl>
    <w:lvl w:ilvl="1" w:tplc="519E699A">
      <w:start w:val="1"/>
      <w:numFmt w:val="decimal"/>
      <w:lvlText w:val="%2."/>
      <w:lvlJc w:val="left"/>
      <w:pPr>
        <w:ind w:left="1440" w:hanging="360"/>
      </w:pPr>
      <w:rPr>
        <w:rFonts w:ascii="Times New Roman" w:hAnsi="Times New Roman" w:hint="default"/>
        <w:b w:val="0"/>
        <w:i w:val="0"/>
        <w:caps w:val="0"/>
        <w:strike w:val="0"/>
        <w:dstrike w:val="0"/>
        <w:vanish w:val="0"/>
        <w:spacing w:val="0"/>
        <w:w w:val="100"/>
        <w:kern w:val="0"/>
        <w:position w:val="0"/>
        <w:sz w:val="24"/>
        <w:vertAlign w:val="baseline"/>
        <w14:cntxtAlts w14: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67F566F"/>
    <w:multiLevelType w:val="hybridMultilevel"/>
    <w:tmpl w:val="661819C6"/>
    <w:lvl w:ilvl="0" w:tplc="38BABDCC">
      <w:start w:val="1"/>
      <w:numFmt w:val="decimal"/>
      <w:lvlText w:val="%1)"/>
      <w:lvlJc w:val="left"/>
      <w:pPr>
        <w:ind w:left="1620" w:hanging="720"/>
      </w:pPr>
      <w:rPr>
        <w:rFonts w:ascii="Times New Roman" w:eastAsia="Times New Roman" w:hAnsi="Times New Roman" w:hint="default"/>
        <w:sz w:val="24"/>
        <w:szCs w:val="24"/>
      </w:rPr>
    </w:lvl>
    <w:lvl w:ilvl="1" w:tplc="CAA25EEE">
      <w:start w:val="1"/>
      <w:numFmt w:val="bullet"/>
      <w:lvlText w:val="•"/>
      <w:lvlJc w:val="left"/>
      <w:pPr>
        <w:ind w:left="2458" w:hanging="720"/>
      </w:pPr>
      <w:rPr>
        <w:rFonts w:hint="default"/>
      </w:rPr>
    </w:lvl>
    <w:lvl w:ilvl="2" w:tplc="52A046C0">
      <w:start w:val="1"/>
      <w:numFmt w:val="bullet"/>
      <w:lvlText w:val="•"/>
      <w:lvlJc w:val="left"/>
      <w:pPr>
        <w:ind w:left="3296" w:hanging="720"/>
      </w:pPr>
      <w:rPr>
        <w:rFonts w:hint="default"/>
      </w:rPr>
    </w:lvl>
    <w:lvl w:ilvl="3" w:tplc="84C6368A">
      <w:start w:val="1"/>
      <w:numFmt w:val="bullet"/>
      <w:lvlText w:val="•"/>
      <w:lvlJc w:val="left"/>
      <w:pPr>
        <w:ind w:left="4134" w:hanging="720"/>
      </w:pPr>
      <w:rPr>
        <w:rFonts w:hint="default"/>
      </w:rPr>
    </w:lvl>
    <w:lvl w:ilvl="4" w:tplc="DB5E4F4A">
      <w:start w:val="1"/>
      <w:numFmt w:val="bullet"/>
      <w:lvlText w:val="•"/>
      <w:lvlJc w:val="left"/>
      <w:pPr>
        <w:ind w:left="4972" w:hanging="720"/>
      </w:pPr>
      <w:rPr>
        <w:rFonts w:hint="default"/>
      </w:rPr>
    </w:lvl>
    <w:lvl w:ilvl="5" w:tplc="1C845AF6">
      <w:start w:val="1"/>
      <w:numFmt w:val="bullet"/>
      <w:lvlText w:val="•"/>
      <w:lvlJc w:val="left"/>
      <w:pPr>
        <w:ind w:left="5810" w:hanging="720"/>
      </w:pPr>
      <w:rPr>
        <w:rFonts w:hint="default"/>
      </w:rPr>
    </w:lvl>
    <w:lvl w:ilvl="6" w:tplc="1FD215CE">
      <w:start w:val="1"/>
      <w:numFmt w:val="bullet"/>
      <w:lvlText w:val="•"/>
      <w:lvlJc w:val="left"/>
      <w:pPr>
        <w:ind w:left="6648" w:hanging="720"/>
      </w:pPr>
      <w:rPr>
        <w:rFonts w:hint="default"/>
      </w:rPr>
    </w:lvl>
    <w:lvl w:ilvl="7" w:tplc="D5386860">
      <w:start w:val="1"/>
      <w:numFmt w:val="bullet"/>
      <w:lvlText w:val="•"/>
      <w:lvlJc w:val="left"/>
      <w:pPr>
        <w:ind w:left="7486" w:hanging="720"/>
      </w:pPr>
      <w:rPr>
        <w:rFonts w:hint="default"/>
      </w:rPr>
    </w:lvl>
    <w:lvl w:ilvl="8" w:tplc="9C98EA10">
      <w:start w:val="1"/>
      <w:numFmt w:val="bullet"/>
      <w:lvlText w:val="•"/>
      <w:lvlJc w:val="left"/>
      <w:pPr>
        <w:ind w:left="8324" w:hanging="720"/>
      </w:pPr>
      <w:rPr>
        <w:rFonts w:hint="default"/>
      </w:rPr>
    </w:lvl>
  </w:abstractNum>
  <w:abstractNum w:abstractNumId="56" w15:restartNumberingAfterBreak="0">
    <w:nsid w:val="369D662D"/>
    <w:multiLevelType w:val="hybridMultilevel"/>
    <w:tmpl w:val="2624A0D0"/>
    <w:lvl w:ilvl="0" w:tplc="98685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B87493"/>
    <w:multiLevelType w:val="hybridMultilevel"/>
    <w:tmpl w:val="1A3CF5EE"/>
    <w:lvl w:ilvl="0" w:tplc="6C382E7C">
      <w:start w:val="1"/>
      <w:numFmt w:val="lowerLetter"/>
      <w:lvlText w:val="(%1)"/>
      <w:lvlJc w:val="left"/>
      <w:pPr>
        <w:ind w:left="2068" w:hanging="504"/>
      </w:pPr>
      <w:rPr>
        <w:rFonts w:ascii="Garamond" w:eastAsia="Garamond" w:hAnsi="Garamond" w:hint="default"/>
        <w:w w:val="102"/>
        <w:sz w:val="14"/>
        <w:szCs w:val="14"/>
      </w:rPr>
    </w:lvl>
    <w:lvl w:ilvl="1" w:tplc="D11EF448">
      <w:start w:val="1"/>
      <w:numFmt w:val="bullet"/>
      <w:lvlText w:val="•"/>
      <w:lvlJc w:val="left"/>
      <w:pPr>
        <w:ind w:left="3325" w:hanging="504"/>
      </w:pPr>
      <w:rPr>
        <w:rFonts w:hint="default"/>
      </w:rPr>
    </w:lvl>
    <w:lvl w:ilvl="2" w:tplc="1EE8270C">
      <w:start w:val="1"/>
      <w:numFmt w:val="bullet"/>
      <w:lvlText w:val="•"/>
      <w:lvlJc w:val="left"/>
      <w:pPr>
        <w:ind w:left="4583" w:hanging="504"/>
      </w:pPr>
      <w:rPr>
        <w:rFonts w:hint="default"/>
      </w:rPr>
    </w:lvl>
    <w:lvl w:ilvl="3" w:tplc="53A44716">
      <w:start w:val="1"/>
      <w:numFmt w:val="bullet"/>
      <w:lvlText w:val="•"/>
      <w:lvlJc w:val="left"/>
      <w:pPr>
        <w:ind w:left="5840" w:hanging="504"/>
      </w:pPr>
      <w:rPr>
        <w:rFonts w:hint="default"/>
      </w:rPr>
    </w:lvl>
    <w:lvl w:ilvl="4" w:tplc="6852A72E">
      <w:start w:val="1"/>
      <w:numFmt w:val="bullet"/>
      <w:lvlText w:val="•"/>
      <w:lvlJc w:val="left"/>
      <w:pPr>
        <w:ind w:left="7097" w:hanging="504"/>
      </w:pPr>
      <w:rPr>
        <w:rFonts w:hint="default"/>
      </w:rPr>
    </w:lvl>
    <w:lvl w:ilvl="5" w:tplc="FF6216D8">
      <w:start w:val="1"/>
      <w:numFmt w:val="bullet"/>
      <w:lvlText w:val="•"/>
      <w:lvlJc w:val="left"/>
      <w:pPr>
        <w:ind w:left="8354" w:hanging="504"/>
      </w:pPr>
      <w:rPr>
        <w:rFonts w:hint="default"/>
      </w:rPr>
    </w:lvl>
    <w:lvl w:ilvl="6" w:tplc="C6CCFD82">
      <w:start w:val="1"/>
      <w:numFmt w:val="bullet"/>
      <w:lvlText w:val="•"/>
      <w:lvlJc w:val="left"/>
      <w:pPr>
        <w:ind w:left="9611" w:hanging="504"/>
      </w:pPr>
      <w:rPr>
        <w:rFonts w:hint="default"/>
      </w:rPr>
    </w:lvl>
    <w:lvl w:ilvl="7" w:tplc="0BE25FEC">
      <w:start w:val="1"/>
      <w:numFmt w:val="bullet"/>
      <w:lvlText w:val="•"/>
      <w:lvlJc w:val="left"/>
      <w:pPr>
        <w:ind w:left="10868" w:hanging="504"/>
      </w:pPr>
      <w:rPr>
        <w:rFonts w:hint="default"/>
      </w:rPr>
    </w:lvl>
    <w:lvl w:ilvl="8" w:tplc="6708FD06">
      <w:start w:val="1"/>
      <w:numFmt w:val="bullet"/>
      <w:lvlText w:val="•"/>
      <w:lvlJc w:val="left"/>
      <w:pPr>
        <w:ind w:left="12125" w:hanging="504"/>
      </w:pPr>
      <w:rPr>
        <w:rFonts w:hint="default"/>
      </w:rPr>
    </w:lvl>
  </w:abstractNum>
  <w:abstractNum w:abstractNumId="58" w15:restartNumberingAfterBreak="0">
    <w:nsid w:val="393B4787"/>
    <w:multiLevelType w:val="hybridMultilevel"/>
    <w:tmpl w:val="0AEE9D8A"/>
    <w:lvl w:ilvl="0" w:tplc="1AD0E45E">
      <w:start w:val="1"/>
      <w:numFmt w:val="upperLetter"/>
      <w:lvlText w:val="%1."/>
      <w:lvlJc w:val="left"/>
      <w:pPr>
        <w:ind w:left="720" w:hanging="360"/>
      </w:pPr>
      <w:rPr>
        <w:rFonts w:ascii="Times New Roman" w:hAnsi="Times New Roman" w:cs="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E123F6"/>
    <w:multiLevelType w:val="hybridMultilevel"/>
    <w:tmpl w:val="B720E616"/>
    <w:lvl w:ilvl="0" w:tplc="84AC1E0A">
      <w:start w:val="3"/>
      <w:numFmt w:val="decimal"/>
      <w:lvlText w:val="%1-"/>
      <w:lvlJc w:val="left"/>
      <w:pPr>
        <w:ind w:left="400" w:hanging="360"/>
      </w:pPr>
      <w:rPr>
        <w:rFonts w:ascii="Times New Roman" w:eastAsia="Times New Roman" w:hAnsi="Times New Roman" w:hint="default"/>
        <w:w w:val="99"/>
        <w:sz w:val="16"/>
        <w:szCs w:val="16"/>
      </w:rPr>
    </w:lvl>
    <w:lvl w:ilvl="1" w:tplc="D8387EB8">
      <w:start w:val="1"/>
      <w:numFmt w:val="decimal"/>
      <w:lvlText w:val="(%2)"/>
      <w:lvlJc w:val="left"/>
      <w:pPr>
        <w:ind w:left="1425" w:hanging="165"/>
      </w:pPr>
      <w:rPr>
        <w:rFonts w:ascii="Times New Roman" w:eastAsia="Times New Roman" w:hAnsi="Times New Roman" w:hint="default"/>
        <w:spacing w:val="-4"/>
        <w:w w:val="96"/>
        <w:sz w:val="13"/>
        <w:szCs w:val="13"/>
      </w:rPr>
    </w:lvl>
    <w:lvl w:ilvl="2" w:tplc="E6E22D80">
      <w:start w:val="1"/>
      <w:numFmt w:val="decimal"/>
      <w:lvlText w:val="(%3)"/>
      <w:lvlJc w:val="left"/>
      <w:pPr>
        <w:ind w:left="1625" w:hanging="174"/>
      </w:pPr>
      <w:rPr>
        <w:rFonts w:ascii="Times New Roman" w:eastAsia="Times New Roman" w:hAnsi="Times New Roman" w:hint="default"/>
        <w:spacing w:val="-4"/>
        <w:w w:val="102"/>
        <w:sz w:val="13"/>
        <w:szCs w:val="13"/>
      </w:rPr>
    </w:lvl>
    <w:lvl w:ilvl="3" w:tplc="04A45BDA">
      <w:start w:val="1"/>
      <w:numFmt w:val="bullet"/>
      <w:lvlText w:val=""/>
      <w:lvlJc w:val="left"/>
      <w:pPr>
        <w:ind w:left="1924" w:hanging="360"/>
      </w:pPr>
      <w:rPr>
        <w:rFonts w:ascii="Wingdings" w:eastAsia="Wingdings" w:hAnsi="Wingdings" w:hint="default"/>
        <w:color w:val="0582BE"/>
        <w:w w:val="104"/>
        <w:sz w:val="18"/>
        <w:szCs w:val="18"/>
      </w:rPr>
    </w:lvl>
    <w:lvl w:ilvl="4" w:tplc="137CE430">
      <w:start w:val="1"/>
      <w:numFmt w:val="bullet"/>
      <w:lvlText w:val="•"/>
      <w:lvlJc w:val="left"/>
      <w:pPr>
        <w:ind w:left="2901" w:hanging="360"/>
      </w:pPr>
      <w:rPr>
        <w:rFonts w:hint="default"/>
      </w:rPr>
    </w:lvl>
    <w:lvl w:ilvl="5" w:tplc="AA5297DE">
      <w:start w:val="1"/>
      <w:numFmt w:val="bullet"/>
      <w:lvlText w:val="•"/>
      <w:lvlJc w:val="left"/>
      <w:pPr>
        <w:ind w:left="3877" w:hanging="360"/>
      </w:pPr>
      <w:rPr>
        <w:rFonts w:hint="default"/>
      </w:rPr>
    </w:lvl>
    <w:lvl w:ilvl="6" w:tplc="8ABCEB60">
      <w:start w:val="1"/>
      <w:numFmt w:val="bullet"/>
      <w:lvlText w:val="•"/>
      <w:lvlJc w:val="left"/>
      <w:pPr>
        <w:ind w:left="4854" w:hanging="360"/>
      </w:pPr>
      <w:rPr>
        <w:rFonts w:hint="default"/>
      </w:rPr>
    </w:lvl>
    <w:lvl w:ilvl="7" w:tplc="7C02B8E6">
      <w:start w:val="1"/>
      <w:numFmt w:val="bullet"/>
      <w:lvlText w:val="•"/>
      <w:lvlJc w:val="left"/>
      <w:pPr>
        <w:ind w:left="5830" w:hanging="360"/>
      </w:pPr>
      <w:rPr>
        <w:rFonts w:hint="default"/>
      </w:rPr>
    </w:lvl>
    <w:lvl w:ilvl="8" w:tplc="E34A125E">
      <w:start w:val="1"/>
      <w:numFmt w:val="bullet"/>
      <w:lvlText w:val="•"/>
      <w:lvlJc w:val="left"/>
      <w:pPr>
        <w:ind w:left="6807" w:hanging="360"/>
      </w:pPr>
      <w:rPr>
        <w:rFonts w:hint="default"/>
      </w:rPr>
    </w:lvl>
  </w:abstractNum>
  <w:abstractNum w:abstractNumId="60" w15:restartNumberingAfterBreak="0">
    <w:nsid w:val="3B4D461A"/>
    <w:multiLevelType w:val="hybridMultilevel"/>
    <w:tmpl w:val="2D08D932"/>
    <w:lvl w:ilvl="0" w:tplc="07663226">
      <w:start w:val="1"/>
      <w:numFmt w:val="bullet"/>
      <w:lvlText w:val=""/>
      <w:lvlJc w:val="left"/>
      <w:pPr>
        <w:ind w:left="900" w:hanging="360"/>
      </w:pPr>
      <w:rPr>
        <w:rFonts w:ascii="Symbol" w:eastAsia="Symbol" w:hAnsi="Symbol" w:hint="default"/>
        <w:sz w:val="24"/>
        <w:szCs w:val="24"/>
      </w:rPr>
    </w:lvl>
    <w:lvl w:ilvl="1" w:tplc="4356C718">
      <w:start w:val="1"/>
      <w:numFmt w:val="bullet"/>
      <w:lvlText w:val="•"/>
      <w:lvlJc w:val="left"/>
      <w:pPr>
        <w:ind w:left="1810" w:hanging="360"/>
      </w:pPr>
      <w:rPr>
        <w:rFonts w:hint="default"/>
      </w:rPr>
    </w:lvl>
    <w:lvl w:ilvl="2" w:tplc="5FEEC9DE">
      <w:start w:val="1"/>
      <w:numFmt w:val="bullet"/>
      <w:lvlText w:val="•"/>
      <w:lvlJc w:val="left"/>
      <w:pPr>
        <w:ind w:left="2720" w:hanging="360"/>
      </w:pPr>
      <w:rPr>
        <w:rFonts w:hint="default"/>
      </w:rPr>
    </w:lvl>
    <w:lvl w:ilvl="3" w:tplc="FAD43B3C">
      <w:start w:val="1"/>
      <w:numFmt w:val="bullet"/>
      <w:lvlText w:val="•"/>
      <w:lvlJc w:val="left"/>
      <w:pPr>
        <w:ind w:left="3630" w:hanging="360"/>
      </w:pPr>
      <w:rPr>
        <w:rFonts w:hint="default"/>
      </w:rPr>
    </w:lvl>
    <w:lvl w:ilvl="4" w:tplc="EA461D5E">
      <w:start w:val="1"/>
      <w:numFmt w:val="bullet"/>
      <w:lvlText w:val="•"/>
      <w:lvlJc w:val="left"/>
      <w:pPr>
        <w:ind w:left="4540" w:hanging="360"/>
      </w:pPr>
      <w:rPr>
        <w:rFonts w:hint="default"/>
      </w:rPr>
    </w:lvl>
    <w:lvl w:ilvl="5" w:tplc="EEDAB3FA">
      <w:start w:val="1"/>
      <w:numFmt w:val="bullet"/>
      <w:lvlText w:val="•"/>
      <w:lvlJc w:val="left"/>
      <w:pPr>
        <w:ind w:left="5450" w:hanging="360"/>
      </w:pPr>
      <w:rPr>
        <w:rFonts w:hint="default"/>
      </w:rPr>
    </w:lvl>
    <w:lvl w:ilvl="6" w:tplc="FC200AE8">
      <w:start w:val="1"/>
      <w:numFmt w:val="bullet"/>
      <w:lvlText w:val="•"/>
      <w:lvlJc w:val="left"/>
      <w:pPr>
        <w:ind w:left="6360" w:hanging="360"/>
      </w:pPr>
      <w:rPr>
        <w:rFonts w:hint="default"/>
      </w:rPr>
    </w:lvl>
    <w:lvl w:ilvl="7" w:tplc="A7BEC272">
      <w:start w:val="1"/>
      <w:numFmt w:val="bullet"/>
      <w:lvlText w:val="•"/>
      <w:lvlJc w:val="left"/>
      <w:pPr>
        <w:ind w:left="7270" w:hanging="360"/>
      </w:pPr>
      <w:rPr>
        <w:rFonts w:hint="default"/>
      </w:rPr>
    </w:lvl>
    <w:lvl w:ilvl="8" w:tplc="1F30D14A">
      <w:start w:val="1"/>
      <w:numFmt w:val="bullet"/>
      <w:lvlText w:val="•"/>
      <w:lvlJc w:val="left"/>
      <w:pPr>
        <w:ind w:left="8180" w:hanging="360"/>
      </w:pPr>
      <w:rPr>
        <w:rFonts w:hint="default"/>
      </w:rPr>
    </w:lvl>
  </w:abstractNum>
  <w:abstractNum w:abstractNumId="61" w15:restartNumberingAfterBreak="0">
    <w:nsid w:val="3E835BF2"/>
    <w:multiLevelType w:val="hybridMultilevel"/>
    <w:tmpl w:val="2D2A16CA"/>
    <w:lvl w:ilvl="0" w:tplc="C49885A8">
      <w:start w:val="1"/>
      <w:numFmt w:val="lowerLetter"/>
      <w:lvlText w:val="(%1)"/>
      <w:lvlJc w:val="left"/>
      <w:pPr>
        <w:ind w:left="2068" w:hanging="504"/>
      </w:pPr>
      <w:rPr>
        <w:rFonts w:ascii="Garamond" w:eastAsia="Garamond" w:hAnsi="Garamond" w:hint="default"/>
        <w:w w:val="102"/>
        <w:sz w:val="14"/>
        <w:szCs w:val="14"/>
      </w:rPr>
    </w:lvl>
    <w:lvl w:ilvl="1" w:tplc="1D5CB890">
      <w:start w:val="1"/>
      <w:numFmt w:val="bullet"/>
      <w:lvlText w:val="•"/>
      <w:lvlJc w:val="left"/>
      <w:pPr>
        <w:ind w:left="3325" w:hanging="504"/>
      </w:pPr>
      <w:rPr>
        <w:rFonts w:hint="default"/>
      </w:rPr>
    </w:lvl>
    <w:lvl w:ilvl="2" w:tplc="007CF948">
      <w:start w:val="1"/>
      <w:numFmt w:val="bullet"/>
      <w:lvlText w:val="•"/>
      <w:lvlJc w:val="left"/>
      <w:pPr>
        <w:ind w:left="4583" w:hanging="504"/>
      </w:pPr>
      <w:rPr>
        <w:rFonts w:hint="default"/>
      </w:rPr>
    </w:lvl>
    <w:lvl w:ilvl="3" w:tplc="FAC4E298">
      <w:start w:val="1"/>
      <w:numFmt w:val="bullet"/>
      <w:lvlText w:val="•"/>
      <w:lvlJc w:val="left"/>
      <w:pPr>
        <w:ind w:left="5840" w:hanging="504"/>
      </w:pPr>
      <w:rPr>
        <w:rFonts w:hint="default"/>
      </w:rPr>
    </w:lvl>
    <w:lvl w:ilvl="4" w:tplc="6302B1B4">
      <w:start w:val="1"/>
      <w:numFmt w:val="bullet"/>
      <w:lvlText w:val="•"/>
      <w:lvlJc w:val="left"/>
      <w:pPr>
        <w:ind w:left="7097" w:hanging="504"/>
      </w:pPr>
      <w:rPr>
        <w:rFonts w:hint="default"/>
      </w:rPr>
    </w:lvl>
    <w:lvl w:ilvl="5" w:tplc="D5C0AC5C">
      <w:start w:val="1"/>
      <w:numFmt w:val="bullet"/>
      <w:lvlText w:val="•"/>
      <w:lvlJc w:val="left"/>
      <w:pPr>
        <w:ind w:left="8354" w:hanging="504"/>
      </w:pPr>
      <w:rPr>
        <w:rFonts w:hint="default"/>
      </w:rPr>
    </w:lvl>
    <w:lvl w:ilvl="6" w:tplc="B16E6E00">
      <w:start w:val="1"/>
      <w:numFmt w:val="bullet"/>
      <w:lvlText w:val="•"/>
      <w:lvlJc w:val="left"/>
      <w:pPr>
        <w:ind w:left="9611" w:hanging="504"/>
      </w:pPr>
      <w:rPr>
        <w:rFonts w:hint="default"/>
      </w:rPr>
    </w:lvl>
    <w:lvl w:ilvl="7" w:tplc="659A3940">
      <w:start w:val="1"/>
      <w:numFmt w:val="bullet"/>
      <w:lvlText w:val="•"/>
      <w:lvlJc w:val="left"/>
      <w:pPr>
        <w:ind w:left="10868" w:hanging="504"/>
      </w:pPr>
      <w:rPr>
        <w:rFonts w:hint="default"/>
      </w:rPr>
    </w:lvl>
    <w:lvl w:ilvl="8" w:tplc="B34AC7FE">
      <w:start w:val="1"/>
      <w:numFmt w:val="bullet"/>
      <w:lvlText w:val="•"/>
      <w:lvlJc w:val="left"/>
      <w:pPr>
        <w:ind w:left="12125" w:hanging="504"/>
      </w:pPr>
      <w:rPr>
        <w:rFonts w:hint="default"/>
      </w:rPr>
    </w:lvl>
  </w:abstractNum>
  <w:abstractNum w:abstractNumId="62" w15:restartNumberingAfterBreak="0">
    <w:nsid w:val="3EA04061"/>
    <w:multiLevelType w:val="hybridMultilevel"/>
    <w:tmpl w:val="CC103240"/>
    <w:lvl w:ilvl="0" w:tplc="54CC7736">
      <w:start w:val="1"/>
      <w:numFmt w:val="upperRoman"/>
      <w:lvlText w:val="%1."/>
      <w:lvlJc w:val="left"/>
      <w:pPr>
        <w:ind w:left="720" w:hanging="360"/>
      </w:pPr>
      <w:rPr>
        <w:rFonts w:ascii="Times New Roman" w:hAnsi="Times New Roman" w:hint="default"/>
        <w:b/>
        <w:i w:val="0"/>
        <w:caps w:val="0"/>
        <w:strike w:val="0"/>
        <w:dstrike w:val="0"/>
        <w:vanish w:val="0"/>
        <w:spacing w:val="0"/>
        <w:w w:val="100"/>
        <w:kern w:val="0"/>
        <w:position w:val="0"/>
        <w:sz w:val="24"/>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FB073E2"/>
    <w:multiLevelType w:val="hybridMultilevel"/>
    <w:tmpl w:val="55DC5E3A"/>
    <w:lvl w:ilvl="0" w:tplc="88105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FD758AD"/>
    <w:multiLevelType w:val="hybridMultilevel"/>
    <w:tmpl w:val="60900F54"/>
    <w:lvl w:ilvl="0" w:tplc="55D8A9D6">
      <w:start w:val="1"/>
      <w:numFmt w:val="upperRoman"/>
      <w:lvlText w:val="%1."/>
      <w:lvlJc w:val="left"/>
      <w:pPr>
        <w:ind w:left="900" w:hanging="720"/>
      </w:pPr>
      <w:rPr>
        <w:rFonts w:ascii="Times New Roman" w:eastAsia="Times New Roman" w:hAnsi="Times New Roman" w:hint="default"/>
        <w:b/>
        <w:bCs/>
        <w:sz w:val="24"/>
        <w:szCs w:val="24"/>
      </w:rPr>
    </w:lvl>
    <w:lvl w:ilvl="1" w:tplc="EE76B92C">
      <w:start w:val="1"/>
      <w:numFmt w:val="decimal"/>
      <w:lvlText w:val="%2."/>
      <w:lvlJc w:val="left"/>
      <w:pPr>
        <w:ind w:left="1620" w:hanging="720"/>
        <w:jc w:val="right"/>
      </w:pPr>
      <w:rPr>
        <w:rFonts w:ascii="Times New Roman" w:eastAsia="Times New Roman" w:hAnsi="Times New Roman" w:hint="default"/>
        <w:sz w:val="24"/>
        <w:szCs w:val="24"/>
      </w:rPr>
    </w:lvl>
    <w:lvl w:ilvl="2" w:tplc="74EE3E26">
      <w:start w:val="1"/>
      <w:numFmt w:val="upperLetter"/>
      <w:lvlText w:val="%3."/>
      <w:lvlJc w:val="left"/>
      <w:pPr>
        <w:ind w:left="1620" w:hanging="720"/>
        <w:jc w:val="right"/>
      </w:pPr>
      <w:rPr>
        <w:rFonts w:ascii="Times New Roman" w:eastAsia="Times New Roman" w:hAnsi="Times New Roman" w:hint="default"/>
        <w:b/>
        <w:bCs/>
        <w:spacing w:val="-1"/>
        <w:sz w:val="24"/>
        <w:szCs w:val="24"/>
      </w:rPr>
    </w:lvl>
    <w:lvl w:ilvl="3" w:tplc="89CE040A">
      <w:start w:val="1"/>
      <w:numFmt w:val="bullet"/>
      <w:lvlText w:val="•"/>
      <w:lvlJc w:val="left"/>
      <w:pPr>
        <w:ind w:left="1620" w:hanging="720"/>
      </w:pPr>
      <w:rPr>
        <w:rFonts w:hint="default"/>
      </w:rPr>
    </w:lvl>
    <w:lvl w:ilvl="4" w:tplc="34341410">
      <w:start w:val="1"/>
      <w:numFmt w:val="bullet"/>
      <w:lvlText w:val="•"/>
      <w:lvlJc w:val="left"/>
      <w:pPr>
        <w:ind w:left="2817" w:hanging="720"/>
      </w:pPr>
      <w:rPr>
        <w:rFonts w:hint="default"/>
      </w:rPr>
    </w:lvl>
    <w:lvl w:ilvl="5" w:tplc="03FE6872">
      <w:start w:val="1"/>
      <w:numFmt w:val="bullet"/>
      <w:lvlText w:val="•"/>
      <w:lvlJc w:val="left"/>
      <w:pPr>
        <w:ind w:left="4014" w:hanging="720"/>
      </w:pPr>
      <w:rPr>
        <w:rFonts w:hint="default"/>
      </w:rPr>
    </w:lvl>
    <w:lvl w:ilvl="6" w:tplc="542452DC">
      <w:start w:val="1"/>
      <w:numFmt w:val="bullet"/>
      <w:lvlText w:val="•"/>
      <w:lvlJc w:val="left"/>
      <w:pPr>
        <w:ind w:left="5211" w:hanging="720"/>
      </w:pPr>
      <w:rPr>
        <w:rFonts w:hint="default"/>
      </w:rPr>
    </w:lvl>
    <w:lvl w:ilvl="7" w:tplc="43581044">
      <w:start w:val="1"/>
      <w:numFmt w:val="bullet"/>
      <w:lvlText w:val="•"/>
      <w:lvlJc w:val="left"/>
      <w:pPr>
        <w:ind w:left="6408" w:hanging="720"/>
      </w:pPr>
      <w:rPr>
        <w:rFonts w:hint="default"/>
      </w:rPr>
    </w:lvl>
    <w:lvl w:ilvl="8" w:tplc="43E296E4">
      <w:start w:val="1"/>
      <w:numFmt w:val="bullet"/>
      <w:lvlText w:val="•"/>
      <w:lvlJc w:val="left"/>
      <w:pPr>
        <w:ind w:left="7605" w:hanging="720"/>
      </w:pPr>
      <w:rPr>
        <w:rFonts w:hint="default"/>
      </w:rPr>
    </w:lvl>
  </w:abstractNum>
  <w:abstractNum w:abstractNumId="65" w15:restartNumberingAfterBreak="0">
    <w:nsid w:val="40EC5EAB"/>
    <w:multiLevelType w:val="hybridMultilevel"/>
    <w:tmpl w:val="19E0015E"/>
    <w:lvl w:ilvl="0" w:tplc="B4D8718E">
      <w:start w:val="1"/>
      <w:numFmt w:val="decimal"/>
      <w:lvlText w:val="%1."/>
      <w:lvlJc w:val="left"/>
      <w:pPr>
        <w:ind w:left="-360" w:firstLine="144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1510C01"/>
    <w:multiLevelType w:val="hybridMultilevel"/>
    <w:tmpl w:val="66C88658"/>
    <w:lvl w:ilvl="0" w:tplc="616263D0">
      <w:start w:val="1"/>
      <w:numFmt w:val="decimal"/>
      <w:lvlText w:val="%1)"/>
      <w:lvlJc w:val="left"/>
      <w:pPr>
        <w:ind w:left="1620" w:hanging="720"/>
      </w:pPr>
      <w:rPr>
        <w:rFonts w:ascii="Times New Roman" w:eastAsia="Times New Roman" w:hAnsi="Times New Roman" w:hint="default"/>
        <w:sz w:val="24"/>
        <w:szCs w:val="24"/>
      </w:rPr>
    </w:lvl>
    <w:lvl w:ilvl="1" w:tplc="A16C4E34">
      <w:start w:val="1"/>
      <w:numFmt w:val="bullet"/>
      <w:lvlText w:val="•"/>
      <w:lvlJc w:val="left"/>
      <w:pPr>
        <w:ind w:left="2458" w:hanging="720"/>
      </w:pPr>
      <w:rPr>
        <w:rFonts w:hint="default"/>
      </w:rPr>
    </w:lvl>
    <w:lvl w:ilvl="2" w:tplc="A316EF76">
      <w:start w:val="1"/>
      <w:numFmt w:val="bullet"/>
      <w:lvlText w:val="•"/>
      <w:lvlJc w:val="left"/>
      <w:pPr>
        <w:ind w:left="3296" w:hanging="720"/>
      </w:pPr>
      <w:rPr>
        <w:rFonts w:hint="default"/>
      </w:rPr>
    </w:lvl>
    <w:lvl w:ilvl="3" w:tplc="0080707A">
      <w:start w:val="1"/>
      <w:numFmt w:val="bullet"/>
      <w:lvlText w:val="•"/>
      <w:lvlJc w:val="left"/>
      <w:pPr>
        <w:ind w:left="4134" w:hanging="720"/>
      </w:pPr>
      <w:rPr>
        <w:rFonts w:hint="default"/>
      </w:rPr>
    </w:lvl>
    <w:lvl w:ilvl="4" w:tplc="648A7BF0">
      <w:start w:val="1"/>
      <w:numFmt w:val="bullet"/>
      <w:lvlText w:val="•"/>
      <w:lvlJc w:val="left"/>
      <w:pPr>
        <w:ind w:left="4972" w:hanging="720"/>
      </w:pPr>
      <w:rPr>
        <w:rFonts w:hint="default"/>
      </w:rPr>
    </w:lvl>
    <w:lvl w:ilvl="5" w:tplc="19C61DB8">
      <w:start w:val="1"/>
      <w:numFmt w:val="bullet"/>
      <w:lvlText w:val="•"/>
      <w:lvlJc w:val="left"/>
      <w:pPr>
        <w:ind w:left="5810" w:hanging="720"/>
      </w:pPr>
      <w:rPr>
        <w:rFonts w:hint="default"/>
      </w:rPr>
    </w:lvl>
    <w:lvl w:ilvl="6" w:tplc="7AF0D0BE">
      <w:start w:val="1"/>
      <w:numFmt w:val="bullet"/>
      <w:lvlText w:val="•"/>
      <w:lvlJc w:val="left"/>
      <w:pPr>
        <w:ind w:left="6648" w:hanging="720"/>
      </w:pPr>
      <w:rPr>
        <w:rFonts w:hint="default"/>
      </w:rPr>
    </w:lvl>
    <w:lvl w:ilvl="7" w:tplc="BA7C9F2A">
      <w:start w:val="1"/>
      <w:numFmt w:val="bullet"/>
      <w:lvlText w:val="•"/>
      <w:lvlJc w:val="left"/>
      <w:pPr>
        <w:ind w:left="7486" w:hanging="720"/>
      </w:pPr>
      <w:rPr>
        <w:rFonts w:hint="default"/>
      </w:rPr>
    </w:lvl>
    <w:lvl w:ilvl="8" w:tplc="BA3E7664">
      <w:start w:val="1"/>
      <w:numFmt w:val="bullet"/>
      <w:lvlText w:val="•"/>
      <w:lvlJc w:val="left"/>
      <w:pPr>
        <w:ind w:left="8324" w:hanging="720"/>
      </w:pPr>
      <w:rPr>
        <w:rFonts w:hint="default"/>
      </w:rPr>
    </w:lvl>
  </w:abstractNum>
  <w:abstractNum w:abstractNumId="67" w15:restartNumberingAfterBreak="0">
    <w:nsid w:val="41E70222"/>
    <w:multiLevelType w:val="hybridMultilevel"/>
    <w:tmpl w:val="19EE22CE"/>
    <w:lvl w:ilvl="0" w:tplc="20E67EDE">
      <w:start w:val="1"/>
      <w:numFmt w:val="upperLetter"/>
      <w:lvlText w:val="%1."/>
      <w:lvlJc w:val="left"/>
      <w:pPr>
        <w:ind w:left="1260" w:hanging="360"/>
      </w:pPr>
      <w:rPr>
        <w:rFonts w:ascii="Times New Roman" w:hAnsi="Times New Roman" w:cs="Times New Roman" w:hint="default"/>
        <w:sz w:val="24"/>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15:restartNumberingAfterBreak="0">
    <w:nsid w:val="42021119"/>
    <w:multiLevelType w:val="multilevel"/>
    <w:tmpl w:val="4EAA4392"/>
    <w:lvl w:ilvl="0">
      <w:start w:val="1"/>
      <w:numFmt w:val="decimal"/>
      <w:lvlText w:val="%1."/>
      <w:lvlJc w:val="left"/>
      <w:rPr>
        <w:rFonts w:ascii="Calibri" w:hAnsi="Calibri" w:cs="Times New Roman" w:hint="default"/>
        <w:b w:val="0"/>
        <w:i w:val="0"/>
        <w:color w:val="1B5877"/>
        <w:sz w:val="52"/>
        <w:u w:val="none" w:color="1B5877"/>
      </w:rPr>
    </w:lvl>
    <w:lvl w:ilvl="1">
      <w:start w:val="1"/>
      <w:numFmt w:val="decimal"/>
      <w:lvlText w:val="%1.%2"/>
      <w:lvlJc w:val="left"/>
      <w:pPr>
        <w:tabs>
          <w:tab w:val="num" w:pos="144"/>
        </w:tabs>
      </w:pPr>
      <w:rPr>
        <w:rFonts w:ascii="Calibri" w:hAnsi="Calibri" w:cs="Times New Roman" w:hint="default"/>
        <w:b/>
        <w:i w:val="0"/>
        <w:color w:val="912A1F"/>
        <w:sz w:val="32"/>
      </w:rPr>
    </w:lvl>
    <w:lvl w:ilvl="2">
      <w:start w:val="1"/>
      <w:numFmt w:val="decimal"/>
      <w:lvlText w:val="%1.%2.%3"/>
      <w:lvlJc w:val="left"/>
      <w:pPr>
        <w:tabs>
          <w:tab w:val="num" w:pos="864"/>
        </w:tabs>
      </w:pPr>
      <w:rPr>
        <w:rFonts w:ascii="Calibri" w:hAnsi="Calibri" w:cs="Times New Roman" w:hint="default"/>
        <w:b/>
        <w:i w:val="0"/>
        <w:color w:val="B46D04"/>
        <w:sz w:val="28"/>
      </w:rPr>
    </w:lvl>
    <w:lvl w:ilvl="3">
      <w:start w:val="1"/>
      <w:numFmt w:val="decimal"/>
      <w:lvlText w:val="%1.%2.%3.%4."/>
      <w:lvlJc w:val="left"/>
      <w:pPr>
        <w:tabs>
          <w:tab w:val="num" w:pos="1368"/>
        </w:tabs>
        <w:ind w:left="1368" w:hanging="648"/>
      </w:pPr>
      <w:rPr>
        <w:rFonts w:cs="Times New Roman" w:hint="default"/>
      </w:rPr>
    </w:lvl>
    <w:lvl w:ilvl="4">
      <w:start w:val="1"/>
      <w:numFmt w:val="decimal"/>
      <w:lvlText w:val="%1.%2.%3.%4.%5."/>
      <w:lvlJc w:val="left"/>
      <w:pPr>
        <w:tabs>
          <w:tab w:val="num" w:pos="1872"/>
        </w:tabs>
        <w:ind w:left="1872" w:hanging="792"/>
      </w:pPr>
      <w:rPr>
        <w:rFonts w:cs="Times New Roman" w:hint="default"/>
      </w:rPr>
    </w:lvl>
    <w:lvl w:ilvl="5">
      <w:start w:val="1"/>
      <w:numFmt w:val="decimal"/>
      <w:lvlText w:val="%1.%2.%3.%4.%5.%6."/>
      <w:lvlJc w:val="left"/>
      <w:pPr>
        <w:tabs>
          <w:tab w:val="num" w:pos="2376"/>
        </w:tabs>
        <w:ind w:left="2376" w:hanging="936"/>
      </w:pPr>
      <w:rPr>
        <w:rFonts w:cs="Times New Roman" w:hint="default"/>
      </w:rPr>
    </w:lvl>
    <w:lvl w:ilvl="6">
      <w:start w:val="1"/>
      <w:numFmt w:val="decimal"/>
      <w:lvlText w:val="%1.%2.%3.%4.%5.%6.%7."/>
      <w:lvlJc w:val="left"/>
      <w:pPr>
        <w:tabs>
          <w:tab w:val="num" w:pos="2880"/>
        </w:tabs>
        <w:ind w:left="2880" w:hanging="1080"/>
      </w:pPr>
      <w:rPr>
        <w:rFonts w:cs="Times New Roman" w:hint="default"/>
      </w:rPr>
    </w:lvl>
    <w:lvl w:ilvl="7">
      <w:start w:val="1"/>
      <w:numFmt w:val="decimal"/>
      <w:lvlText w:val="%1.%2.%3.%4.%5.%6.%7.%8."/>
      <w:lvlJc w:val="left"/>
      <w:pPr>
        <w:tabs>
          <w:tab w:val="num" w:pos="3384"/>
        </w:tabs>
        <w:ind w:left="3384" w:hanging="1224"/>
      </w:pPr>
      <w:rPr>
        <w:rFonts w:cs="Times New Roman" w:hint="default"/>
      </w:rPr>
    </w:lvl>
    <w:lvl w:ilvl="8">
      <w:start w:val="1"/>
      <w:numFmt w:val="decimal"/>
      <w:lvlText w:val="%1.%2.%3.%4.%5.%6.%7.%8.%9."/>
      <w:lvlJc w:val="left"/>
      <w:pPr>
        <w:tabs>
          <w:tab w:val="num" w:pos="3960"/>
        </w:tabs>
        <w:ind w:left="3960" w:hanging="1440"/>
      </w:pPr>
      <w:rPr>
        <w:rFonts w:cs="Times New Roman" w:hint="default"/>
      </w:rPr>
    </w:lvl>
  </w:abstractNum>
  <w:abstractNum w:abstractNumId="69" w15:restartNumberingAfterBreak="0">
    <w:nsid w:val="43EA2612"/>
    <w:multiLevelType w:val="hybridMultilevel"/>
    <w:tmpl w:val="BF4C63F4"/>
    <w:lvl w:ilvl="0" w:tplc="16923C1E">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15:restartNumberingAfterBreak="0">
    <w:nsid w:val="43FF473A"/>
    <w:multiLevelType w:val="hybridMultilevel"/>
    <w:tmpl w:val="886C3708"/>
    <w:lvl w:ilvl="0" w:tplc="A300E650">
      <w:start w:val="1"/>
      <w:numFmt w:val="lowerLetter"/>
      <w:lvlText w:val="(%1)"/>
      <w:lvlJc w:val="left"/>
      <w:pPr>
        <w:ind w:left="2068" w:hanging="504"/>
      </w:pPr>
      <w:rPr>
        <w:rFonts w:ascii="Garamond" w:eastAsia="Garamond" w:hAnsi="Garamond" w:hint="default"/>
        <w:w w:val="102"/>
        <w:sz w:val="14"/>
        <w:szCs w:val="14"/>
      </w:rPr>
    </w:lvl>
    <w:lvl w:ilvl="1" w:tplc="427E5F72">
      <w:start w:val="1"/>
      <w:numFmt w:val="bullet"/>
      <w:lvlText w:val="•"/>
      <w:lvlJc w:val="left"/>
      <w:pPr>
        <w:ind w:left="3325" w:hanging="504"/>
      </w:pPr>
      <w:rPr>
        <w:rFonts w:hint="default"/>
      </w:rPr>
    </w:lvl>
    <w:lvl w:ilvl="2" w:tplc="1A988208">
      <w:start w:val="1"/>
      <w:numFmt w:val="bullet"/>
      <w:lvlText w:val="•"/>
      <w:lvlJc w:val="left"/>
      <w:pPr>
        <w:ind w:left="4583" w:hanging="504"/>
      </w:pPr>
      <w:rPr>
        <w:rFonts w:hint="default"/>
      </w:rPr>
    </w:lvl>
    <w:lvl w:ilvl="3" w:tplc="E2427B82">
      <w:start w:val="1"/>
      <w:numFmt w:val="bullet"/>
      <w:lvlText w:val="•"/>
      <w:lvlJc w:val="left"/>
      <w:pPr>
        <w:ind w:left="5840" w:hanging="504"/>
      </w:pPr>
      <w:rPr>
        <w:rFonts w:hint="default"/>
      </w:rPr>
    </w:lvl>
    <w:lvl w:ilvl="4" w:tplc="D15096C8">
      <w:start w:val="1"/>
      <w:numFmt w:val="bullet"/>
      <w:lvlText w:val="•"/>
      <w:lvlJc w:val="left"/>
      <w:pPr>
        <w:ind w:left="7097" w:hanging="504"/>
      </w:pPr>
      <w:rPr>
        <w:rFonts w:hint="default"/>
      </w:rPr>
    </w:lvl>
    <w:lvl w:ilvl="5" w:tplc="1456A026">
      <w:start w:val="1"/>
      <w:numFmt w:val="bullet"/>
      <w:lvlText w:val="•"/>
      <w:lvlJc w:val="left"/>
      <w:pPr>
        <w:ind w:left="8354" w:hanging="504"/>
      </w:pPr>
      <w:rPr>
        <w:rFonts w:hint="default"/>
      </w:rPr>
    </w:lvl>
    <w:lvl w:ilvl="6" w:tplc="708C4C34">
      <w:start w:val="1"/>
      <w:numFmt w:val="bullet"/>
      <w:lvlText w:val="•"/>
      <w:lvlJc w:val="left"/>
      <w:pPr>
        <w:ind w:left="9611" w:hanging="504"/>
      </w:pPr>
      <w:rPr>
        <w:rFonts w:hint="default"/>
      </w:rPr>
    </w:lvl>
    <w:lvl w:ilvl="7" w:tplc="C0FAB514">
      <w:start w:val="1"/>
      <w:numFmt w:val="bullet"/>
      <w:lvlText w:val="•"/>
      <w:lvlJc w:val="left"/>
      <w:pPr>
        <w:ind w:left="10868" w:hanging="504"/>
      </w:pPr>
      <w:rPr>
        <w:rFonts w:hint="default"/>
      </w:rPr>
    </w:lvl>
    <w:lvl w:ilvl="8" w:tplc="47505468">
      <w:start w:val="1"/>
      <w:numFmt w:val="bullet"/>
      <w:lvlText w:val="•"/>
      <w:lvlJc w:val="left"/>
      <w:pPr>
        <w:ind w:left="12125" w:hanging="504"/>
      </w:pPr>
      <w:rPr>
        <w:rFonts w:hint="default"/>
      </w:rPr>
    </w:lvl>
  </w:abstractNum>
  <w:abstractNum w:abstractNumId="71" w15:restartNumberingAfterBreak="0">
    <w:nsid w:val="459222F3"/>
    <w:multiLevelType w:val="hybridMultilevel"/>
    <w:tmpl w:val="E9F2862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47BA63D0"/>
    <w:multiLevelType w:val="hybridMultilevel"/>
    <w:tmpl w:val="42F6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8567B7"/>
    <w:multiLevelType w:val="hybridMultilevel"/>
    <w:tmpl w:val="48AE8C16"/>
    <w:lvl w:ilvl="0" w:tplc="BBA06DB0">
      <w:start w:val="3"/>
      <w:numFmt w:val="decimal"/>
      <w:lvlText w:val="(%1)"/>
      <w:lvlJc w:val="left"/>
      <w:pPr>
        <w:ind w:left="610" w:hanging="340"/>
      </w:pPr>
      <w:rPr>
        <w:rFonts w:ascii="Times New Roman" w:eastAsia="Times New Roman" w:hAnsi="Times New Roman" w:hint="default"/>
        <w:sz w:val="24"/>
        <w:szCs w:val="24"/>
      </w:rPr>
    </w:lvl>
    <w:lvl w:ilvl="1" w:tplc="97204452">
      <w:start w:val="1"/>
      <w:numFmt w:val="upperLetter"/>
      <w:lvlText w:val="%2."/>
      <w:lvlJc w:val="left"/>
      <w:pPr>
        <w:ind w:left="2511" w:hanging="720"/>
        <w:jc w:val="right"/>
      </w:pPr>
      <w:rPr>
        <w:rFonts w:ascii="Times New Roman" w:eastAsia="Times New Roman" w:hAnsi="Times New Roman" w:hint="default"/>
        <w:b/>
        <w:bCs/>
        <w:spacing w:val="-1"/>
        <w:sz w:val="24"/>
        <w:szCs w:val="24"/>
      </w:rPr>
    </w:lvl>
    <w:lvl w:ilvl="2" w:tplc="6B447924">
      <w:start w:val="1"/>
      <w:numFmt w:val="decimal"/>
      <w:lvlText w:val="%3."/>
      <w:lvlJc w:val="left"/>
      <w:pPr>
        <w:ind w:left="2431" w:hanging="720"/>
      </w:pPr>
      <w:rPr>
        <w:rFonts w:ascii="Times New Roman" w:eastAsia="Times New Roman" w:hAnsi="Times New Roman" w:hint="default"/>
        <w:b/>
        <w:bCs/>
        <w:sz w:val="24"/>
        <w:szCs w:val="24"/>
      </w:rPr>
    </w:lvl>
    <w:lvl w:ilvl="3" w:tplc="EE642D04">
      <w:start w:val="1"/>
      <w:numFmt w:val="bullet"/>
      <w:lvlText w:val="•"/>
      <w:lvlJc w:val="left"/>
      <w:pPr>
        <w:ind w:left="3458" w:hanging="720"/>
      </w:pPr>
      <w:rPr>
        <w:rFonts w:hint="default"/>
      </w:rPr>
    </w:lvl>
    <w:lvl w:ilvl="4" w:tplc="3A066FC4">
      <w:start w:val="1"/>
      <w:numFmt w:val="bullet"/>
      <w:lvlText w:val="•"/>
      <w:lvlJc w:val="left"/>
      <w:pPr>
        <w:ind w:left="4406" w:hanging="720"/>
      </w:pPr>
      <w:rPr>
        <w:rFonts w:hint="default"/>
      </w:rPr>
    </w:lvl>
    <w:lvl w:ilvl="5" w:tplc="26C48CBA">
      <w:start w:val="1"/>
      <w:numFmt w:val="bullet"/>
      <w:lvlText w:val="•"/>
      <w:lvlJc w:val="left"/>
      <w:pPr>
        <w:ind w:left="5353" w:hanging="720"/>
      </w:pPr>
      <w:rPr>
        <w:rFonts w:hint="default"/>
      </w:rPr>
    </w:lvl>
    <w:lvl w:ilvl="6" w:tplc="45F080A6">
      <w:start w:val="1"/>
      <w:numFmt w:val="bullet"/>
      <w:lvlText w:val="•"/>
      <w:lvlJc w:val="left"/>
      <w:pPr>
        <w:ind w:left="6301" w:hanging="720"/>
      </w:pPr>
      <w:rPr>
        <w:rFonts w:hint="default"/>
      </w:rPr>
    </w:lvl>
    <w:lvl w:ilvl="7" w:tplc="E5C42DBE">
      <w:start w:val="1"/>
      <w:numFmt w:val="bullet"/>
      <w:lvlText w:val="•"/>
      <w:lvlJc w:val="left"/>
      <w:pPr>
        <w:ind w:left="7248" w:hanging="720"/>
      </w:pPr>
      <w:rPr>
        <w:rFonts w:hint="default"/>
      </w:rPr>
    </w:lvl>
    <w:lvl w:ilvl="8" w:tplc="4B4AC946">
      <w:start w:val="1"/>
      <w:numFmt w:val="bullet"/>
      <w:lvlText w:val="•"/>
      <w:lvlJc w:val="left"/>
      <w:pPr>
        <w:ind w:left="8196" w:hanging="720"/>
      </w:pPr>
      <w:rPr>
        <w:rFonts w:hint="default"/>
      </w:rPr>
    </w:lvl>
  </w:abstractNum>
  <w:abstractNum w:abstractNumId="74" w15:restartNumberingAfterBreak="0">
    <w:nsid w:val="48900256"/>
    <w:multiLevelType w:val="hybridMultilevel"/>
    <w:tmpl w:val="9FA8566C"/>
    <w:lvl w:ilvl="0" w:tplc="070A65F4">
      <w:start w:val="1"/>
      <w:numFmt w:val="bullet"/>
      <w:lvlText w:val=""/>
      <w:lvlJc w:val="left"/>
      <w:pPr>
        <w:ind w:left="720" w:hanging="360"/>
      </w:pPr>
      <w:rPr>
        <w:rFonts w:ascii="Wingdings 2" w:hAnsi="Wingdings 2" w:hint="default"/>
        <w:color w:val="00507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2E46B1"/>
    <w:multiLevelType w:val="hybridMultilevel"/>
    <w:tmpl w:val="8138AF10"/>
    <w:lvl w:ilvl="0" w:tplc="04090001">
      <w:start w:val="1"/>
      <w:numFmt w:val="bullet"/>
      <w:lvlText w:val=""/>
      <w:lvlJc w:val="left"/>
      <w:pPr>
        <w:ind w:left="1080" w:hanging="360"/>
      </w:pPr>
      <w:rPr>
        <w:rFonts w:ascii="Symbol" w:hAnsi="Symbol" w:hint="default"/>
      </w:rPr>
    </w:lvl>
    <w:lvl w:ilvl="1" w:tplc="EAE86B44">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D2D7593"/>
    <w:multiLevelType w:val="hybridMultilevel"/>
    <w:tmpl w:val="755C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783B59"/>
    <w:multiLevelType w:val="hybridMultilevel"/>
    <w:tmpl w:val="7E40BF34"/>
    <w:lvl w:ilvl="0" w:tplc="84BEE642">
      <w:start w:val="1"/>
      <w:numFmt w:val="decimal"/>
      <w:lvlText w:val="%1.1.1.1"/>
      <w:lvlJc w:val="left"/>
      <w:pPr>
        <w:ind w:left="720" w:hanging="360"/>
      </w:pPr>
      <w:rPr>
        <w:rFonts w:hint="default"/>
        <w:color w:val="B1953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531A10"/>
    <w:multiLevelType w:val="hybridMultilevel"/>
    <w:tmpl w:val="FA7854E4"/>
    <w:lvl w:ilvl="0" w:tplc="0322AB98">
      <w:start w:val="1"/>
      <w:numFmt w:val="lowerLetter"/>
      <w:lvlText w:val="(%1)"/>
      <w:lvlJc w:val="left"/>
      <w:pPr>
        <w:ind w:left="2068" w:hanging="504"/>
      </w:pPr>
      <w:rPr>
        <w:rFonts w:ascii="Garamond" w:eastAsia="Garamond" w:hAnsi="Garamond" w:hint="default"/>
        <w:w w:val="102"/>
        <w:sz w:val="14"/>
        <w:szCs w:val="14"/>
      </w:rPr>
    </w:lvl>
    <w:lvl w:ilvl="1" w:tplc="6FB62598">
      <w:start w:val="1"/>
      <w:numFmt w:val="bullet"/>
      <w:lvlText w:val="•"/>
      <w:lvlJc w:val="left"/>
      <w:pPr>
        <w:ind w:left="3325" w:hanging="504"/>
      </w:pPr>
      <w:rPr>
        <w:rFonts w:hint="default"/>
      </w:rPr>
    </w:lvl>
    <w:lvl w:ilvl="2" w:tplc="B678B9FC">
      <w:start w:val="1"/>
      <w:numFmt w:val="bullet"/>
      <w:lvlText w:val="•"/>
      <w:lvlJc w:val="left"/>
      <w:pPr>
        <w:ind w:left="4583" w:hanging="504"/>
      </w:pPr>
      <w:rPr>
        <w:rFonts w:hint="default"/>
      </w:rPr>
    </w:lvl>
    <w:lvl w:ilvl="3" w:tplc="90D83056">
      <w:start w:val="1"/>
      <w:numFmt w:val="bullet"/>
      <w:lvlText w:val="•"/>
      <w:lvlJc w:val="left"/>
      <w:pPr>
        <w:ind w:left="5840" w:hanging="504"/>
      </w:pPr>
      <w:rPr>
        <w:rFonts w:hint="default"/>
      </w:rPr>
    </w:lvl>
    <w:lvl w:ilvl="4" w:tplc="9C6429BE">
      <w:start w:val="1"/>
      <w:numFmt w:val="bullet"/>
      <w:lvlText w:val="•"/>
      <w:lvlJc w:val="left"/>
      <w:pPr>
        <w:ind w:left="7097" w:hanging="504"/>
      </w:pPr>
      <w:rPr>
        <w:rFonts w:hint="default"/>
      </w:rPr>
    </w:lvl>
    <w:lvl w:ilvl="5" w:tplc="E5FA4B5E">
      <w:start w:val="1"/>
      <w:numFmt w:val="bullet"/>
      <w:lvlText w:val="•"/>
      <w:lvlJc w:val="left"/>
      <w:pPr>
        <w:ind w:left="8354" w:hanging="504"/>
      </w:pPr>
      <w:rPr>
        <w:rFonts w:hint="default"/>
      </w:rPr>
    </w:lvl>
    <w:lvl w:ilvl="6" w:tplc="C68A1074">
      <w:start w:val="1"/>
      <w:numFmt w:val="bullet"/>
      <w:lvlText w:val="•"/>
      <w:lvlJc w:val="left"/>
      <w:pPr>
        <w:ind w:left="9611" w:hanging="504"/>
      </w:pPr>
      <w:rPr>
        <w:rFonts w:hint="default"/>
      </w:rPr>
    </w:lvl>
    <w:lvl w:ilvl="7" w:tplc="729401EE">
      <w:start w:val="1"/>
      <w:numFmt w:val="bullet"/>
      <w:lvlText w:val="•"/>
      <w:lvlJc w:val="left"/>
      <w:pPr>
        <w:ind w:left="10868" w:hanging="504"/>
      </w:pPr>
      <w:rPr>
        <w:rFonts w:hint="default"/>
      </w:rPr>
    </w:lvl>
    <w:lvl w:ilvl="8" w:tplc="4CE45218">
      <w:start w:val="1"/>
      <w:numFmt w:val="bullet"/>
      <w:lvlText w:val="•"/>
      <w:lvlJc w:val="left"/>
      <w:pPr>
        <w:ind w:left="12125" w:hanging="504"/>
      </w:pPr>
      <w:rPr>
        <w:rFonts w:hint="default"/>
      </w:rPr>
    </w:lvl>
  </w:abstractNum>
  <w:abstractNum w:abstractNumId="79" w15:restartNumberingAfterBreak="0">
    <w:nsid w:val="4EC06770"/>
    <w:multiLevelType w:val="hybridMultilevel"/>
    <w:tmpl w:val="26A27D90"/>
    <w:lvl w:ilvl="0" w:tplc="269CAC76">
      <w:start w:val="2"/>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54629F"/>
    <w:multiLevelType w:val="hybridMultilevel"/>
    <w:tmpl w:val="632C01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9A7C87"/>
    <w:multiLevelType w:val="hybridMultilevel"/>
    <w:tmpl w:val="34E49756"/>
    <w:lvl w:ilvl="0" w:tplc="CDC825FC">
      <w:start w:val="1"/>
      <w:numFmt w:val="upperLetter"/>
      <w:lvlText w:val="%1."/>
      <w:lvlJc w:val="left"/>
      <w:pPr>
        <w:ind w:left="720" w:hanging="360"/>
      </w:pPr>
      <w:rPr>
        <w:rFonts w:ascii="Times New Roman" w:hAnsi="Times New Roman" w:cs="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2235CF7"/>
    <w:multiLevelType w:val="hybridMultilevel"/>
    <w:tmpl w:val="631EEEA4"/>
    <w:lvl w:ilvl="0" w:tplc="070A65F4">
      <w:start w:val="1"/>
      <w:numFmt w:val="bullet"/>
      <w:lvlText w:val=""/>
      <w:lvlJc w:val="left"/>
      <w:pPr>
        <w:tabs>
          <w:tab w:val="num" w:pos="720"/>
        </w:tabs>
        <w:ind w:left="720" w:hanging="360"/>
      </w:pPr>
      <w:rPr>
        <w:rFonts w:ascii="Wingdings 2" w:hAnsi="Wingdings 2" w:hint="default"/>
        <w:color w:val="00507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35D5E0E"/>
    <w:multiLevelType w:val="hybridMultilevel"/>
    <w:tmpl w:val="43160FCA"/>
    <w:lvl w:ilvl="0" w:tplc="DF265B5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5211F2B"/>
    <w:multiLevelType w:val="hybridMultilevel"/>
    <w:tmpl w:val="3D02FA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56500B16"/>
    <w:multiLevelType w:val="hybridMultilevel"/>
    <w:tmpl w:val="B2760D40"/>
    <w:lvl w:ilvl="0" w:tplc="832EEF94">
      <w:start w:val="1"/>
      <w:numFmt w:val="upperLetter"/>
      <w:lvlText w:val="%1."/>
      <w:lvlJc w:val="left"/>
      <w:pPr>
        <w:ind w:left="720" w:hanging="360"/>
      </w:pPr>
      <w:rPr>
        <w:rFonts w:ascii="Times New Roman" w:hAnsi="Times New Roman" w:cs="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73024CA"/>
    <w:multiLevelType w:val="hybridMultilevel"/>
    <w:tmpl w:val="13C4A0FE"/>
    <w:lvl w:ilvl="0" w:tplc="CDB8BFAE">
      <w:start w:val="1"/>
      <w:numFmt w:val="upperLetter"/>
      <w:lvlText w:val="%1."/>
      <w:lvlJc w:val="left"/>
      <w:pPr>
        <w:ind w:left="1620" w:hanging="720"/>
      </w:pPr>
      <w:rPr>
        <w:rFonts w:ascii="Times New Roman" w:eastAsia="Times New Roman" w:hAnsi="Times New Roman" w:hint="default"/>
        <w:b/>
        <w:bCs/>
        <w:spacing w:val="-1"/>
        <w:sz w:val="24"/>
        <w:szCs w:val="24"/>
      </w:rPr>
    </w:lvl>
    <w:lvl w:ilvl="1" w:tplc="FE42F7A4">
      <w:start w:val="1"/>
      <w:numFmt w:val="bullet"/>
      <w:lvlText w:val="•"/>
      <w:lvlJc w:val="left"/>
      <w:pPr>
        <w:ind w:left="2458" w:hanging="720"/>
      </w:pPr>
      <w:rPr>
        <w:rFonts w:hint="default"/>
      </w:rPr>
    </w:lvl>
    <w:lvl w:ilvl="2" w:tplc="0A0CC560">
      <w:start w:val="1"/>
      <w:numFmt w:val="bullet"/>
      <w:lvlText w:val="•"/>
      <w:lvlJc w:val="left"/>
      <w:pPr>
        <w:ind w:left="3296" w:hanging="720"/>
      </w:pPr>
      <w:rPr>
        <w:rFonts w:hint="default"/>
      </w:rPr>
    </w:lvl>
    <w:lvl w:ilvl="3" w:tplc="95E28710">
      <w:start w:val="1"/>
      <w:numFmt w:val="bullet"/>
      <w:lvlText w:val="•"/>
      <w:lvlJc w:val="left"/>
      <w:pPr>
        <w:ind w:left="4134" w:hanging="720"/>
      </w:pPr>
      <w:rPr>
        <w:rFonts w:hint="default"/>
      </w:rPr>
    </w:lvl>
    <w:lvl w:ilvl="4" w:tplc="161450C4">
      <w:start w:val="1"/>
      <w:numFmt w:val="bullet"/>
      <w:lvlText w:val="•"/>
      <w:lvlJc w:val="left"/>
      <w:pPr>
        <w:ind w:left="4972" w:hanging="720"/>
      </w:pPr>
      <w:rPr>
        <w:rFonts w:hint="default"/>
      </w:rPr>
    </w:lvl>
    <w:lvl w:ilvl="5" w:tplc="D6540490">
      <w:start w:val="1"/>
      <w:numFmt w:val="bullet"/>
      <w:lvlText w:val="•"/>
      <w:lvlJc w:val="left"/>
      <w:pPr>
        <w:ind w:left="5810" w:hanging="720"/>
      </w:pPr>
      <w:rPr>
        <w:rFonts w:hint="default"/>
      </w:rPr>
    </w:lvl>
    <w:lvl w:ilvl="6" w:tplc="8176FEE0">
      <w:start w:val="1"/>
      <w:numFmt w:val="bullet"/>
      <w:lvlText w:val="•"/>
      <w:lvlJc w:val="left"/>
      <w:pPr>
        <w:ind w:left="6648" w:hanging="720"/>
      </w:pPr>
      <w:rPr>
        <w:rFonts w:hint="default"/>
      </w:rPr>
    </w:lvl>
    <w:lvl w:ilvl="7" w:tplc="5A42181A">
      <w:start w:val="1"/>
      <w:numFmt w:val="bullet"/>
      <w:lvlText w:val="•"/>
      <w:lvlJc w:val="left"/>
      <w:pPr>
        <w:ind w:left="7486" w:hanging="720"/>
      </w:pPr>
      <w:rPr>
        <w:rFonts w:hint="default"/>
      </w:rPr>
    </w:lvl>
    <w:lvl w:ilvl="8" w:tplc="F5C66418">
      <w:start w:val="1"/>
      <w:numFmt w:val="bullet"/>
      <w:lvlText w:val="•"/>
      <w:lvlJc w:val="left"/>
      <w:pPr>
        <w:ind w:left="8324" w:hanging="720"/>
      </w:pPr>
      <w:rPr>
        <w:rFonts w:hint="default"/>
      </w:rPr>
    </w:lvl>
  </w:abstractNum>
  <w:abstractNum w:abstractNumId="87" w15:restartNumberingAfterBreak="0">
    <w:nsid w:val="57FA6A40"/>
    <w:multiLevelType w:val="hybridMultilevel"/>
    <w:tmpl w:val="D414ACDE"/>
    <w:lvl w:ilvl="0" w:tplc="519E699A">
      <w:start w:val="1"/>
      <w:numFmt w:val="decimal"/>
      <w:lvlText w:val="%1."/>
      <w:lvlJc w:val="left"/>
      <w:pPr>
        <w:ind w:left="1440" w:hanging="360"/>
      </w:pPr>
      <w:rPr>
        <w:rFonts w:ascii="Times New Roman" w:hAnsi="Times New Roman" w:hint="default"/>
        <w:b w:val="0"/>
        <w:i w:val="0"/>
        <w:caps w:val="0"/>
        <w:strike w:val="0"/>
        <w:dstrike w:val="0"/>
        <w:vanish w:val="0"/>
        <w:spacing w:val="0"/>
        <w:w w:val="100"/>
        <w:kern w:val="0"/>
        <w:position w:val="0"/>
        <w:sz w:val="24"/>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1F55BE"/>
    <w:multiLevelType w:val="hybridMultilevel"/>
    <w:tmpl w:val="41A6F634"/>
    <w:lvl w:ilvl="0" w:tplc="7DF47114">
      <w:start w:val="1"/>
      <w:numFmt w:val="decimal"/>
      <w:lvlText w:val="%1."/>
      <w:lvlJc w:val="left"/>
      <w:pPr>
        <w:ind w:left="1440" w:hanging="360"/>
      </w:pPr>
      <w:rPr>
        <w:rFonts w:ascii="Times New Roman" w:hAnsi="Times New Roman" w:hint="default"/>
        <w:b w:val="0"/>
        <w:i w:val="0"/>
        <w:caps w:val="0"/>
        <w:strike w:val="0"/>
        <w:dstrike w:val="0"/>
        <w:vanish w:val="0"/>
        <w:spacing w:val="0"/>
        <w:w w:val="100"/>
        <w:kern w:val="0"/>
        <w:position w:val="0"/>
        <w:sz w:val="24"/>
        <w:vertAlign w:val="baseline"/>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86B50B8"/>
    <w:multiLevelType w:val="hybridMultilevel"/>
    <w:tmpl w:val="90CA0D8C"/>
    <w:lvl w:ilvl="0" w:tplc="28140F5C">
      <w:start w:val="1"/>
      <w:numFmt w:val="decimal"/>
      <w:lvlText w:val="%1."/>
      <w:lvlJc w:val="left"/>
      <w:pPr>
        <w:ind w:left="450" w:hanging="360"/>
      </w:pPr>
      <w:rPr>
        <w:rFonts w:hint="default"/>
        <w:sz w:val="1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15:restartNumberingAfterBreak="0">
    <w:nsid w:val="5887781B"/>
    <w:multiLevelType w:val="hybridMultilevel"/>
    <w:tmpl w:val="D1845650"/>
    <w:lvl w:ilvl="0" w:tplc="9B4C3388">
      <w:start w:val="1"/>
      <w:numFmt w:val="upperLetter"/>
      <w:lvlText w:val="%1."/>
      <w:lvlJc w:val="left"/>
      <w:pPr>
        <w:ind w:left="900" w:hanging="480"/>
      </w:pPr>
      <w:rPr>
        <w:rFonts w:ascii="Times New Roman" w:eastAsia="Times New Roman" w:hAnsi="Times New Roman" w:hint="default"/>
        <w:spacing w:val="-1"/>
        <w:sz w:val="24"/>
        <w:szCs w:val="24"/>
      </w:rPr>
    </w:lvl>
    <w:lvl w:ilvl="1" w:tplc="58F64076">
      <w:start w:val="1"/>
      <w:numFmt w:val="decimal"/>
      <w:lvlText w:val="%2."/>
      <w:lvlJc w:val="left"/>
      <w:pPr>
        <w:ind w:left="1440" w:hanging="540"/>
      </w:pPr>
      <w:rPr>
        <w:rFonts w:ascii="Times New Roman" w:eastAsia="Times New Roman" w:hAnsi="Times New Roman" w:hint="default"/>
        <w:w w:val="99"/>
        <w:sz w:val="22"/>
        <w:szCs w:val="22"/>
      </w:rPr>
    </w:lvl>
    <w:lvl w:ilvl="2" w:tplc="439047A6">
      <w:start w:val="1"/>
      <w:numFmt w:val="bullet"/>
      <w:lvlText w:val="•"/>
      <w:lvlJc w:val="left"/>
      <w:pPr>
        <w:ind w:left="2360" w:hanging="540"/>
      </w:pPr>
      <w:rPr>
        <w:rFonts w:hint="default"/>
      </w:rPr>
    </w:lvl>
    <w:lvl w:ilvl="3" w:tplc="FE8E4508">
      <w:start w:val="1"/>
      <w:numFmt w:val="bullet"/>
      <w:lvlText w:val="•"/>
      <w:lvlJc w:val="left"/>
      <w:pPr>
        <w:ind w:left="3280" w:hanging="540"/>
      </w:pPr>
      <w:rPr>
        <w:rFonts w:hint="default"/>
      </w:rPr>
    </w:lvl>
    <w:lvl w:ilvl="4" w:tplc="97E6CACC">
      <w:start w:val="1"/>
      <w:numFmt w:val="bullet"/>
      <w:lvlText w:val="•"/>
      <w:lvlJc w:val="left"/>
      <w:pPr>
        <w:ind w:left="4200" w:hanging="540"/>
      </w:pPr>
      <w:rPr>
        <w:rFonts w:hint="default"/>
      </w:rPr>
    </w:lvl>
    <w:lvl w:ilvl="5" w:tplc="9ABCC21C">
      <w:start w:val="1"/>
      <w:numFmt w:val="bullet"/>
      <w:lvlText w:val="•"/>
      <w:lvlJc w:val="left"/>
      <w:pPr>
        <w:ind w:left="5120" w:hanging="540"/>
      </w:pPr>
      <w:rPr>
        <w:rFonts w:hint="default"/>
      </w:rPr>
    </w:lvl>
    <w:lvl w:ilvl="6" w:tplc="4C78EFF4">
      <w:start w:val="1"/>
      <w:numFmt w:val="bullet"/>
      <w:lvlText w:val="•"/>
      <w:lvlJc w:val="left"/>
      <w:pPr>
        <w:ind w:left="6040" w:hanging="540"/>
      </w:pPr>
      <w:rPr>
        <w:rFonts w:hint="default"/>
      </w:rPr>
    </w:lvl>
    <w:lvl w:ilvl="7" w:tplc="2A905868">
      <w:start w:val="1"/>
      <w:numFmt w:val="bullet"/>
      <w:lvlText w:val="•"/>
      <w:lvlJc w:val="left"/>
      <w:pPr>
        <w:ind w:left="6960" w:hanging="540"/>
      </w:pPr>
      <w:rPr>
        <w:rFonts w:hint="default"/>
      </w:rPr>
    </w:lvl>
    <w:lvl w:ilvl="8" w:tplc="E0EAF03C">
      <w:start w:val="1"/>
      <w:numFmt w:val="bullet"/>
      <w:lvlText w:val="•"/>
      <w:lvlJc w:val="left"/>
      <w:pPr>
        <w:ind w:left="7880" w:hanging="540"/>
      </w:pPr>
      <w:rPr>
        <w:rFonts w:hint="default"/>
      </w:rPr>
    </w:lvl>
  </w:abstractNum>
  <w:abstractNum w:abstractNumId="91" w15:restartNumberingAfterBreak="0">
    <w:nsid w:val="5A220982"/>
    <w:multiLevelType w:val="hybridMultilevel"/>
    <w:tmpl w:val="BD54F4DA"/>
    <w:lvl w:ilvl="0" w:tplc="2252F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4A709C"/>
    <w:multiLevelType w:val="hybridMultilevel"/>
    <w:tmpl w:val="9F32D54E"/>
    <w:lvl w:ilvl="0" w:tplc="10922012">
      <w:start w:val="1"/>
      <w:numFmt w:val="decimal"/>
      <w:lvlText w:val="(%1)"/>
      <w:lvlJc w:val="left"/>
      <w:pPr>
        <w:tabs>
          <w:tab w:val="num" w:pos="360"/>
        </w:tabs>
        <w:ind w:left="360" w:hanging="360"/>
      </w:pPr>
      <w:rPr>
        <w:rFonts w:hint="default"/>
      </w:rPr>
    </w:lvl>
    <w:lvl w:ilvl="1" w:tplc="4AB445C4" w:tentative="1">
      <w:start w:val="1"/>
      <w:numFmt w:val="decimal"/>
      <w:lvlText w:val="%2)"/>
      <w:lvlJc w:val="left"/>
      <w:pPr>
        <w:tabs>
          <w:tab w:val="num" w:pos="1080"/>
        </w:tabs>
        <w:ind w:left="1080" w:hanging="360"/>
      </w:pPr>
    </w:lvl>
    <w:lvl w:ilvl="2" w:tplc="DC0C762E" w:tentative="1">
      <w:start w:val="1"/>
      <w:numFmt w:val="decimal"/>
      <w:lvlText w:val="%3)"/>
      <w:lvlJc w:val="left"/>
      <w:pPr>
        <w:tabs>
          <w:tab w:val="num" w:pos="1800"/>
        </w:tabs>
        <w:ind w:left="1800" w:hanging="360"/>
      </w:pPr>
    </w:lvl>
    <w:lvl w:ilvl="3" w:tplc="4A5C0ACC" w:tentative="1">
      <w:start w:val="1"/>
      <w:numFmt w:val="decimal"/>
      <w:lvlText w:val="%4)"/>
      <w:lvlJc w:val="left"/>
      <w:pPr>
        <w:tabs>
          <w:tab w:val="num" w:pos="2520"/>
        </w:tabs>
        <w:ind w:left="2520" w:hanging="360"/>
      </w:pPr>
    </w:lvl>
    <w:lvl w:ilvl="4" w:tplc="B68E0244" w:tentative="1">
      <w:start w:val="1"/>
      <w:numFmt w:val="decimal"/>
      <w:lvlText w:val="%5)"/>
      <w:lvlJc w:val="left"/>
      <w:pPr>
        <w:tabs>
          <w:tab w:val="num" w:pos="3240"/>
        </w:tabs>
        <w:ind w:left="3240" w:hanging="360"/>
      </w:pPr>
    </w:lvl>
    <w:lvl w:ilvl="5" w:tplc="643EF37A" w:tentative="1">
      <w:start w:val="1"/>
      <w:numFmt w:val="decimal"/>
      <w:lvlText w:val="%6)"/>
      <w:lvlJc w:val="left"/>
      <w:pPr>
        <w:tabs>
          <w:tab w:val="num" w:pos="3960"/>
        </w:tabs>
        <w:ind w:left="3960" w:hanging="360"/>
      </w:pPr>
    </w:lvl>
    <w:lvl w:ilvl="6" w:tplc="556ED352" w:tentative="1">
      <w:start w:val="1"/>
      <w:numFmt w:val="decimal"/>
      <w:lvlText w:val="%7)"/>
      <w:lvlJc w:val="left"/>
      <w:pPr>
        <w:tabs>
          <w:tab w:val="num" w:pos="4680"/>
        </w:tabs>
        <w:ind w:left="4680" w:hanging="360"/>
      </w:pPr>
    </w:lvl>
    <w:lvl w:ilvl="7" w:tplc="A9F6B9E4" w:tentative="1">
      <w:start w:val="1"/>
      <w:numFmt w:val="decimal"/>
      <w:lvlText w:val="%8)"/>
      <w:lvlJc w:val="left"/>
      <w:pPr>
        <w:tabs>
          <w:tab w:val="num" w:pos="5400"/>
        </w:tabs>
        <w:ind w:left="5400" w:hanging="360"/>
      </w:pPr>
    </w:lvl>
    <w:lvl w:ilvl="8" w:tplc="F54279B6" w:tentative="1">
      <w:start w:val="1"/>
      <w:numFmt w:val="decimal"/>
      <w:lvlText w:val="%9)"/>
      <w:lvlJc w:val="left"/>
      <w:pPr>
        <w:tabs>
          <w:tab w:val="num" w:pos="6120"/>
        </w:tabs>
        <w:ind w:left="6120" w:hanging="360"/>
      </w:pPr>
    </w:lvl>
  </w:abstractNum>
  <w:abstractNum w:abstractNumId="93" w15:restartNumberingAfterBreak="0">
    <w:nsid w:val="5BB02F99"/>
    <w:multiLevelType w:val="hybridMultilevel"/>
    <w:tmpl w:val="6C96154A"/>
    <w:lvl w:ilvl="0" w:tplc="0D003866">
      <w:start w:val="1"/>
      <w:numFmt w:val="lowerLetter"/>
      <w:lvlText w:val="(%1)"/>
      <w:lvlJc w:val="left"/>
      <w:pPr>
        <w:ind w:left="2068" w:hanging="504"/>
      </w:pPr>
      <w:rPr>
        <w:rFonts w:ascii="Garamond" w:eastAsia="Garamond" w:hAnsi="Garamond" w:hint="default"/>
        <w:w w:val="102"/>
        <w:sz w:val="14"/>
        <w:szCs w:val="14"/>
      </w:rPr>
    </w:lvl>
    <w:lvl w:ilvl="1" w:tplc="2E6C5D70">
      <w:start w:val="1"/>
      <w:numFmt w:val="lowerLetter"/>
      <w:lvlText w:val="(%2)"/>
      <w:lvlJc w:val="left"/>
      <w:pPr>
        <w:ind w:left="3508" w:hanging="504"/>
      </w:pPr>
      <w:rPr>
        <w:rFonts w:ascii="Garamond" w:eastAsia="Garamond" w:hAnsi="Garamond" w:hint="default"/>
        <w:w w:val="102"/>
        <w:sz w:val="14"/>
        <w:szCs w:val="14"/>
      </w:rPr>
    </w:lvl>
    <w:lvl w:ilvl="2" w:tplc="0B8A185A">
      <w:start w:val="1"/>
      <w:numFmt w:val="bullet"/>
      <w:lvlText w:val="•"/>
      <w:lvlJc w:val="left"/>
      <w:pPr>
        <w:ind w:left="4745" w:hanging="504"/>
      </w:pPr>
      <w:rPr>
        <w:rFonts w:hint="default"/>
      </w:rPr>
    </w:lvl>
    <w:lvl w:ilvl="3" w:tplc="8E34D260">
      <w:start w:val="1"/>
      <w:numFmt w:val="bullet"/>
      <w:lvlText w:val="•"/>
      <w:lvlJc w:val="left"/>
      <w:pPr>
        <w:ind w:left="5982" w:hanging="504"/>
      </w:pPr>
      <w:rPr>
        <w:rFonts w:hint="default"/>
      </w:rPr>
    </w:lvl>
    <w:lvl w:ilvl="4" w:tplc="64B628BE">
      <w:start w:val="1"/>
      <w:numFmt w:val="bullet"/>
      <w:lvlText w:val="•"/>
      <w:lvlJc w:val="left"/>
      <w:pPr>
        <w:ind w:left="7219" w:hanging="504"/>
      </w:pPr>
      <w:rPr>
        <w:rFonts w:hint="default"/>
      </w:rPr>
    </w:lvl>
    <w:lvl w:ilvl="5" w:tplc="8CE81DBE">
      <w:start w:val="1"/>
      <w:numFmt w:val="bullet"/>
      <w:lvlText w:val="•"/>
      <w:lvlJc w:val="left"/>
      <w:pPr>
        <w:ind w:left="8456" w:hanging="504"/>
      </w:pPr>
      <w:rPr>
        <w:rFonts w:hint="default"/>
      </w:rPr>
    </w:lvl>
    <w:lvl w:ilvl="6" w:tplc="6E2063A6">
      <w:start w:val="1"/>
      <w:numFmt w:val="bullet"/>
      <w:lvlText w:val="•"/>
      <w:lvlJc w:val="left"/>
      <w:pPr>
        <w:ind w:left="9692" w:hanging="504"/>
      </w:pPr>
      <w:rPr>
        <w:rFonts w:hint="default"/>
      </w:rPr>
    </w:lvl>
    <w:lvl w:ilvl="7" w:tplc="589E29E0">
      <w:start w:val="1"/>
      <w:numFmt w:val="bullet"/>
      <w:lvlText w:val="•"/>
      <w:lvlJc w:val="left"/>
      <w:pPr>
        <w:ind w:left="10929" w:hanging="504"/>
      </w:pPr>
      <w:rPr>
        <w:rFonts w:hint="default"/>
      </w:rPr>
    </w:lvl>
    <w:lvl w:ilvl="8" w:tplc="C4DA924C">
      <w:start w:val="1"/>
      <w:numFmt w:val="bullet"/>
      <w:lvlText w:val="•"/>
      <w:lvlJc w:val="left"/>
      <w:pPr>
        <w:ind w:left="12166" w:hanging="504"/>
      </w:pPr>
      <w:rPr>
        <w:rFonts w:hint="default"/>
      </w:rPr>
    </w:lvl>
  </w:abstractNum>
  <w:abstractNum w:abstractNumId="94" w15:restartNumberingAfterBreak="0">
    <w:nsid w:val="5C1C6AFF"/>
    <w:multiLevelType w:val="hybridMultilevel"/>
    <w:tmpl w:val="D26E521C"/>
    <w:lvl w:ilvl="0" w:tplc="2A36E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DC105A3"/>
    <w:multiLevelType w:val="hybridMultilevel"/>
    <w:tmpl w:val="E3CEE0AA"/>
    <w:lvl w:ilvl="0" w:tplc="6E2CEFFC">
      <w:start w:val="1"/>
      <w:numFmt w:val="bullet"/>
      <w:lvlText w:val=""/>
      <w:lvlJc w:val="left"/>
      <w:pPr>
        <w:ind w:left="1188" w:hanging="850"/>
      </w:pPr>
      <w:rPr>
        <w:rFonts w:ascii="Wingdings" w:eastAsia="Wingdings" w:hAnsi="Wingdings" w:hint="default"/>
        <w:w w:val="99"/>
        <w:position w:val="-9"/>
        <w:sz w:val="16"/>
        <w:szCs w:val="16"/>
      </w:rPr>
    </w:lvl>
    <w:lvl w:ilvl="1" w:tplc="38D46B04">
      <w:start w:val="1"/>
      <w:numFmt w:val="bullet"/>
      <w:lvlText w:val="•"/>
      <w:lvlJc w:val="left"/>
      <w:pPr>
        <w:ind w:left="1280" w:hanging="850"/>
      </w:pPr>
      <w:rPr>
        <w:rFonts w:hint="default"/>
      </w:rPr>
    </w:lvl>
    <w:lvl w:ilvl="2" w:tplc="15A24258">
      <w:start w:val="1"/>
      <w:numFmt w:val="bullet"/>
      <w:lvlText w:val="•"/>
      <w:lvlJc w:val="left"/>
      <w:pPr>
        <w:ind w:left="1372" w:hanging="850"/>
      </w:pPr>
      <w:rPr>
        <w:rFonts w:hint="default"/>
      </w:rPr>
    </w:lvl>
    <w:lvl w:ilvl="3" w:tplc="90F0A994">
      <w:start w:val="1"/>
      <w:numFmt w:val="bullet"/>
      <w:lvlText w:val="•"/>
      <w:lvlJc w:val="left"/>
      <w:pPr>
        <w:ind w:left="1464" w:hanging="850"/>
      </w:pPr>
      <w:rPr>
        <w:rFonts w:hint="default"/>
      </w:rPr>
    </w:lvl>
    <w:lvl w:ilvl="4" w:tplc="0D34FFA6">
      <w:start w:val="1"/>
      <w:numFmt w:val="bullet"/>
      <w:lvlText w:val="•"/>
      <w:lvlJc w:val="left"/>
      <w:pPr>
        <w:ind w:left="1556" w:hanging="850"/>
      </w:pPr>
      <w:rPr>
        <w:rFonts w:hint="default"/>
      </w:rPr>
    </w:lvl>
    <w:lvl w:ilvl="5" w:tplc="4A62F7D2">
      <w:start w:val="1"/>
      <w:numFmt w:val="bullet"/>
      <w:lvlText w:val="•"/>
      <w:lvlJc w:val="left"/>
      <w:pPr>
        <w:ind w:left="1648" w:hanging="850"/>
      </w:pPr>
      <w:rPr>
        <w:rFonts w:hint="default"/>
      </w:rPr>
    </w:lvl>
    <w:lvl w:ilvl="6" w:tplc="BE903382">
      <w:start w:val="1"/>
      <w:numFmt w:val="bullet"/>
      <w:lvlText w:val="•"/>
      <w:lvlJc w:val="left"/>
      <w:pPr>
        <w:ind w:left="1740" w:hanging="850"/>
      </w:pPr>
      <w:rPr>
        <w:rFonts w:hint="default"/>
      </w:rPr>
    </w:lvl>
    <w:lvl w:ilvl="7" w:tplc="484E6CB4">
      <w:start w:val="1"/>
      <w:numFmt w:val="bullet"/>
      <w:lvlText w:val="•"/>
      <w:lvlJc w:val="left"/>
      <w:pPr>
        <w:ind w:left="1832" w:hanging="850"/>
      </w:pPr>
      <w:rPr>
        <w:rFonts w:hint="default"/>
      </w:rPr>
    </w:lvl>
    <w:lvl w:ilvl="8" w:tplc="B4E42CAA">
      <w:start w:val="1"/>
      <w:numFmt w:val="bullet"/>
      <w:lvlText w:val="•"/>
      <w:lvlJc w:val="left"/>
      <w:pPr>
        <w:ind w:left="1924" w:hanging="850"/>
      </w:pPr>
      <w:rPr>
        <w:rFonts w:hint="default"/>
      </w:rPr>
    </w:lvl>
  </w:abstractNum>
  <w:abstractNum w:abstractNumId="96" w15:restartNumberingAfterBreak="0">
    <w:nsid w:val="60672B7E"/>
    <w:multiLevelType w:val="hybridMultilevel"/>
    <w:tmpl w:val="970C1126"/>
    <w:lvl w:ilvl="0" w:tplc="ED0EBFC6">
      <w:start w:val="1"/>
      <w:numFmt w:val="upperLetter"/>
      <w:lvlText w:val="%1."/>
      <w:lvlJc w:val="left"/>
      <w:pPr>
        <w:ind w:left="810" w:hanging="360"/>
      </w:pPr>
      <w:rPr>
        <w:rFonts w:ascii="Times New Roman" w:hAnsi="Times New Roman" w:cs="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6D731E"/>
    <w:multiLevelType w:val="hybridMultilevel"/>
    <w:tmpl w:val="C82484E2"/>
    <w:lvl w:ilvl="0" w:tplc="10922012">
      <w:start w:val="1"/>
      <w:numFmt w:val="decimal"/>
      <w:lvlText w:val="(%1)"/>
      <w:lvlJc w:val="left"/>
      <w:pPr>
        <w:tabs>
          <w:tab w:val="num" w:pos="720"/>
        </w:tabs>
        <w:ind w:left="720" w:hanging="360"/>
      </w:pPr>
      <w:rPr>
        <w:rFonts w:hint="default"/>
      </w:rPr>
    </w:lvl>
    <w:lvl w:ilvl="1" w:tplc="4AB445C4" w:tentative="1">
      <w:start w:val="1"/>
      <w:numFmt w:val="decimal"/>
      <w:lvlText w:val="%2)"/>
      <w:lvlJc w:val="left"/>
      <w:pPr>
        <w:tabs>
          <w:tab w:val="num" w:pos="1440"/>
        </w:tabs>
        <w:ind w:left="1440" w:hanging="360"/>
      </w:pPr>
    </w:lvl>
    <w:lvl w:ilvl="2" w:tplc="DC0C762E" w:tentative="1">
      <w:start w:val="1"/>
      <w:numFmt w:val="decimal"/>
      <w:lvlText w:val="%3)"/>
      <w:lvlJc w:val="left"/>
      <w:pPr>
        <w:tabs>
          <w:tab w:val="num" w:pos="2160"/>
        </w:tabs>
        <w:ind w:left="2160" w:hanging="360"/>
      </w:pPr>
    </w:lvl>
    <w:lvl w:ilvl="3" w:tplc="4A5C0ACC" w:tentative="1">
      <w:start w:val="1"/>
      <w:numFmt w:val="decimal"/>
      <w:lvlText w:val="%4)"/>
      <w:lvlJc w:val="left"/>
      <w:pPr>
        <w:tabs>
          <w:tab w:val="num" w:pos="2880"/>
        </w:tabs>
        <w:ind w:left="2880" w:hanging="360"/>
      </w:pPr>
    </w:lvl>
    <w:lvl w:ilvl="4" w:tplc="B68E0244" w:tentative="1">
      <w:start w:val="1"/>
      <w:numFmt w:val="decimal"/>
      <w:lvlText w:val="%5)"/>
      <w:lvlJc w:val="left"/>
      <w:pPr>
        <w:tabs>
          <w:tab w:val="num" w:pos="3600"/>
        </w:tabs>
        <w:ind w:left="3600" w:hanging="360"/>
      </w:pPr>
    </w:lvl>
    <w:lvl w:ilvl="5" w:tplc="643EF37A" w:tentative="1">
      <w:start w:val="1"/>
      <w:numFmt w:val="decimal"/>
      <w:lvlText w:val="%6)"/>
      <w:lvlJc w:val="left"/>
      <w:pPr>
        <w:tabs>
          <w:tab w:val="num" w:pos="4320"/>
        </w:tabs>
        <w:ind w:left="4320" w:hanging="360"/>
      </w:pPr>
    </w:lvl>
    <w:lvl w:ilvl="6" w:tplc="556ED352" w:tentative="1">
      <w:start w:val="1"/>
      <w:numFmt w:val="decimal"/>
      <w:lvlText w:val="%7)"/>
      <w:lvlJc w:val="left"/>
      <w:pPr>
        <w:tabs>
          <w:tab w:val="num" w:pos="5040"/>
        </w:tabs>
        <w:ind w:left="5040" w:hanging="360"/>
      </w:pPr>
    </w:lvl>
    <w:lvl w:ilvl="7" w:tplc="A9F6B9E4" w:tentative="1">
      <w:start w:val="1"/>
      <w:numFmt w:val="decimal"/>
      <w:lvlText w:val="%8)"/>
      <w:lvlJc w:val="left"/>
      <w:pPr>
        <w:tabs>
          <w:tab w:val="num" w:pos="5760"/>
        </w:tabs>
        <w:ind w:left="5760" w:hanging="360"/>
      </w:pPr>
    </w:lvl>
    <w:lvl w:ilvl="8" w:tplc="F54279B6" w:tentative="1">
      <w:start w:val="1"/>
      <w:numFmt w:val="decimal"/>
      <w:lvlText w:val="%9)"/>
      <w:lvlJc w:val="left"/>
      <w:pPr>
        <w:tabs>
          <w:tab w:val="num" w:pos="6480"/>
        </w:tabs>
        <w:ind w:left="6480" w:hanging="360"/>
      </w:pPr>
    </w:lvl>
  </w:abstractNum>
  <w:abstractNum w:abstractNumId="98" w15:restartNumberingAfterBreak="0">
    <w:nsid w:val="62C97542"/>
    <w:multiLevelType w:val="hybridMultilevel"/>
    <w:tmpl w:val="800839C4"/>
    <w:lvl w:ilvl="0" w:tplc="8528B970">
      <w:start w:val="1"/>
      <w:numFmt w:val="bullet"/>
      <w:lvlText w:val=""/>
      <w:lvlJc w:val="left"/>
      <w:pPr>
        <w:ind w:left="1188" w:hanging="850"/>
      </w:pPr>
      <w:rPr>
        <w:rFonts w:ascii="Wingdings" w:eastAsia="Wingdings" w:hAnsi="Wingdings" w:hint="default"/>
        <w:w w:val="99"/>
        <w:position w:val="-9"/>
        <w:sz w:val="16"/>
        <w:szCs w:val="16"/>
      </w:rPr>
    </w:lvl>
    <w:lvl w:ilvl="1" w:tplc="8BFCDCAC">
      <w:start w:val="1"/>
      <w:numFmt w:val="bullet"/>
      <w:lvlText w:val="•"/>
      <w:lvlJc w:val="left"/>
      <w:pPr>
        <w:ind w:left="1280" w:hanging="850"/>
      </w:pPr>
      <w:rPr>
        <w:rFonts w:hint="default"/>
      </w:rPr>
    </w:lvl>
    <w:lvl w:ilvl="2" w:tplc="33825F68">
      <w:start w:val="1"/>
      <w:numFmt w:val="bullet"/>
      <w:lvlText w:val="•"/>
      <w:lvlJc w:val="left"/>
      <w:pPr>
        <w:ind w:left="1372" w:hanging="850"/>
      </w:pPr>
      <w:rPr>
        <w:rFonts w:hint="default"/>
      </w:rPr>
    </w:lvl>
    <w:lvl w:ilvl="3" w:tplc="7A2A303A">
      <w:start w:val="1"/>
      <w:numFmt w:val="bullet"/>
      <w:lvlText w:val="•"/>
      <w:lvlJc w:val="left"/>
      <w:pPr>
        <w:ind w:left="1464" w:hanging="850"/>
      </w:pPr>
      <w:rPr>
        <w:rFonts w:hint="default"/>
      </w:rPr>
    </w:lvl>
    <w:lvl w:ilvl="4" w:tplc="AE36F6AC">
      <w:start w:val="1"/>
      <w:numFmt w:val="bullet"/>
      <w:lvlText w:val="•"/>
      <w:lvlJc w:val="left"/>
      <w:pPr>
        <w:ind w:left="1556" w:hanging="850"/>
      </w:pPr>
      <w:rPr>
        <w:rFonts w:hint="default"/>
      </w:rPr>
    </w:lvl>
    <w:lvl w:ilvl="5" w:tplc="AE0ECD4C">
      <w:start w:val="1"/>
      <w:numFmt w:val="bullet"/>
      <w:lvlText w:val="•"/>
      <w:lvlJc w:val="left"/>
      <w:pPr>
        <w:ind w:left="1648" w:hanging="850"/>
      </w:pPr>
      <w:rPr>
        <w:rFonts w:hint="default"/>
      </w:rPr>
    </w:lvl>
    <w:lvl w:ilvl="6" w:tplc="8C18F358">
      <w:start w:val="1"/>
      <w:numFmt w:val="bullet"/>
      <w:lvlText w:val="•"/>
      <w:lvlJc w:val="left"/>
      <w:pPr>
        <w:ind w:left="1740" w:hanging="850"/>
      </w:pPr>
      <w:rPr>
        <w:rFonts w:hint="default"/>
      </w:rPr>
    </w:lvl>
    <w:lvl w:ilvl="7" w:tplc="3878C804">
      <w:start w:val="1"/>
      <w:numFmt w:val="bullet"/>
      <w:lvlText w:val="•"/>
      <w:lvlJc w:val="left"/>
      <w:pPr>
        <w:ind w:left="1832" w:hanging="850"/>
      </w:pPr>
      <w:rPr>
        <w:rFonts w:hint="default"/>
      </w:rPr>
    </w:lvl>
    <w:lvl w:ilvl="8" w:tplc="F63E2B36">
      <w:start w:val="1"/>
      <w:numFmt w:val="bullet"/>
      <w:lvlText w:val="•"/>
      <w:lvlJc w:val="left"/>
      <w:pPr>
        <w:ind w:left="1924" w:hanging="850"/>
      </w:pPr>
      <w:rPr>
        <w:rFonts w:hint="default"/>
      </w:rPr>
    </w:lvl>
  </w:abstractNum>
  <w:abstractNum w:abstractNumId="99" w15:restartNumberingAfterBreak="0">
    <w:nsid w:val="63BC7F2C"/>
    <w:multiLevelType w:val="hybridMultilevel"/>
    <w:tmpl w:val="3176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4392A06"/>
    <w:multiLevelType w:val="hybridMultilevel"/>
    <w:tmpl w:val="D060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595F30"/>
    <w:multiLevelType w:val="hybridMultilevel"/>
    <w:tmpl w:val="202243F0"/>
    <w:lvl w:ilvl="0" w:tplc="A3C2D136">
      <w:start w:val="1"/>
      <w:numFmt w:val="bullet"/>
      <w:lvlText w:val="◆"/>
      <w:lvlJc w:val="left"/>
      <w:pPr>
        <w:ind w:left="358" w:hanging="138"/>
      </w:pPr>
      <w:rPr>
        <w:rFonts w:ascii="Times New Roman" w:eastAsia="Times New Roman" w:hAnsi="Times New Roman" w:hint="default"/>
        <w:w w:val="51"/>
        <w:sz w:val="18"/>
        <w:szCs w:val="18"/>
      </w:rPr>
    </w:lvl>
    <w:lvl w:ilvl="1" w:tplc="8E82BE74">
      <w:start w:val="1"/>
      <w:numFmt w:val="bullet"/>
      <w:lvlText w:val="•"/>
      <w:lvlJc w:val="left"/>
      <w:pPr>
        <w:ind w:left="1330" w:hanging="138"/>
      </w:pPr>
      <w:rPr>
        <w:rFonts w:hint="default"/>
      </w:rPr>
    </w:lvl>
    <w:lvl w:ilvl="2" w:tplc="EB967AB6">
      <w:start w:val="1"/>
      <w:numFmt w:val="bullet"/>
      <w:lvlText w:val="•"/>
      <w:lvlJc w:val="left"/>
      <w:pPr>
        <w:ind w:left="2302" w:hanging="138"/>
      </w:pPr>
      <w:rPr>
        <w:rFonts w:hint="default"/>
      </w:rPr>
    </w:lvl>
    <w:lvl w:ilvl="3" w:tplc="18FAB634">
      <w:start w:val="1"/>
      <w:numFmt w:val="bullet"/>
      <w:lvlText w:val="•"/>
      <w:lvlJc w:val="left"/>
      <w:pPr>
        <w:ind w:left="3274" w:hanging="138"/>
      </w:pPr>
      <w:rPr>
        <w:rFonts w:hint="default"/>
      </w:rPr>
    </w:lvl>
    <w:lvl w:ilvl="4" w:tplc="90EC3D90">
      <w:start w:val="1"/>
      <w:numFmt w:val="bullet"/>
      <w:lvlText w:val="•"/>
      <w:lvlJc w:val="left"/>
      <w:pPr>
        <w:ind w:left="4246" w:hanging="138"/>
      </w:pPr>
      <w:rPr>
        <w:rFonts w:hint="default"/>
      </w:rPr>
    </w:lvl>
    <w:lvl w:ilvl="5" w:tplc="38D00F9E">
      <w:start w:val="1"/>
      <w:numFmt w:val="bullet"/>
      <w:lvlText w:val="•"/>
      <w:lvlJc w:val="left"/>
      <w:pPr>
        <w:ind w:left="5219" w:hanging="138"/>
      </w:pPr>
      <w:rPr>
        <w:rFonts w:hint="default"/>
      </w:rPr>
    </w:lvl>
    <w:lvl w:ilvl="6" w:tplc="9C866AC8">
      <w:start w:val="1"/>
      <w:numFmt w:val="bullet"/>
      <w:lvlText w:val="•"/>
      <w:lvlJc w:val="left"/>
      <w:pPr>
        <w:ind w:left="6191" w:hanging="138"/>
      </w:pPr>
      <w:rPr>
        <w:rFonts w:hint="default"/>
      </w:rPr>
    </w:lvl>
    <w:lvl w:ilvl="7" w:tplc="F65CB16A">
      <w:start w:val="1"/>
      <w:numFmt w:val="bullet"/>
      <w:lvlText w:val="•"/>
      <w:lvlJc w:val="left"/>
      <w:pPr>
        <w:ind w:left="7163" w:hanging="138"/>
      </w:pPr>
      <w:rPr>
        <w:rFonts w:hint="default"/>
      </w:rPr>
    </w:lvl>
    <w:lvl w:ilvl="8" w:tplc="DF126014">
      <w:start w:val="1"/>
      <w:numFmt w:val="bullet"/>
      <w:lvlText w:val="•"/>
      <w:lvlJc w:val="left"/>
      <w:pPr>
        <w:ind w:left="8135" w:hanging="138"/>
      </w:pPr>
      <w:rPr>
        <w:rFonts w:hint="default"/>
      </w:rPr>
    </w:lvl>
  </w:abstractNum>
  <w:abstractNum w:abstractNumId="102" w15:restartNumberingAfterBreak="0">
    <w:nsid w:val="665B769B"/>
    <w:multiLevelType w:val="hybridMultilevel"/>
    <w:tmpl w:val="DAFA5D14"/>
    <w:lvl w:ilvl="0" w:tplc="2D708C18">
      <w:start w:val="1"/>
      <w:numFmt w:val="bullet"/>
      <w:lvlText w:val=""/>
      <w:lvlJc w:val="left"/>
      <w:pPr>
        <w:ind w:left="1188" w:hanging="850"/>
      </w:pPr>
      <w:rPr>
        <w:rFonts w:ascii="Wingdings" w:eastAsia="Wingdings" w:hAnsi="Wingdings" w:hint="default"/>
        <w:w w:val="98"/>
        <w:position w:val="-9"/>
        <w:sz w:val="16"/>
        <w:szCs w:val="16"/>
      </w:rPr>
    </w:lvl>
    <w:lvl w:ilvl="1" w:tplc="0FA8F72E">
      <w:start w:val="1"/>
      <w:numFmt w:val="bullet"/>
      <w:lvlText w:val="•"/>
      <w:lvlJc w:val="left"/>
      <w:pPr>
        <w:ind w:left="1280" w:hanging="850"/>
      </w:pPr>
      <w:rPr>
        <w:rFonts w:hint="default"/>
      </w:rPr>
    </w:lvl>
    <w:lvl w:ilvl="2" w:tplc="31B4462E">
      <w:start w:val="1"/>
      <w:numFmt w:val="bullet"/>
      <w:lvlText w:val="•"/>
      <w:lvlJc w:val="left"/>
      <w:pPr>
        <w:ind w:left="1372" w:hanging="850"/>
      </w:pPr>
      <w:rPr>
        <w:rFonts w:hint="default"/>
      </w:rPr>
    </w:lvl>
    <w:lvl w:ilvl="3" w:tplc="9FB6B30C">
      <w:start w:val="1"/>
      <w:numFmt w:val="bullet"/>
      <w:lvlText w:val="•"/>
      <w:lvlJc w:val="left"/>
      <w:pPr>
        <w:ind w:left="1464" w:hanging="850"/>
      </w:pPr>
      <w:rPr>
        <w:rFonts w:hint="default"/>
      </w:rPr>
    </w:lvl>
    <w:lvl w:ilvl="4" w:tplc="423A05F2">
      <w:start w:val="1"/>
      <w:numFmt w:val="bullet"/>
      <w:lvlText w:val="•"/>
      <w:lvlJc w:val="left"/>
      <w:pPr>
        <w:ind w:left="1556" w:hanging="850"/>
      </w:pPr>
      <w:rPr>
        <w:rFonts w:hint="default"/>
      </w:rPr>
    </w:lvl>
    <w:lvl w:ilvl="5" w:tplc="510CA67A">
      <w:start w:val="1"/>
      <w:numFmt w:val="bullet"/>
      <w:lvlText w:val="•"/>
      <w:lvlJc w:val="left"/>
      <w:pPr>
        <w:ind w:left="1648" w:hanging="850"/>
      </w:pPr>
      <w:rPr>
        <w:rFonts w:hint="default"/>
      </w:rPr>
    </w:lvl>
    <w:lvl w:ilvl="6" w:tplc="1B946990">
      <w:start w:val="1"/>
      <w:numFmt w:val="bullet"/>
      <w:lvlText w:val="•"/>
      <w:lvlJc w:val="left"/>
      <w:pPr>
        <w:ind w:left="1740" w:hanging="850"/>
      </w:pPr>
      <w:rPr>
        <w:rFonts w:hint="default"/>
      </w:rPr>
    </w:lvl>
    <w:lvl w:ilvl="7" w:tplc="43A22C2E">
      <w:start w:val="1"/>
      <w:numFmt w:val="bullet"/>
      <w:lvlText w:val="•"/>
      <w:lvlJc w:val="left"/>
      <w:pPr>
        <w:ind w:left="1832" w:hanging="850"/>
      </w:pPr>
      <w:rPr>
        <w:rFonts w:hint="default"/>
      </w:rPr>
    </w:lvl>
    <w:lvl w:ilvl="8" w:tplc="4892751A">
      <w:start w:val="1"/>
      <w:numFmt w:val="bullet"/>
      <w:lvlText w:val="•"/>
      <w:lvlJc w:val="left"/>
      <w:pPr>
        <w:ind w:left="1924" w:hanging="850"/>
      </w:pPr>
      <w:rPr>
        <w:rFonts w:hint="default"/>
      </w:rPr>
    </w:lvl>
  </w:abstractNum>
  <w:abstractNum w:abstractNumId="103" w15:restartNumberingAfterBreak="0">
    <w:nsid w:val="668E2DE4"/>
    <w:multiLevelType w:val="hybridMultilevel"/>
    <w:tmpl w:val="7EA4C91E"/>
    <w:lvl w:ilvl="0" w:tplc="FE2A48C4">
      <w:start w:val="1"/>
      <w:numFmt w:val="decimal"/>
      <w:lvlText w:val="%1."/>
      <w:lvlJc w:val="left"/>
      <w:pPr>
        <w:ind w:left="720" w:hanging="360"/>
      </w:pPr>
      <w:rPr>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542A2F"/>
    <w:multiLevelType w:val="hybridMultilevel"/>
    <w:tmpl w:val="2286C3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8F96E4B"/>
    <w:multiLevelType w:val="hybridMultilevel"/>
    <w:tmpl w:val="BC8AA6B6"/>
    <w:lvl w:ilvl="0" w:tplc="2E4A4778">
      <w:start w:val="1"/>
      <w:numFmt w:val="bullet"/>
      <w:pStyle w:val="E3BulletsPlusStyle"/>
      <w:lvlText w:val=""/>
      <w:lvlJc w:val="left"/>
      <w:pPr>
        <w:tabs>
          <w:tab w:val="num" w:pos="720"/>
        </w:tabs>
        <w:ind w:left="720" w:hanging="360"/>
      </w:pPr>
      <w:rPr>
        <w:rFonts w:ascii="Wingdings 2" w:hAnsi="Wingdings 2" w:hint="default"/>
        <w:color w:val="00507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5B21EA"/>
    <w:multiLevelType w:val="multilevel"/>
    <w:tmpl w:val="6BAE5976"/>
    <w:lvl w:ilvl="0">
      <w:start w:val="21"/>
      <w:numFmt w:val="upperLetter"/>
      <w:lvlText w:val="%1"/>
      <w:lvlJc w:val="left"/>
      <w:pPr>
        <w:ind w:left="492" w:hanging="380"/>
      </w:pPr>
      <w:rPr>
        <w:rFonts w:hint="default"/>
      </w:rPr>
    </w:lvl>
    <w:lvl w:ilvl="1">
      <w:start w:val="19"/>
      <w:numFmt w:val="upperLetter"/>
      <w:lvlText w:val="%1.%2."/>
      <w:lvlJc w:val="left"/>
      <w:pPr>
        <w:ind w:left="492" w:hanging="380"/>
      </w:pPr>
      <w:rPr>
        <w:rFonts w:ascii="Garamond" w:eastAsia="Garamond" w:hAnsi="Garamond" w:hint="default"/>
        <w:spacing w:val="-1"/>
        <w:sz w:val="20"/>
        <w:szCs w:val="20"/>
      </w:rPr>
    </w:lvl>
    <w:lvl w:ilvl="2">
      <w:start w:val="1"/>
      <w:numFmt w:val="lowerLetter"/>
      <w:lvlText w:val="(%3)"/>
      <w:lvlJc w:val="left"/>
      <w:pPr>
        <w:ind w:left="2268" w:hanging="504"/>
      </w:pPr>
      <w:rPr>
        <w:rFonts w:ascii="Garamond" w:eastAsia="Garamond" w:hAnsi="Garamond" w:hint="default"/>
        <w:w w:val="102"/>
        <w:sz w:val="14"/>
        <w:szCs w:val="14"/>
      </w:rPr>
    </w:lvl>
    <w:lvl w:ilvl="3">
      <w:start w:val="1"/>
      <w:numFmt w:val="lowerLetter"/>
      <w:lvlText w:val="(%4)"/>
      <w:lvlJc w:val="left"/>
      <w:pPr>
        <w:ind w:left="3388" w:hanging="504"/>
      </w:pPr>
      <w:rPr>
        <w:rFonts w:ascii="Garamond" w:eastAsia="Garamond" w:hAnsi="Garamond" w:hint="default"/>
        <w:spacing w:val="-1"/>
        <w:w w:val="99"/>
        <w:sz w:val="16"/>
        <w:szCs w:val="16"/>
      </w:rPr>
    </w:lvl>
    <w:lvl w:ilvl="4">
      <w:start w:val="1"/>
      <w:numFmt w:val="bullet"/>
      <w:lvlText w:val="•"/>
      <w:lvlJc w:val="left"/>
      <w:pPr>
        <w:ind w:left="2860" w:hanging="504"/>
      </w:pPr>
      <w:rPr>
        <w:rFonts w:hint="default"/>
      </w:rPr>
    </w:lvl>
    <w:lvl w:ilvl="5">
      <w:start w:val="1"/>
      <w:numFmt w:val="bullet"/>
      <w:lvlText w:val="•"/>
      <w:lvlJc w:val="left"/>
      <w:pPr>
        <w:ind w:left="2595" w:hanging="504"/>
      </w:pPr>
      <w:rPr>
        <w:rFonts w:hint="default"/>
      </w:rPr>
    </w:lvl>
    <w:lvl w:ilvl="6">
      <w:start w:val="1"/>
      <w:numFmt w:val="bullet"/>
      <w:lvlText w:val="•"/>
      <w:lvlJc w:val="left"/>
      <w:pPr>
        <w:ind w:left="2331" w:hanging="504"/>
      </w:pPr>
      <w:rPr>
        <w:rFonts w:hint="default"/>
      </w:rPr>
    </w:lvl>
    <w:lvl w:ilvl="7">
      <w:start w:val="1"/>
      <w:numFmt w:val="bullet"/>
      <w:lvlText w:val="•"/>
      <w:lvlJc w:val="left"/>
      <w:pPr>
        <w:ind w:left="2066" w:hanging="504"/>
      </w:pPr>
      <w:rPr>
        <w:rFonts w:hint="default"/>
      </w:rPr>
    </w:lvl>
    <w:lvl w:ilvl="8">
      <w:start w:val="1"/>
      <w:numFmt w:val="bullet"/>
      <w:lvlText w:val="•"/>
      <w:lvlJc w:val="left"/>
      <w:pPr>
        <w:ind w:left="1802" w:hanging="504"/>
      </w:pPr>
      <w:rPr>
        <w:rFonts w:hint="default"/>
      </w:rPr>
    </w:lvl>
  </w:abstractNum>
  <w:abstractNum w:abstractNumId="107" w15:restartNumberingAfterBreak="0">
    <w:nsid w:val="6A0040E6"/>
    <w:multiLevelType w:val="hybridMultilevel"/>
    <w:tmpl w:val="EF00721C"/>
    <w:lvl w:ilvl="0" w:tplc="303CF244">
      <w:start w:val="1"/>
      <w:numFmt w:val="lowerLetter"/>
      <w:lvlText w:val="(%1)"/>
      <w:lvlJc w:val="left"/>
      <w:pPr>
        <w:ind w:left="2068" w:hanging="504"/>
      </w:pPr>
      <w:rPr>
        <w:rFonts w:ascii="Garamond" w:eastAsia="Garamond" w:hAnsi="Garamond" w:hint="default"/>
        <w:w w:val="102"/>
        <w:sz w:val="14"/>
        <w:szCs w:val="14"/>
      </w:rPr>
    </w:lvl>
    <w:lvl w:ilvl="1" w:tplc="DB36361C">
      <w:start w:val="1"/>
      <w:numFmt w:val="lowerLetter"/>
      <w:lvlText w:val="(%2)"/>
      <w:lvlJc w:val="left"/>
      <w:pPr>
        <w:ind w:left="3388" w:hanging="504"/>
      </w:pPr>
      <w:rPr>
        <w:rFonts w:ascii="Garamond" w:eastAsia="Garamond" w:hAnsi="Garamond" w:hint="default"/>
        <w:w w:val="102"/>
        <w:sz w:val="14"/>
        <w:szCs w:val="14"/>
      </w:rPr>
    </w:lvl>
    <w:lvl w:ilvl="2" w:tplc="5C22E7F6">
      <w:start w:val="1"/>
      <w:numFmt w:val="bullet"/>
      <w:lvlText w:val="•"/>
      <w:lvlJc w:val="left"/>
      <w:pPr>
        <w:ind w:left="4638" w:hanging="504"/>
      </w:pPr>
      <w:rPr>
        <w:rFonts w:hint="default"/>
      </w:rPr>
    </w:lvl>
    <w:lvl w:ilvl="3" w:tplc="56BCCCDA">
      <w:start w:val="1"/>
      <w:numFmt w:val="bullet"/>
      <w:lvlText w:val="•"/>
      <w:lvlJc w:val="left"/>
      <w:pPr>
        <w:ind w:left="5889" w:hanging="504"/>
      </w:pPr>
      <w:rPr>
        <w:rFonts w:hint="default"/>
      </w:rPr>
    </w:lvl>
    <w:lvl w:ilvl="4" w:tplc="6268ACD6">
      <w:start w:val="1"/>
      <w:numFmt w:val="bullet"/>
      <w:lvlText w:val="•"/>
      <w:lvlJc w:val="left"/>
      <w:pPr>
        <w:ind w:left="7139" w:hanging="504"/>
      </w:pPr>
      <w:rPr>
        <w:rFonts w:hint="default"/>
      </w:rPr>
    </w:lvl>
    <w:lvl w:ilvl="5" w:tplc="285CDCD8">
      <w:start w:val="1"/>
      <w:numFmt w:val="bullet"/>
      <w:lvlText w:val="•"/>
      <w:lvlJc w:val="left"/>
      <w:pPr>
        <w:ind w:left="8389" w:hanging="504"/>
      </w:pPr>
      <w:rPr>
        <w:rFonts w:hint="default"/>
      </w:rPr>
    </w:lvl>
    <w:lvl w:ilvl="6" w:tplc="C6960D4A">
      <w:start w:val="1"/>
      <w:numFmt w:val="bullet"/>
      <w:lvlText w:val="•"/>
      <w:lvlJc w:val="left"/>
      <w:pPr>
        <w:ind w:left="9639" w:hanging="504"/>
      </w:pPr>
      <w:rPr>
        <w:rFonts w:hint="default"/>
      </w:rPr>
    </w:lvl>
    <w:lvl w:ilvl="7" w:tplc="23002CF6">
      <w:start w:val="1"/>
      <w:numFmt w:val="bullet"/>
      <w:lvlText w:val="•"/>
      <w:lvlJc w:val="left"/>
      <w:pPr>
        <w:ind w:left="10889" w:hanging="504"/>
      </w:pPr>
      <w:rPr>
        <w:rFonts w:hint="default"/>
      </w:rPr>
    </w:lvl>
    <w:lvl w:ilvl="8" w:tplc="58B46ECE">
      <w:start w:val="1"/>
      <w:numFmt w:val="bullet"/>
      <w:lvlText w:val="•"/>
      <w:lvlJc w:val="left"/>
      <w:pPr>
        <w:ind w:left="12139" w:hanging="504"/>
      </w:pPr>
      <w:rPr>
        <w:rFonts w:hint="default"/>
      </w:rPr>
    </w:lvl>
  </w:abstractNum>
  <w:abstractNum w:abstractNumId="108" w15:restartNumberingAfterBreak="0">
    <w:nsid w:val="6B95112F"/>
    <w:multiLevelType w:val="hybridMultilevel"/>
    <w:tmpl w:val="9C7A60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BD87AC5"/>
    <w:multiLevelType w:val="hybridMultilevel"/>
    <w:tmpl w:val="458095DE"/>
    <w:lvl w:ilvl="0" w:tplc="F0EE6F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2E442F"/>
    <w:multiLevelType w:val="hybridMultilevel"/>
    <w:tmpl w:val="1F14A240"/>
    <w:lvl w:ilvl="0" w:tplc="1392371A">
      <w:start w:val="1"/>
      <w:numFmt w:val="upperRoman"/>
      <w:lvlText w:val="%1."/>
      <w:lvlJc w:val="left"/>
      <w:pPr>
        <w:ind w:left="907" w:hanging="720"/>
      </w:pPr>
      <w:rPr>
        <w:rFonts w:ascii="Times New Roman" w:eastAsia="Times New Roman" w:hAnsi="Times New Roman" w:hint="default"/>
        <w:b/>
        <w:bCs/>
        <w:sz w:val="24"/>
        <w:szCs w:val="24"/>
      </w:rPr>
    </w:lvl>
    <w:lvl w:ilvl="1" w:tplc="44248734">
      <w:start w:val="1"/>
      <w:numFmt w:val="upperLetter"/>
      <w:lvlText w:val="%2."/>
      <w:lvlJc w:val="left"/>
      <w:pPr>
        <w:ind w:left="900" w:hanging="480"/>
      </w:pPr>
      <w:rPr>
        <w:rFonts w:ascii="Times New Roman" w:eastAsia="Times New Roman" w:hAnsi="Times New Roman" w:hint="default"/>
        <w:spacing w:val="-1"/>
        <w:sz w:val="24"/>
        <w:szCs w:val="24"/>
      </w:rPr>
    </w:lvl>
    <w:lvl w:ilvl="2" w:tplc="54664F9C">
      <w:start w:val="1"/>
      <w:numFmt w:val="decimal"/>
      <w:lvlText w:val="%3."/>
      <w:lvlJc w:val="left"/>
      <w:pPr>
        <w:ind w:left="1440" w:hanging="540"/>
      </w:pPr>
      <w:rPr>
        <w:rFonts w:ascii="Times New Roman" w:eastAsia="Times New Roman" w:hAnsi="Times New Roman" w:hint="default"/>
        <w:w w:val="99"/>
        <w:sz w:val="22"/>
        <w:szCs w:val="22"/>
      </w:rPr>
    </w:lvl>
    <w:lvl w:ilvl="3" w:tplc="7936826E">
      <w:start w:val="1"/>
      <w:numFmt w:val="bullet"/>
      <w:lvlText w:val="•"/>
      <w:lvlJc w:val="left"/>
      <w:pPr>
        <w:ind w:left="2475" w:hanging="540"/>
      </w:pPr>
      <w:rPr>
        <w:rFonts w:hint="default"/>
      </w:rPr>
    </w:lvl>
    <w:lvl w:ilvl="4" w:tplc="33DE587E">
      <w:start w:val="1"/>
      <w:numFmt w:val="bullet"/>
      <w:lvlText w:val="•"/>
      <w:lvlJc w:val="left"/>
      <w:pPr>
        <w:ind w:left="3510" w:hanging="540"/>
      </w:pPr>
      <w:rPr>
        <w:rFonts w:hint="default"/>
      </w:rPr>
    </w:lvl>
    <w:lvl w:ilvl="5" w:tplc="4C5E2D5E">
      <w:start w:val="1"/>
      <w:numFmt w:val="bullet"/>
      <w:lvlText w:val="•"/>
      <w:lvlJc w:val="left"/>
      <w:pPr>
        <w:ind w:left="4545" w:hanging="540"/>
      </w:pPr>
      <w:rPr>
        <w:rFonts w:hint="default"/>
      </w:rPr>
    </w:lvl>
    <w:lvl w:ilvl="6" w:tplc="FF7AAD9E">
      <w:start w:val="1"/>
      <w:numFmt w:val="bullet"/>
      <w:lvlText w:val="•"/>
      <w:lvlJc w:val="left"/>
      <w:pPr>
        <w:ind w:left="5580" w:hanging="540"/>
      </w:pPr>
      <w:rPr>
        <w:rFonts w:hint="default"/>
      </w:rPr>
    </w:lvl>
    <w:lvl w:ilvl="7" w:tplc="17BA932A">
      <w:start w:val="1"/>
      <w:numFmt w:val="bullet"/>
      <w:lvlText w:val="•"/>
      <w:lvlJc w:val="left"/>
      <w:pPr>
        <w:ind w:left="6615" w:hanging="540"/>
      </w:pPr>
      <w:rPr>
        <w:rFonts w:hint="default"/>
      </w:rPr>
    </w:lvl>
    <w:lvl w:ilvl="8" w:tplc="52F6093C">
      <w:start w:val="1"/>
      <w:numFmt w:val="bullet"/>
      <w:lvlText w:val="•"/>
      <w:lvlJc w:val="left"/>
      <w:pPr>
        <w:ind w:left="7650" w:hanging="540"/>
      </w:pPr>
      <w:rPr>
        <w:rFonts w:hint="default"/>
      </w:rPr>
    </w:lvl>
  </w:abstractNum>
  <w:abstractNum w:abstractNumId="111" w15:restartNumberingAfterBreak="0">
    <w:nsid w:val="6D3026F8"/>
    <w:multiLevelType w:val="hybridMultilevel"/>
    <w:tmpl w:val="9D9ACD5A"/>
    <w:lvl w:ilvl="0" w:tplc="850EFAB6">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B728E5"/>
    <w:multiLevelType w:val="hybridMultilevel"/>
    <w:tmpl w:val="0EF40AB2"/>
    <w:lvl w:ilvl="0" w:tplc="04090001">
      <w:start w:val="1"/>
      <w:numFmt w:val="bullet"/>
      <w:lvlText w:val=""/>
      <w:lvlJc w:val="left"/>
      <w:pPr>
        <w:ind w:left="720" w:hanging="360"/>
      </w:pPr>
      <w:rPr>
        <w:rFonts w:ascii="Symbol" w:hAnsi="Symbol" w:hint="default"/>
      </w:rPr>
    </w:lvl>
    <w:lvl w:ilvl="1" w:tplc="BA0CF9E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01C3890"/>
    <w:multiLevelType w:val="hybridMultilevel"/>
    <w:tmpl w:val="903AADFC"/>
    <w:lvl w:ilvl="0" w:tplc="2348DED6">
      <w:start w:val="1"/>
      <w:numFmt w:val="decimal"/>
      <w:lvlText w:val="%1."/>
      <w:lvlJc w:val="left"/>
      <w:pPr>
        <w:ind w:left="720" w:hanging="360"/>
      </w:pPr>
      <w:rPr>
        <w:rFonts w:ascii="Times New Roman" w:hAnsi="Times New Roman" w:cs="Arial" w:hint="default"/>
        <w:b w:val="0"/>
        <w:i w:val="0"/>
        <w:caps w:val="0"/>
        <w:strike w:val="0"/>
        <w:dstrike w:val="0"/>
        <w:vanish w:val="0"/>
        <w:color w:val="auto"/>
        <w:w w:val="77"/>
        <w:sz w:val="24"/>
        <w:szCs w:val="22"/>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18B40E5"/>
    <w:multiLevelType w:val="hybridMultilevel"/>
    <w:tmpl w:val="995C0A96"/>
    <w:lvl w:ilvl="0" w:tplc="C6DA2F8E">
      <w:start w:val="1"/>
      <w:numFmt w:val="decimal"/>
      <w:lvlText w:val="%1."/>
      <w:lvlJc w:val="left"/>
      <w:pPr>
        <w:ind w:left="0" w:firstLine="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2D63CD1"/>
    <w:multiLevelType w:val="hybridMultilevel"/>
    <w:tmpl w:val="E228C1C0"/>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16" w15:restartNumberingAfterBreak="0">
    <w:nsid w:val="733E74EF"/>
    <w:multiLevelType w:val="hybridMultilevel"/>
    <w:tmpl w:val="8CA87E7E"/>
    <w:lvl w:ilvl="0" w:tplc="429CB906">
      <w:start w:val="1"/>
      <w:numFmt w:val="lowerLetter"/>
      <w:lvlText w:val="(%1)"/>
      <w:lvlJc w:val="left"/>
      <w:pPr>
        <w:ind w:left="1852" w:hanging="504"/>
      </w:pPr>
      <w:rPr>
        <w:rFonts w:ascii="Garamond" w:eastAsia="Garamond" w:hAnsi="Garamond" w:hint="default"/>
        <w:w w:val="102"/>
        <w:sz w:val="14"/>
        <w:szCs w:val="14"/>
      </w:rPr>
    </w:lvl>
    <w:lvl w:ilvl="1" w:tplc="B8BE0A1E">
      <w:start w:val="1"/>
      <w:numFmt w:val="bullet"/>
      <w:lvlText w:val=""/>
      <w:lvlJc w:val="left"/>
      <w:pPr>
        <w:ind w:left="2152" w:hanging="360"/>
      </w:pPr>
      <w:rPr>
        <w:rFonts w:ascii="Wingdings" w:eastAsia="Wingdings" w:hAnsi="Wingdings" w:hint="default"/>
        <w:color w:val="0582BE"/>
        <w:w w:val="103"/>
        <w:sz w:val="19"/>
        <w:szCs w:val="19"/>
      </w:rPr>
    </w:lvl>
    <w:lvl w:ilvl="2" w:tplc="8B8E5638">
      <w:start w:val="1"/>
      <w:numFmt w:val="bullet"/>
      <w:lvlText w:val="•"/>
      <w:lvlJc w:val="left"/>
      <w:pPr>
        <w:ind w:left="3550" w:hanging="360"/>
      </w:pPr>
      <w:rPr>
        <w:rFonts w:hint="default"/>
      </w:rPr>
    </w:lvl>
    <w:lvl w:ilvl="3" w:tplc="219478C0">
      <w:start w:val="1"/>
      <w:numFmt w:val="bullet"/>
      <w:lvlText w:val="•"/>
      <w:lvlJc w:val="left"/>
      <w:pPr>
        <w:ind w:left="4949" w:hanging="360"/>
      </w:pPr>
      <w:rPr>
        <w:rFonts w:hint="default"/>
      </w:rPr>
    </w:lvl>
    <w:lvl w:ilvl="4" w:tplc="D988ED34">
      <w:start w:val="1"/>
      <w:numFmt w:val="bullet"/>
      <w:lvlText w:val="•"/>
      <w:lvlJc w:val="left"/>
      <w:pPr>
        <w:ind w:left="6348" w:hanging="360"/>
      </w:pPr>
      <w:rPr>
        <w:rFonts w:hint="default"/>
      </w:rPr>
    </w:lvl>
    <w:lvl w:ilvl="5" w:tplc="75524CAA">
      <w:start w:val="1"/>
      <w:numFmt w:val="bullet"/>
      <w:lvlText w:val="•"/>
      <w:lvlJc w:val="left"/>
      <w:pPr>
        <w:ind w:left="7746" w:hanging="360"/>
      </w:pPr>
      <w:rPr>
        <w:rFonts w:hint="default"/>
      </w:rPr>
    </w:lvl>
    <w:lvl w:ilvl="6" w:tplc="AD8AF5C2">
      <w:start w:val="1"/>
      <w:numFmt w:val="bullet"/>
      <w:lvlText w:val="•"/>
      <w:lvlJc w:val="left"/>
      <w:pPr>
        <w:ind w:left="9145" w:hanging="360"/>
      </w:pPr>
      <w:rPr>
        <w:rFonts w:hint="default"/>
      </w:rPr>
    </w:lvl>
    <w:lvl w:ilvl="7" w:tplc="C414A548">
      <w:start w:val="1"/>
      <w:numFmt w:val="bullet"/>
      <w:lvlText w:val="•"/>
      <w:lvlJc w:val="left"/>
      <w:pPr>
        <w:ind w:left="10544" w:hanging="360"/>
      </w:pPr>
      <w:rPr>
        <w:rFonts w:hint="default"/>
      </w:rPr>
    </w:lvl>
    <w:lvl w:ilvl="8" w:tplc="2D68530A">
      <w:start w:val="1"/>
      <w:numFmt w:val="bullet"/>
      <w:lvlText w:val="•"/>
      <w:lvlJc w:val="left"/>
      <w:pPr>
        <w:ind w:left="11942" w:hanging="360"/>
      </w:pPr>
      <w:rPr>
        <w:rFonts w:hint="default"/>
      </w:rPr>
    </w:lvl>
  </w:abstractNum>
  <w:abstractNum w:abstractNumId="117" w15:restartNumberingAfterBreak="0">
    <w:nsid w:val="74DB428A"/>
    <w:multiLevelType w:val="hybridMultilevel"/>
    <w:tmpl w:val="EDFEEE0C"/>
    <w:lvl w:ilvl="0" w:tplc="070A65F4">
      <w:start w:val="1"/>
      <w:numFmt w:val="bullet"/>
      <w:lvlText w:val=""/>
      <w:lvlJc w:val="left"/>
      <w:pPr>
        <w:ind w:left="720" w:hanging="360"/>
      </w:pPr>
      <w:rPr>
        <w:rFonts w:ascii="Wingdings 2" w:hAnsi="Wingdings 2" w:hint="default"/>
        <w:color w:val="00507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4A306F"/>
    <w:multiLevelType w:val="hybridMultilevel"/>
    <w:tmpl w:val="7BFE4ED8"/>
    <w:lvl w:ilvl="0" w:tplc="102CB49A">
      <w:start w:val="1"/>
      <w:numFmt w:val="bullet"/>
      <w:lvlText w:val="-"/>
      <w:lvlJc w:val="left"/>
      <w:pPr>
        <w:ind w:left="218" w:hanging="140"/>
      </w:pPr>
      <w:rPr>
        <w:rFonts w:ascii="Times New Roman" w:eastAsia="Times New Roman" w:hAnsi="Times New Roman" w:hint="default"/>
        <w:sz w:val="24"/>
        <w:szCs w:val="24"/>
      </w:rPr>
    </w:lvl>
    <w:lvl w:ilvl="1" w:tplc="2BEC7318">
      <w:start w:val="1"/>
      <w:numFmt w:val="bullet"/>
      <w:lvlText w:val=""/>
      <w:lvlJc w:val="left"/>
      <w:pPr>
        <w:ind w:left="900" w:hanging="360"/>
      </w:pPr>
      <w:rPr>
        <w:rFonts w:ascii="Symbol" w:eastAsia="Symbol" w:hAnsi="Symbol" w:hint="default"/>
        <w:w w:val="99"/>
        <w:sz w:val="22"/>
        <w:szCs w:val="22"/>
      </w:rPr>
    </w:lvl>
    <w:lvl w:ilvl="2" w:tplc="0394C44C">
      <w:start w:val="1"/>
      <w:numFmt w:val="bullet"/>
      <w:lvlText w:val="•"/>
      <w:lvlJc w:val="left"/>
      <w:pPr>
        <w:ind w:left="900" w:hanging="360"/>
      </w:pPr>
      <w:rPr>
        <w:rFonts w:hint="default"/>
      </w:rPr>
    </w:lvl>
    <w:lvl w:ilvl="3" w:tplc="50566FE0">
      <w:start w:val="1"/>
      <w:numFmt w:val="bullet"/>
      <w:lvlText w:val="•"/>
      <w:lvlJc w:val="left"/>
      <w:pPr>
        <w:ind w:left="2037" w:hanging="360"/>
      </w:pPr>
      <w:rPr>
        <w:rFonts w:hint="default"/>
      </w:rPr>
    </w:lvl>
    <w:lvl w:ilvl="4" w:tplc="3EDE3AF0">
      <w:start w:val="1"/>
      <w:numFmt w:val="bullet"/>
      <w:lvlText w:val="•"/>
      <w:lvlJc w:val="left"/>
      <w:pPr>
        <w:ind w:left="3175" w:hanging="360"/>
      </w:pPr>
      <w:rPr>
        <w:rFonts w:hint="default"/>
      </w:rPr>
    </w:lvl>
    <w:lvl w:ilvl="5" w:tplc="65165D3E">
      <w:start w:val="1"/>
      <w:numFmt w:val="bullet"/>
      <w:lvlText w:val="•"/>
      <w:lvlJc w:val="left"/>
      <w:pPr>
        <w:ind w:left="4312" w:hanging="360"/>
      </w:pPr>
      <w:rPr>
        <w:rFonts w:hint="default"/>
      </w:rPr>
    </w:lvl>
    <w:lvl w:ilvl="6" w:tplc="908835FC">
      <w:start w:val="1"/>
      <w:numFmt w:val="bullet"/>
      <w:lvlText w:val="•"/>
      <w:lvlJc w:val="left"/>
      <w:pPr>
        <w:ind w:left="5450" w:hanging="360"/>
      </w:pPr>
      <w:rPr>
        <w:rFonts w:hint="default"/>
      </w:rPr>
    </w:lvl>
    <w:lvl w:ilvl="7" w:tplc="8E302C62">
      <w:start w:val="1"/>
      <w:numFmt w:val="bullet"/>
      <w:lvlText w:val="•"/>
      <w:lvlJc w:val="left"/>
      <w:pPr>
        <w:ind w:left="6587" w:hanging="360"/>
      </w:pPr>
      <w:rPr>
        <w:rFonts w:hint="default"/>
      </w:rPr>
    </w:lvl>
    <w:lvl w:ilvl="8" w:tplc="10F86852">
      <w:start w:val="1"/>
      <w:numFmt w:val="bullet"/>
      <w:lvlText w:val="•"/>
      <w:lvlJc w:val="left"/>
      <w:pPr>
        <w:ind w:left="7725" w:hanging="360"/>
      </w:pPr>
      <w:rPr>
        <w:rFonts w:hint="default"/>
      </w:rPr>
    </w:lvl>
  </w:abstractNum>
  <w:abstractNum w:abstractNumId="119" w15:restartNumberingAfterBreak="0">
    <w:nsid w:val="77A7122D"/>
    <w:multiLevelType w:val="hybridMultilevel"/>
    <w:tmpl w:val="1CBCAFB0"/>
    <w:lvl w:ilvl="0" w:tplc="04090001">
      <w:start w:val="1"/>
      <w:numFmt w:val="bullet"/>
      <w:lvlText w:val=""/>
      <w:lvlJc w:val="left"/>
      <w:pPr>
        <w:ind w:left="713" w:hanging="555"/>
      </w:pPr>
      <w:rPr>
        <w:rFonts w:ascii="Symbol" w:hAnsi="Symbol" w:hint="default"/>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120" w15:restartNumberingAfterBreak="0">
    <w:nsid w:val="7901667B"/>
    <w:multiLevelType w:val="multilevel"/>
    <w:tmpl w:val="0ED4594A"/>
    <w:lvl w:ilvl="0">
      <w:start w:val="1"/>
      <w:numFmt w:val="decimal"/>
      <w:lvlText w:val="%1."/>
      <w:lvlJc w:val="left"/>
      <w:rPr>
        <w:rFonts w:ascii="Calibri" w:hAnsi="Calibri" w:cs="Times New Roman" w:hint="default"/>
        <w:b w:val="0"/>
        <w:i w:val="0"/>
        <w:color w:val="1B5877"/>
        <w:sz w:val="52"/>
        <w:u w:val="none" w:color="1B5877"/>
      </w:rPr>
    </w:lvl>
    <w:lvl w:ilvl="1">
      <w:start w:val="1"/>
      <w:numFmt w:val="decimal"/>
      <w:lvlText w:val="%1.%2."/>
      <w:lvlJc w:val="right"/>
      <w:pPr>
        <w:tabs>
          <w:tab w:val="num" w:pos="144"/>
        </w:tabs>
        <w:ind w:left="144" w:hanging="144"/>
      </w:pPr>
      <w:rPr>
        <w:rFonts w:cs="Times New Roman" w:hint="default"/>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368"/>
        </w:tabs>
        <w:ind w:left="1368" w:hanging="648"/>
      </w:pPr>
      <w:rPr>
        <w:rFonts w:cs="Times New Roman" w:hint="default"/>
      </w:rPr>
    </w:lvl>
    <w:lvl w:ilvl="4">
      <w:start w:val="1"/>
      <w:numFmt w:val="decimal"/>
      <w:lvlText w:val="%1.%2.%3.%4.%5."/>
      <w:lvlJc w:val="left"/>
      <w:pPr>
        <w:tabs>
          <w:tab w:val="num" w:pos="1872"/>
        </w:tabs>
        <w:ind w:left="1872" w:hanging="792"/>
      </w:pPr>
      <w:rPr>
        <w:rFonts w:cs="Times New Roman" w:hint="default"/>
      </w:rPr>
    </w:lvl>
    <w:lvl w:ilvl="5">
      <w:start w:val="1"/>
      <w:numFmt w:val="decimal"/>
      <w:lvlText w:val="%1.%2.%3.%4.%5.%6."/>
      <w:lvlJc w:val="left"/>
      <w:pPr>
        <w:tabs>
          <w:tab w:val="num" w:pos="2376"/>
        </w:tabs>
        <w:ind w:left="2376" w:hanging="936"/>
      </w:pPr>
      <w:rPr>
        <w:rFonts w:cs="Times New Roman" w:hint="default"/>
      </w:rPr>
    </w:lvl>
    <w:lvl w:ilvl="6">
      <w:start w:val="1"/>
      <w:numFmt w:val="decimal"/>
      <w:lvlText w:val="%1.%2.%3.%4.%5.%6.%7."/>
      <w:lvlJc w:val="left"/>
      <w:pPr>
        <w:tabs>
          <w:tab w:val="num" w:pos="2880"/>
        </w:tabs>
        <w:ind w:left="2880" w:hanging="1080"/>
      </w:pPr>
      <w:rPr>
        <w:rFonts w:cs="Times New Roman" w:hint="default"/>
      </w:rPr>
    </w:lvl>
    <w:lvl w:ilvl="7">
      <w:start w:val="1"/>
      <w:numFmt w:val="decimal"/>
      <w:lvlText w:val="%1.%2.%3.%4.%5.%6.%7.%8."/>
      <w:lvlJc w:val="left"/>
      <w:pPr>
        <w:tabs>
          <w:tab w:val="num" w:pos="3384"/>
        </w:tabs>
        <w:ind w:left="3384" w:hanging="1224"/>
      </w:pPr>
      <w:rPr>
        <w:rFonts w:cs="Times New Roman" w:hint="default"/>
      </w:rPr>
    </w:lvl>
    <w:lvl w:ilvl="8">
      <w:start w:val="1"/>
      <w:numFmt w:val="decimal"/>
      <w:lvlText w:val="%1.%2.%3.%4.%5.%6.%7.%8.%9."/>
      <w:lvlJc w:val="left"/>
      <w:pPr>
        <w:tabs>
          <w:tab w:val="num" w:pos="3960"/>
        </w:tabs>
        <w:ind w:left="3960" w:hanging="1440"/>
      </w:pPr>
      <w:rPr>
        <w:rFonts w:cs="Times New Roman" w:hint="default"/>
      </w:rPr>
    </w:lvl>
  </w:abstractNum>
  <w:abstractNum w:abstractNumId="121" w15:restartNumberingAfterBreak="0">
    <w:nsid w:val="79A036E7"/>
    <w:multiLevelType w:val="hybridMultilevel"/>
    <w:tmpl w:val="4ECC397A"/>
    <w:lvl w:ilvl="0" w:tplc="70E47E1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AEA317A"/>
    <w:multiLevelType w:val="hybridMultilevel"/>
    <w:tmpl w:val="86281BCC"/>
    <w:lvl w:ilvl="0" w:tplc="AD18124A">
      <w:start w:val="1"/>
      <w:numFmt w:val="lowerLetter"/>
      <w:lvlText w:val="(%1)"/>
      <w:lvlJc w:val="left"/>
      <w:pPr>
        <w:ind w:left="2068" w:hanging="504"/>
      </w:pPr>
      <w:rPr>
        <w:rFonts w:ascii="Garamond" w:eastAsia="Garamond" w:hAnsi="Garamond" w:hint="default"/>
        <w:w w:val="102"/>
        <w:sz w:val="14"/>
        <w:szCs w:val="14"/>
      </w:rPr>
    </w:lvl>
    <w:lvl w:ilvl="1" w:tplc="E6B2E562">
      <w:start w:val="1"/>
      <w:numFmt w:val="bullet"/>
      <w:lvlText w:val="•"/>
      <w:lvlJc w:val="left"/>
      <w:pPr>
        <w:ind w:left="3325" w:hanging="504"/>
      </w:pPr>
      <w:rPr>
        <w:rFonts w:hint="default"/>
      </w:rPr>
    </w:lvl>
    <w:lvl w:ilvl="2" w:tplc="77940876">
      <w:start w:val="1"/>
      <w:numFmt w:val="bullet"/>
      <w:lvlText w:val="•"/>
      <w:lvlJc w:val="left"/>
      <w:pPr>
        <w:ind w:left="4583" w:hanging="504"/>
      </w:pPr>
      <w:rPr>
        <w:rFonts w:hint="default"/>
      </w:rPr>
    </w:lvl>
    <w:lvl w:ilvl="3" w:tplc="11B010DA">
      <w:start w:val="1"/>
      <w:numFmt w:val="bullet"/>
      <w:lvlText w:val="•"/>
      <w:lvlJc w:val="left"/>
      <w:pPr>
        <w:ind w:left="5840" w:hanging="504"/>
      </w:pPr>
      <w:rPr>
        <w:rFonts w:hint="default"/>
      </w:rPr>
    </w:lvl>
    <w:lvl w:ilvl="4" w:tplc="BB7657FA">
      <w:start w:val="1"/>
      <w:numFmt w:val="bullet"/>
      <w:lvlText w:val="•"/>
      <w:lvlJc w:val="left"/>
      <w:pPr>
        <w:ind w:left="7097" w:hanging="504"/>
      </w:pPr>
      <w:rPr>
        <w:rFonts w:hint="default"/>
      </w:rPr>
    </w:lvl>
    <w:lvl w:ilvl="5" w:tplc="9482AEA4">
      <w:start w:val="1"/>
      <w:numFmt w:val="bullet"/>
      <w:lvlText w:val="•"/>
      <w:lvlJc w:val="left"/>
      <w:pPr>
        <w:ind w:left="8354" w:hanging="504"/>
      </w:pPr>
      <w:rPr>
        <w:rFonts w:hint="default"/>
      </w:rPr>
    </w:lvl>
    <w:lvl w:ilvl="6" w:tplc="4DA89260">
      <w:start w:val="1"/>
      <w:numFmt w:val="bullet"/>
      <w:lvlText w:val="•"/>
      <w:lvlJc w:val="left"/>
      <w:pPr>
        <w:ind w:left="9611" w:hanging="504"/>
      </w:pPr>
      <w:rPr>
        <w:rFonts w:hint="default"/>
      </w:rPr>
    </w:lvl>
    <w:lvl w:ilvl="7" w:tplc="D1A42808">
      <w:start w:val="1"/>
      <w:numFmt w:val="bullet"/>
      <w:lvlText w:val="•"/>
      <w:lvlJc w:val="left"/>
      <w:pPr>
        <w:ind w:left="10868" w:hanging="504"/>
      </w:pPr>
      <w:rPr>
        <w:rFonts w:hint="default"/>
      </w:rPr>
    </w:lvl>
    <w:lvl w:ilvl="8" w:tplc="2FC05A70">
      <w:start w:val="1"/>
      <w:numFmt w:val="bullet"/>
      <w:lvlText w:val="•"/>
      <w:lvlJc w:val="left"/>
      <w:pPr>
        <w:ind w:left="12125" w:hanging="504"/>
      </w:pPr>
      <w:rPr>
        <w:rFonts w:hint="default"/>
      </w:rPr>
    </w:lvl>
  </w:abstractNum>
  <w:abstractNum w:abstractNumId="123" w15:restartNumberingAfterBreak="0">
    <w:nsid w:val="7B42703D"/>
    <w:multiLevelType w:val="hybridMultilevel"/>
    <w:tmpl w:val="5346398C"/>
    <w:lvl w:ilvl="0" w:tplc="208E3014">
      <w:start w:val="1"/>
      <w:numFmt w:val="upperLetter"/>
      <w:lvlText w:val="%1."/>
      <w:lvlJc w:val="left"/>
      <w:pPr>
        <w:ind w:left="1620" w:hanging="720"/>
      </w:pPr>
      <w:rPr>
        <w:rFonts w:ascii="Times New Roman" w:eastAsia="Times New Roman" w:hAnsi="Times New Roman" w:hint="default"/>
        <w:b/>
        <w:bCs/>
        <w:spacing w:val="-1"/>
        <w:sz w:val="24"/>
        <w:szCs w:val="24"/>
      </w:rPr>
    </w:lvl>
    <w:lvl w:ilvl="1" w:tplc="C0ECB3BA">
      <w:start w:val="1"/>
      <w:numFmt w:val="decimal"/>
      <w:lvlText w:val="%2."/>
      <w:lvlJc w:val="left"/>
      <w:pPr>
        <w:ind w:left="2340" w:hanging="720"/>
      </w:pPr>
      <w:rPr>
        <w:rFonts w:ascii="Times New Roman" w:eastAsia="Times New Roman" w:hAnsi="Times New Roman" w:hint="default"/>
        <w:b/>
        <w:bCs/>
        <w:sz w:val="24"/>
        <w:szCs w:val="24"/>
      </w:rPr>
    </w:lvl>
    <w:lvl w:ilvl="2" w:tplc="55D898E0">
      <w:start w:val="1"/>
      <w:numFmt w:val="bullet"/>
      <w:lvlText w:val="•"/>
      <w:lvlJc w:val="left"/>
      <w:pPr>
        <w:ind w:left="2340" w:hanging="720"/>
      </w:pPr>
      <w:rPr>
        <w:rFonts w:hint="default"/>
      </w:rPr>
    </w:lvl>
    <w:lvl w:ilvl="3" w:tplc="2E444608">
      <w:start w:val="1"/>
      <w:numFmt w:val="bullet"/>
      <w:lvlText w:val="•"/>
      <w:lvlJc w:val="left"/>
      <w:pPr>
        <w:ind w:left="3297" w:hanging="720"/>
      </w:pPr>
      <w:rPr>
        <w:rFonts w:hint="default"/>
      </w:rPr>
    </w:lvl>
    <w:lvl w:ilvl="4" w:tplc="2970F1B0">
      <w:start w:val="1"/>
      <w:numFmt w:val="bullet"/>
      <w:lvlText w:val="•"/>
      <w:lvlJc w:val="left"/>
      <w:pPr>
        <w:ind w:left="4255" w:hanging="720"/>
      </w:pPr>
      <w:rPr>
        <w:rFonts w:hint="default"/>
      </w:rPr>
    </w:lvl>
    <w:lvl w:ilvl="5" w:tplc="922ACA0E">
      <w:start w:val="1"/>
      <w:numFmt w:val="bullet"/>
      <w:lvlText w:val="•"/>
      <w:lvlJc w:val="left"/>
      <w:pPr>
        <w:ind w:left="5212" w:hanging="720"/>
      </w:pPr>
      <w:rPr>
        <w:rFonts w:hint="default"/>
      </w:rPr>
    </w:lvl>
    <w:lvl w:ilvl="6" w:tplc="25CC7C82">
      <w:start w:val="1"/>
      <w:numFmt w:val="bullet"/>
      <w:lvlText w:val="•"/>
      <w:lvlJc w:val="left"/>
      <w:pPr>
        <w:ind w:left="6170" w:hanging="720"/>
      </w:pPr>
      <w:rPr>
        <w:rFonts w:hint="default"/>
      </w:rPr>
    </w:lvl>
    <w:lvl w:ilvl="7" w:tplc="E50CB960">
      <w:start w:val="1"/>
      <w:numFmt w:val="bullet"/>
      <w:lvlText w:val="•"/>
      <w:lvlJc w:val="left"/>
      <w:pPr>
        <w:ind w:left="7127" w:hanging="720"/>
      </w:pPr>
      <w:rPr>
        <w:rFonts w:hint="default"/>
      </w:rPr>
    </w:lvl>
    <w:lvl w:ilvl="8" w:tplc="1BDA02D0">
      <w:start w:val="1"/>
      <w:numFmt w:val="bullet"/>
      <w:lvlText w:val="•"/>
      <w:lvlJc w:val="left"/>
      <w:pPr>
        <w:ind w:left="8085" w:hanging="720"/>
      </w:pPr>
      <w:rPr>
        <w:rFonts w:hint="default"/>
      </w:rPr>
    </w:lvl>
  </w:abstractNum>
  <w:abstractNum w:abstractNumId="124" w15:restartNumberingAfterBreak="0">
    <w:nsid w:val="7C6E6CED"/>
    <w:multiLevelType w:val="hybridMultilevel"/>
    <w:tmpl w:val="FBB875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CF51137"/>
    <w:multiLevelType w:val="hybridMultilevel"/>
    <w:tmpl w:val="1BE444BA"/>
    <w:lvl w:ilvl="0" w:tplc="05644068">
      <w:start w:val="1"/>
      <w:numFmt w:val="bullet"/>
      <w:lvlText w:val=""/>
      <w:lvlJc w:val="left"/>
      <w:pPr>
        <w:ind w:left="900" w:hanging="360"/>
      </w:pPr>
      <w:rPr>
        <w:rFonts w:ascii="Symbol" w:eastAsia="Symbol" w:hAnsi="Symbol" w:hint="default"/>
        <w:sz w:val="24"/>
        <w:szCs w:val="24"/>
      </w:rPr>
    </w:lvl>
    <w:lvl w:ilvl="1" w:tplc="574A0686">
      <w:start w:val="1"/>
      <w:numFmt w:val="bullet"/>
      <w:lvlText w:val="•"/>
      <w:lvlJc w:val="left"/>
      <w:pPr>
        <w:ind w:left="1810" w:hanging="360"/>
      </w:pPr>
      <w:rPr>
        <w:rFonts w:hint="default"/>
      </w:rPr>
    </w:lvl>
    <w:lvl w:ilvl="2" w:tplc="AF2A4BE2">
      <w:start w:val="1"/>
      <w:numFmt w:val="bullet"/>
      <w:lvlText w:val="•"/>
      <w:lvlJc w:val="left"/>
      <w:pPr>
        <w:ind w:left="2720" w:hanging="360"/>
      </w:pPr>
      <w:rPr>
        <w:rFonts w:hint="default"/>
      </w:rPr>
    </w:lvl>
    <w:lvl w:ilvl="3" w:tplc="801C3858">
      <w:start w:val="1"/>
      <w:numFmt w:val="bullet"/>
      <w:lvlText w:val="•"/>
      <w:lvlJc w:val="left"/>
      <w:pPr>
        <w:ind w:left="3630" w:hanging="360"/>
      </w:pPr>
      <w:rPr>
        <w:rFonts w:hint="default"/>
      </w:rPr>
    </w:lvl>
    <w:lvl w:ilvl="4" w:tplc="0DE4640E">
      <w:start w:val="1"/>
      <w:numFmt w:val="bullet"/>
      <w:lvlText w:val="•"/>
      <w:lvlJc w:val="left"/>
      <w:pPr>
        <w:ind w:left="4540" w:hanging="360"/>
      </w:pPr>
      <w:rPr>
        <w:rFonts w:hint="default"/>
      </w:rPr>
    </w:lvl>
    <w:lvl w:ilvl="5" w:tplc="C5CCB678">
      <w:start w:val="1"/>
      <w:numFmt w:val="bullet"/>
      <w:lvlText w:val="•"/>
      <w:lvlJc w:val="left"/>
      <w:pPr>
        <w:ind w:left="5450" w:hanging="360"/>
      </w:pPr>
      <w:rPr>
        <w:rFonts w:hint="default"/>
      </w:rPr>
    </w:lvl>
    <w:lvl w:ilvl="6" w:tplc="A484D512">
      <w:start w:val="1"/>
      <w:numFmt w:val="bullet"/>
      <w:lvlText w:val="•"/>
      <w:lvlJc w:val="left"/>
      <w:pPr>
        <w:ind w:left="6360" w:hanging="360"/>
      </w:pPr>
      <w:rPr>
        <w:rFonts w:hint="default"/>
      </w:rPr>
    </w:lvl>
    <w:lvl w:ilvl="7" w:tplc="BAB8D62A">
      <w:start w:val="1"/>
      <w:numFmt w:val="bullet"/>
      <w:lvlText w:val="•"/>
      <w:lvlJc w:val="left"/>
      <w:pPr>
        <w:ind w:left="7270" w:hanging="360"/>
      </w:pPr>
      <w:rPr>
        <w:rFonts w:hint="default"/>
      </w:rPr>
    </w:lvl>
    <w:lvl w:ilvl="8" w:tplc="8EBC5C70">
      <w:start w:val="1"/>
      <w:numFmt w:val="bullet"/>
      <w:lvlText w:val="•"/>
      <w:lvlJc w:val="left"/>
      <w:pPr>
        <w:ind w:left="8180" w:hanging="360"/>
      </w:pPr>
      <w:rPr>
        <w:rFonts w:hint="default"/>
      </w:rPr>
    </w:lvl>
  </w:abstractNum>
  <w:abstractNum w:abstractNumId="126" w15:restartNumberingAfterBreak="0">
    <w:nsid w:val="7DE62E62"/>
    <w:multiLevelType w:val="hybridMultilevel"/>
    <w:tmpl w:val="7700AF94"/>
    <w:lvl w:ilvl="0" w:tplc="42784312">
      <w:start w:val="1"/>
      <w:numFmt w:val="decimal"/>
      <w:lvlText w:val="%1."/>
      <w:lvlJc w:val="left"/>
      <w:pPr>
        <w:ind w:left="720" w:hanging="360"/>
      </w:pPr>
      <w:rPr>
        <w:rFonts w:eastAsia="Times New Roman"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E0C7926"/>
    <w:multiLevelType w:val="hybridMultilevel"/>
    <w:tmpl w:val="D3E69B7E"/>
    <w:lvl w:ilvl="0" w:tplc="BF605D96">
      <w:start w:val="1"/>
      <w:numFmt w:val="bullet"/>
      <w:lvlText w:val=""/>
      <w:lvlJc w:val="left"/>
      <w:pPr>
        <w:ind w:left="1039" w:hanging="989"/>
      </w:pPr>
      <w:rPr>
        <w:rFonts w:ascii="Wingdings" w:eastAsia="Wingdings" w:hAnsi="Wingdings" w:hint="default"/>
        <w:w w:val="99"/>
        <w:sz w:val="16"/>
        <w:szCs w:val="16"/>
      </w:rPr>
    </w:lvl>
    <w:lvl w:ilvl="1" w:tplc="D6F61896">
      <w:start w:val="1"/>
      <w:numFmt w:val="bullet"/>
      <w:lvlText w:val="•"/>
      <w:lvlJc w:val="left"/>
      <w:pPr>
        <w:ind w:left="1146" w:hanging="989"/>
      </w:pPr>
      <w:rPr>
        <w:rFonts w:hint="default"/>
      </w:rPr>
    </w:lvl>
    <w:lvl w:ilvl="2" w:tplc="7D26AA4E">
      <w:start w:val="1"/>
      <w:numFmt w:val="bullet"/>
      <w:lvlText w:val="•"/>
      <w:lvlJc w:val="left"/>
      <w:pPr>
        <w:ind w:left="1253" w:hanging="989"/>
      </w:pPr>
      <w:rPr>
        <w:rFonts w:hint="default"/>
      </w:rPr>
    </w:lvl>
    <w:lvl w:ilvl="3" w:tplc="E2964682">
      <w:start w:val="1"/>
      <w:numFmt w:val="bullet"/>
      <w:lvlText w:val="•"/>
      <w:lvlJc w:val="left"/>
      <w:pPr>
        <w:ind w:left="1360" w:hanging="989"/>
      </w:pPr>
      <w:rPr>
        <w:rFonts w:hint="default"/>
      </w:rPr>
    </w:lvl>
    <w:lvl w:ilvl="4" w:tplc="7E9EFC96">
      <w:start w:val="1"/>
      <w:numFmt w:val="bullet"/>
      <w:lvlText w:val="•"/>
      <w:lvlJc w:val="left"/>
      <w:pPr>
        <w:ind w:left="1467" w:hanging="989"/>
      </w:pPr>
      <w:rPr>
        <w:rFonts w:hint="default"/>
      </w:rPr>
    </w:lvl>
    <w:lvl w:ilvl="5" w:tplc="9EB2C144">
      <w:start w:val="1"/>
      <w:numFmt w:val="bullet"/>
      <w:lvlText w:val="•"/>
      <w:lvlJc w:val="left"/>
      <w:pPr>
        <w:ind w:left="1574" w:hanging="989"/>
      </w:pPr>
      <w:rPr>
        <w:rFonts w:hint="default"/>
      </w:rPr>
    </w:lvl>
    <w:lvl w:ilvl="6" w:tplc="C36A4A24">
      <w:start w:val="1"/>
      <w:numFmt w:val="bullet"/>
      <w:lvlText w:val="•"/>
      <w:lvlJc w:val="left"/>
      <w:pPr>
        <w:ind w:left="1680" w:hanging="989"/>
      </w:pPr>
      <w:rPr>
        <w:rFonts w:hint="default"/>
      </w:rPr>
    </w:lvl>
    <w:lvl w:ilvl="7" w:tplc="C204CE50">
      <w:start w:val="1"/>
      <w:numFmt w:val="bullet"/>
      <w:lvlText w:val="•"/>
      <w:lvlJc w:val="left"/>
      <w:pPr>
        <w:ind w:left="1787" w:hanging="989"/>
      </w:pPr>
      <w:rPr>
        <w:rFonts w:hint="default"/>
      </w:rPr>
    </w:lvl>
    <w:lvl w:ilvl="8" w:tplc="56628676">
      <w:start w:val="1"/>
      <w:numFmt w:val="bullet"/>
      <w:lvlText w:val="•"/>
      <w:lvlJc w:val="left"/>
      <w:pPr>
        <w:ind w:left="1894" w:hanging="989"/>
      </w:pPr>
      <w:rPr>
        <w:rFonts w:hint="default"/>
      </w:rPr>
    </w:lvl>
  </w:abstractNum>
  <w:num w:numId="1">
    <w:abstractNumId w:val="12"/>
  </w:num>
  <w:num w:numId="2">
    <w:abstractNumId w:val="125"/>
  </w:num>
  <w:num w:numId="3">
    <w:abstractNumId w:val="113"/>
  </w:num>
  <w:num w:numId="4">
    <w:abstractNumId w:val="27"/>
  </w:num>
  <w:num w:numId="5">
    <w:abstractNumId w:val="94"/>
  </w:num>
  <w:num w:numId="6">
    <w:abstractNumId w:val="119"/>
  </w:num>
  <w:num w:numId="7">
    <w:abstractNumId w:val="25"/>
  </w:num>
  <w:num w:numId="8">
    <w:abstractNumId w:val="21"/>
  </w:num>
  <w:num w:numId="9">
    <w:abstractNumId w:val="108"/>
  </w:num>
  <w:num w:numId="10">
    <w:abstractNumId w:val="48"/>
  </w:num>
  <w:num w:numId="11">
    <w:abstractNumId w:val="30"/>
  </w:num>
  <w:num w:numId="12">
    <w:abstractNumId w:val="18"/>
  </w:num>
  <w:num w:numId="13">
    <w:abstractNumId w:val="97"/>
  </w:num>
  <w:num w:numId="14">
    <w:abstractNumId w:val="56"/>
  </w:num>
  <w:num w:numId="15">
    <w:abstractNumId w:val="112"/>
  </w:num>
  <w:num w:numId="16">
    <w:abstractNumId w:val="53"/>
  </w:num>
  <w:num w:numId="17">
    <w:abstractNumId w:val="29"/>
  </w:num>
  <w:num w:numId="18">
    <w:abstractNumId w:val="71"/>
  </w:num>
  <w:num w:numId="19">
    <w:abstractNumId w:val="14"/>
  </w:num>
  <w:num w:numId="20">
    <w:abstractNumId w:val="92"/>
  </w:num>
  <w:num w:numId="21">
    <w:abstractNumId w:val="67"/>
  </w:num>
  <w:num w:numId="22">
    <w:abstractNumId w:val="45"/>
  </w:num>
  <w:num w:numId="23">
    <w:abstractNumId w:val="62"/>
  </w:num>
  <w:num w:numId="24">
    <w:abstractNumId w:val="49"/>
  </w:num>
  <w:num w:numId="25">
    <w:abstractNumId w:val="26"/>
  </w:num>
  <w:num w:numId="26">
    <w:abstractNumId w:val="85"/>
  </w:num>
  <w:num w:numId="27">
    <w:abstractNumId w:val="81"/>
  </w:num>
  <w:num w:numId="28">
    <w:abstractNumId w:val="16"/>
  </w:num>
  <w:num w:numId="29">
    <w:abstractNumId w:val="58"/>
  </w:num>
  <w:num w:numId="30">
    <w:abstractNumId w:val="54"/>
  </w:num>
  <w:num w:numId="31">
    <w:abstractNumId w:val="88"/>
  </w:num>
  <w:num w:numId="32">
    <w:abstractNumId w:val="40"/>
  </w:num>
  <w:num w:numId="33">
    <w:abstractNumId w:val="65"/>
  </w:num>
  <w:num w:numId="34">
    <w:abstractNumId w:val="40"/>
    <w:lvlOverride w:ilvl="0">
      <w:startOverride w:val="1"/>
    </w:lvlOverride>
  </w:num>
  <w:num w:numId="35">
    <w:abstractNumId w:val="80"/>
  </w:num>
  <w:num w:numId="36">
    <w:abstractNumId w:val="15"/>
  </w:num>
  <w:num w:numId="37">
    <w:abstractNumId w:val="39"/>
  </w:num>
  <w:num w:numId="38">
    <w:abstractNumId w:val="79"/>
  </w:num>
  <w:num w:numId="39">
    <w:abstractNumId w:val="96"/>
  </w:num>
  <w:num w:numId="40">
    <w:abstractNumId w:val="91"/>
  </w:num>
  <w:num w:numId="41">
    <w:abstractNumId w:val="40"/>
  </w:num>
  <w:num w:numId="42">
    <w:abstractNumId w:val="40"/>
  </w:num>
  <w:num w:numId="43">
    <w:abstractNumId w:val="40"/>
  </w:num>
  <w:num w:numId="44">
    <w:abstractNumId w:val="40"/>
  </w:num>
  <w:num w:numId="45">
    <w:abstractNumId w:val="40"/>
  </w:num>
  <w:num w:numId="46">
    <w:abstractNumId w:val="40"/>
  </w:num>
  <w:num w:numId="47">
    <w:abstractNumId w:val="40"/>
  </w:num>
  <w:num w:numId="48">
    <w:abstractNumId w:val="40"/>
  </w:num>
  <w:num w:numId="49">
    <w:abstractNumId w:val="40"/>
  </w:num>
  <w:num w:numId="50">
    <w:abstractNumId w:val="40"/>
  </w:num>
  <w:num w:numId="51">
    <w:abstractNumId w:val="87"/>
  </w:num>
  <w:num w:numId="52">
    <w:abstractNumId w:val="89"/>
  </w:num>
  <w:num w:numId="53">
    <w:abstractNumId w:val="61"/>
  </w:num>
  <w:num w:numId="54">
    <w:abstractNumId w:val="107"/>
  </w:num>
  <w:num w:numId="55">
    <w:abstractNumId w:val="60"/>
  </w:num>
  <w:num w:numId="56">
    <w:abstractNumId w:val="70"/>
  </w:num>
  <w:num w:numId="57">
    <w:abstractNumId w:val="57"/>
  </w:num>
  <w:num w:numId="58">
    <w:abstractNumId w:val="78"/>
  </w:num>
  <w:num w:numId="59">
    <w:abstractNumId w:val="127"/>
  </w:num>
  <w:num w:numId="60">
    <w:abstractNumId w:val="95"/>
  </w:num>
  <w:num w:numId="61">
    <w:abstractNumId w:val="102"/>
  </w:num>
  <w:num w:numId="62">
    <w:abstractNumId w:val="98"/>
  </w:num>
  <w:num w:numId="63">
    <w:abstractNumId w:val="10"/>
  </w:num>
  <w:num w:numId="64">
    <w:abstractNumId w:val="17"/>
  </w:num>
  <w:num w:numId="65">
    <w:abstractNumId w:val="93"/>
  </w:num>
  <w:num w:numId="66">
    <w:abstractNumId w:val="122"/>
  </w:num>
  <w:num w:numId="67">
    <w:abstractNumId w:val="19"/>
  </w:num>
  <w:num w:numId="68">
    <w:abstractNumId w:val="106"/>
  </w:num>
  <w:num w:numId="69">
    <w:abstractNumId w:val="37"/>
  </w:num>
  <w:num w:numId="70">
    <w:abstractNumId w:val="116"/>
  </w:num>
  <w:num w:numId="71">
    <w:abstractNumId w:val="20"/>
  </w:num>
  <w:num w:numId="72">
    <w:abstractNumId w:val="59"/>
  </w:num>
  <w:num w:numId="73">
    <w:abstractNumId w:val="123"/>
  </w:num>
  <w:num w:numId="74">
    <w:abstractNumId w:val="23"/>
  </w:num>
  <w:num w:numId="75">
    <w:abstractNumId w:val="118"/>
  </w:num>
  <w:num w:numId="76">
    <w:abstractNumId w:val="73"/>
  </w:num>
  <w:num w:numId="77">
    <w:abstractNumId w:val="101"/>
  </w:num>
  <w:num w:numId="78">
    <w:abstractNumId w:val="36"/>
  </w:num>
  <w:num w:numId="79">
    <w:abstractNumId w:val="55"/>
  </w:num>
  <w:num w:numId="80">
    <w:abstractNumId w:val="13"/>
  </w:num>
  <w:num w:numId="81">
    <w:abstractNumId w:val="86"/>
  </w:num>
  <w:num w:numId="82">
    <w:abstractNumId w:val="66"/>
  </w:num>
  <w:num w:numId="83">
    <w:abstractNumId w:val="64"/>
  </w:num>
  <w:num w:numId="84">
    <w:abstractNumId w:val="22"/>
  </w:num>
  <w:num w:numId="85">
    <w:abstractNumId w:val="90"/>
  </w:num>
  <w:num w:numId="86">
    <w:abstractNumId w:val="110"/>
  </w:num>
  <w:num w:numId="87">
    <w:abstractNumId w:val="41"/>
  </w:num>
  <w:num w:numId="88">
    <w:abstractNumId w:val="103"/>
  </w:num>
  <w:num w:numId="89">
    <w:abstractNumId w:val="69"/>
  </w:num>
  <w:num w:numId="90">
    <w:abstractNumId w:val="126"/>
  </w:num>
  <w:num w:numId="91">
    <w:abstractNumId w:val="111"/>
  </w:num>
  <w:num w:numId="92">
    <w:abstractNumId w:val="34"/>
  </w:num>
  <w:num w:numId="93">
    <w:abstractNumId w:val="43"/>
  </w:num>
  <w:num w:numId="94">
    <w:abstractNumId w:val="63"/>
  </w:num>
  <w:num w:numId="95">
    <w:abstractNumId w:val="83"/>
  </w:num>
  <w:num w:numId="96">
    <w:abstractNumId w:val="121"/>
  </w:num>
  <w:num w:numId="97">
    <w:abstractNumId w:val="32"/>
  </w:num>
  <w:num w:numId="98">
    <w:abstractNumId w:val="84"/>
  </w:num>
  <w:num w:numId="99">
    <w:abstractNumId w:val="120"/>
  </w:num>
  <w:num w:numId="100">
    <w:abstractNumId w:val="42"/>
  </w:num>
  <w:num w:numId="101">
    <w:abstractNumId w:val="42"/>
    <w:lvlOverride w:ilvl="0">
      <w:lvl w:ilvl="0">
        <w:start w:val="1"/>
        <w:numFmt w:val="decimal"/>
        <w:lvlText w:val="%1."/>
        <w:lvlJc w:val="left"/>
        <w:rPr>
          <w:rFonts w:ascii="Calibri" w:hAnsi="Calibri" w:cs="Times New Roman" w:hint="default"/>
          <w:b w:val="0"/>
          <w:i w:val="0"/>
          <w:color w:val="1B5877"/>
          <w:sz w:val="52"/>
          <w:u w:val="none" w:color="1B5877"/>
        </w:rPr>
      </w:lvl>
    </w:lvlOverride>
    <w:lvlOverride w:ilvl="1">
      <w:lvl w:ilvl="1">
        <w:start w:val="1"/>
        <w:numFmt w:val="decimal"/>
        <w:lvlText w:val="%1.%2"/>
        <w:lvlJc w:val="left"/>
        <w:pPr>
          <w:tabs>
            <w:tab w:val="num" w:pos="144"/>
          </w:tabs>
        </w:pPr>
        <w:rPr>
          <w:rFonts w:ascii="Calibri" w:hAnsi="Calibri" w:cs="Times New Roman" w:hint="default"/>
          <w:b/>
          <w:i w:val="0"/>
          <w:color w:val="1B5877"/>
          <w:sz w:val="32"/>
        </w:rPr>
      </w:lvl>
    </w:lvlOverride>
    <w:lvlOverride w:ilvl="2">
      <w:lvl w:ilvl="2">
        <w:start w:val="1"/>
        <w:numFmt w:val="decimal"/>
        <w:lvlText w:val="%1.%2.%3"/>
        <w:lvlJc w:val="left"/>
        <w:pPr>
          <w:tabs>
            <w:tab w:val="num" w:pos="864"/>
          </w:tabs>
        </w:pPr>
        <w:rPr>
          <w:rFonts w:ascii="Calibri" w:hAnsi="Calibri" w:cs="Times New Roman" w:hint="default"/>
          <w:b/>
          <w:i w:val="0"/>
          <w:color w:val="B46D04"/>
          <w:sz w:val="24"/>
        </w:rPr>
      </w:lvl>
    </w:lvlOverride>
    <w:lvlOverride w:ilvl="3">
      <w:lvl w:ilvl="3">
        <w:start w:val="1"/>
        <w:numFmt w:val="decimal"/>
        <w:lvlText w:val="%1.%2.%3.%4."/>
        <w:lvlJc w:val="left"/>
        <w:pPr>
          <w:tabs>
            <w:tab w:val="num" w:pos="1368"/>
          </w:tabs>
          <w:ind w:left="1368" w:hanging="648"/>
        </w:pPr>
        <w:rPr>
          <w:rFonts w:cs="Times New Roman" w:hint="default"/>
        </w:rPr>
      </w:lvl>
    </w:lvlOverride>
    <w:lvlOverride w:ilvl="4">
      <w:lvl w:ilvl="4">
        <w:start w:val="1"/>
        <w:numFmt w:val="decimal"/>
        <w:lvlText w:val="%1.%2.%3.%4.%5."/>
        <w:lvlJc w:val="left"/>
        <w:pPr>
          <w:tabs>
            <w:tab w:val="num" w:pos="1872"/>
          </w:tabs>
          <w:ind w:left="1872" w:hanging="792"/>
        </w:pPr>
        <w:rPr>
          <w:rFonts w:cs="Times New Roman" w:hint="default"/>
        </w:rPr>
      </w:lvl>
    </w:lvlOverride>
    <w:lvlOverride w:ilvl="5">
      <w:lvl w:ilvl="5">
        <w:start w:val="1"/>
        <w:numFmt w:val="decimal"/>
        <w:lvlText w:val="%1.%2.%3.%4.%5.%6."/>
        <w:lvlJc w:val="left"/>
        <w:pPr>
          <w:tabs>
            <w:tab w:val="num" w:pos="2376"/>
          </w:tabs>
          <w:ind w:left="2376" w:hanging="936"/>
        </w:pPr>
        <w:rPr>
          <w:rFonts w:cs="Times New Roman" w:hint="default"/>
        </w:rPr>
      </w:lvl>
    </w:lvlOverride>
    <w:lvlOverride w:ilvl="6">
      <w:lvl w:ilvl="6">
        <w:start w:val="1"/>
        <w:numFmt w:val="decimal"/>
        <w:lvlText w:val="%1.%2.%3.%4.%5.%6.%7."/>
        <w:lvlJc w:val="left"/>
        <w:pPr>
          <w:tabs>
            <w:tab w:val="num" w:pos="2880"/>
          </w:tabs>
          <w:ind w:left="2880" w:hanging="1080"/>
        </w:pPr>
        <w:rPr>
          <w:rFonts w:cs="Times New Roman" w:hint="default"/>
        </w:rPr>
      </w:lvl>
    </w:lvlOverride>
    <w:lvlOverride w:ilvl="7">
      <w:lvl w:ilvl="7">
        <w:start w:val="1"/>
        <w:numFmt w:val="decimal"/>
        <w:lvlText w:val="%1.%2.%3.%4.%5.%6.%7.%8."/>
        <w:lvlJc w:val="left"/>
        <w:pPr>
          <w:tabs>
            <w:tab w:val="num" w:pos="3384"/>
          </w:tabs>
          <w:ind w:left="3384" w:hanging="1224"/>
        </w:pPr>
        <w:rPr>
          <w:rFonts w:cs="Times New Roman" w:hint="default"/>
        </w:rPr>
      </w:lvl>
    </w:lvlOverride>
    <w:lvlOverride w:ilvl="8">
      <w:lvl w:ilvl="8">
        <w:start w:val="1"/>
        <w:numFmt w:val="decimal"/>
        <w:lvlText w:val="%1.%2.%3.%4.%5.%6.%7.%8.%9."/>
        <w:lvlJc w:val="left"/>
        <w:pPr>
          <w:tabs>
            <w:tab w:val="num" w:pos="3960"/>
          </w:tabs>
          <w:ind w:left="3960" w:hanging="1440"/>
        </w:pPr>
        <w:rPr>
          <w:rFonts w:cs="Times New Roman" w:hint="default"/>
        </w:rPr>
      </w:lvl>
    </w:lvlOverride>
  </w:num>
  <w:num w:numId="102">
    <w:abstractNumId w:val="68"/>
  </w:num>
  <w:num w:numId="103">
    <w:abstractNumId w:val="9"/>
  </w:num>
  <w:num w:numId="104">
    <w:abstractNumId w:val="7"/>
  </w:num>
  <w:num w:numId="105">
    <w:abstractNumId w:val="6"/>
  </w:num>
  <w:num w:numId="106">
    <w:abstractNumId w:val="5"/>
  </w:num>
  <w:num w:numId="107">
    <w:abstractNumId w:val="4"/>
  </w:num>
  <w:num w:numId="108">
    <w:abstractNumId w:val="8"/>
  </w:num>
  <w:num w:numId="109">
    <w:abstractNumId w:val="3"/>
  </w:num>
  <w:num w:numId="110">
    <w:abstractNumId w:val="2"/>
  </w:num>
  <w:num w:numId="111">
    <w:abstractNumId w:val="1"/>
  </w:num>
  <w:num w:numId="112">
    <w:abstractNumId w:val="0"/>
  </w:num>
  <w:num w:numId="113">
    <w:abstractNumId w:val="100"/>
  </w:num>
  <w:num w:numId="114">
    <w:abstractNumId w:val="99"/>
  </w:num>
  <w:num w:numId="115">
    <w:abstractNumId w:val="35"/>
  </w:num>
  <w:num w:numId="116">
    <w:abstractNumId w:val="76"/>
  </w:num>
  <w:num w:numId="117">
    <w:abstractNumId w:val="51"/>
  </w:num>
  <w:num w:numId="118">
    <w:abstractNumId w:val="46"/>
  </w:num>
  <w:num w:numId="119">
    <w:abstractNumId w:val="109"/>
  </w:num>
  <w:num w:numId="120">
    <w:abstractNumId w:val="104"/>
  </w:num>
  <w:num w:numId="121">
    <w:abstractNumId w:val="124"/>
  </w:num>
  <w:num w:numId="122">
    <w:abstractNumId w:val="105"/>
  </w:num>
  <w:num w:numId="123">
    <w:abstractNumId w:val="47"/>
  </w:num>
  <w:num w:numId="124">
    <w:abstractNumId w:val="77"/>
  </w:num>
  <w:num w:numId="125">
    <w:abstractNumId w:val="11"/>
  </w:num>
  <w:num w:numId="126">
    <w:abstractNumId w:val="50"/>
  </w:num>
  <w:num w:numId="127">
    <w:abstractNumId w:val="74"/>
  </w:num>
  <w:num w:numId="128">
    <w:abstractNumId w:val="117"/>
  </w:num>
  <w:num w:numId="129">
    <w:abstractNumId w:val="82"/>
  </w:num>
  <w:num w:numId="130">
    <w:abstractNumId w:val="52"/>
  </w:num>
  <w:num w:numId="1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4"/>
  </w:num>
  <w:num w:numId="133">
    <w:abstractNumId w:val="40"/>
    <w:lvlOverride w:ilvl="0">
      <w:startOverride w:val="1"/>
    </w:lvlOverride>
  </w:num>
  <w:num w:numId="134">
    <w:abstractNumId w:val="40"/>
    <w:lvlOverride w:ilvl="0">
      <w:startOverride w:val="1"/>
    </w:lvlOverride>
  </w:num>
  <w:num w:numId="135">
    <w:abstractNumId w:val="31"/>
  </w:num>
  <w:num w:numId="136">
    <w:abstractNumId w:val="44"/>
  </w:num>
  <w:num w:numId="137">
    <w:abstractNumId w:val="40"/>
  </w:num>
  <w:num w:numId="138">
    <w:abstractNumId w:val="28"/>
  </w:num>
  <w:num w:numId="139">
    <w:abstractNumId w:val="33"/>
  </w:num>
  <w:num w:numId="140">
    <w:abstractNumId w:val="75"/>
  </w:num>
  <w:num w:numId="141">
    <w:abstractNumId w:val="24"/>
  </w:num>
  <w:num w:numId="142">
    <w:abstractNumId w:val="115"/>
  </w:num>
  <w:num w:numId="143">
    <w:abstractNumId w:val="38"/>
  </w:num>
  <w:num w:numId="144">
    <w:abstractNumId w:val="7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127"/>
    <w:rsid w:val="0000145E"/>
    <w:rsid w:val="00001BB6"/>
    <w:rsid w:val="0000248F"/>
    <w:rsid w:val="000028C9"/>
    <w:rsid w:val="00003A2F"/>
    <w:rsid w:val="00004B1A"/>
    <w:rsid w:val="00007B0A"/>
    <w:rsid w:val="00010F6B"/>
    <w:rsid w:val="00013EC1"/>
    <w:rsid w:val="000148AD"/>
    <w:rsid w:val="00014BAD"/>
    <w:rsid w:val="00016436"/>
    <w:rsid w:val="00016BFB"/>
    <w:rsid w:val="00016F69"/>
    <w:rsid w:val="00017C16"/>
    <w:rsid w:val="0002048E"/>
    <w:rsid w:val="000233A4"/>
    <w:rsid w:val="00023934"/>
    <w:rsid w:val="00023B5E"/>
    <w:rsid w:val="00023CE1"/>
    <w:rsid w:val="000247E1"/>
    <w:rsid w:val="000258E1"/>
    <w:rsid w:val="00027E03"/>
    <w:rsid w:val="00032368"/>
    <w:rsid w:val="00032F2E"/>
    <w:rsid w:val="0003406C"/>
    <w:rsid w:val="00034C2A"/>
    <w:rsid w:val="00042F79"/>
    <w:rsid w:val="0004322B"/>
    <w:rsid w:val="00043D0A"/>
    <w:rsid w:val="000440DF"/>
    <w:rsid w:val="00046F3F"/>
    <w:rsid w:val="000471D6"/>
    <w:rsid w:val="00047913"/>
    <w:rsid w:val="00047E24"/>
    <w:rsid w:val="00050DF6"/>
    <w:rsid w:val="00051469"/>
    <w:rsid w:val="000520CF"/>
    <w:rsid w:val="000523C7"/>
    <w:rsid w:val="00052D48"/>
    <w:rsid w:val="00053C24"/>
    <w:rsid w:val="00054968"/>
    <w:rsid w:val="00054AC0"/>
    <w:rsid w:val="000550D2"/>
    <w:rsid w:val="0006043C"/>
    <w:rsid w:val="0006190C"/>
    <w:rsid w:val="00061C07"/>
    <w:rsid w:val="00062DFD"/>
    <w:rsid w:val="0006303B"/>
    <w:rsid w:val="000637DE"/>
    <w:rsid w:val="00063D73"/>
    <w:rsid w:val="000647F0"/>
    <w:rsid w:val="00065B8C"/>
    <w:rsid w:val="00065F66"/>
    <w:rsid w:val="0006690A"/>
    <w:rsid w:val="000736A9"/>
    <w:rsid w:val="000740A9"/>
    <w:rsid w:val="000777EA"/>
    <w:rsid w:val="00080835"/>
    <w:rsid w:val="00082035"/>
    <w:rsid w:val="00083803"/>
    <w:rsid w:val="00083C8B"/>
    <w:rsid w:val="000861A0"/>
    <w:rsid w:val="0008728F"/>
    <w:rsid w:val="00087AF6"/>
    <w:rsid w:val="00091F4F"/>
    <w:rsid w:val="00092590"/>
    <w:rsid w:val="00094EB8"/>
    <w:rsid w:val="00094F8A"/>
    <w:rsid w:val="000974F6"/>
    <w:rsid w:val="000976D9"/>
    <w:rsid w:val="00097EB4"/>
    <w:rsid w:val="000A0D86"/>
    <w:rsid w:val="000A1445"/>
    <w:rsid w:val="000A2C4D"/>
    <w:rsid w:val="000A344D"/>
    <w:rsid w:val="000A4352"/>
    <w:rsid w:val="000A486C"/>
    <w:rsid w:val="000A5740"/>
    <w:rsid w:val="000A5FAE"/>
    <w:rsid w:val="000A7104"/>
    <w:rsid w:val="000A7400"/>
    <w:rsid w:val="000B0BDC"/>
    <w:rsid w:val="000B0BFC"/>
    <w:rsid w:val="000B0FE6"/>
    <w:rsid w:val="000B43A6"/>
    <w:rsid w:val="000B4F9B"/>
    <w:rsid w:val="000B6F84"/>
    <w:rsid w:val="000B7F65"/>
    <w:rsid w:val="000C0EDB"/>
    <w:rsid w:val="000C1EB8"/>
    <w:rsid w:val="000C2320"/>
    <w:rsid w:val="000C25F5"/>
    <w:rsid w:val="000C302A"/>
    <w:rsid w:val="000C3C50"/>
    <w:rsid w:val="000C6F70"/>
    <w:rsid w:val="000C79FA"/>
    <w:rsid w:val="000D03BF"/>
    <w:rsid w:val="000D0EF0"/>
    <w:rsid w:val="000D15A6"/>
    <w:rsid w:val="000D1852"/>
    <w:rsid w:val="000D30F0"/>
    <w:rsid w:val="000D71C9"/>
    <w:rsid w:val="000E094B"/>
    <w:rsid w:val="000E0FD8"/>
    <w:rsid w:val="000E22ED"/>
    <w:rsid w:val="000E2B50"/>
    <w:rsid w:val="000E462A"/>
    <w:rsid w:val="000E4ABA"/>
    <w:rsid w:val="000E58FE"/>
    <w:rsid w:val="000E6CAD"/>
    <w:rsid w:val="000E6D43"/>
    <w:rsid w:val="000E7287"/>
    <w:rsid w:val="000E7915"/>
    <w:rsid w:val="000F123D"/>
    <w:rsid w:val="000F1627"/>
    <w:rsid w:val="000F1D2F"/>
    <w:rsid w:val="000F3C43"/>
    <w:rsid w:val="000F6F30"/>
    <w:rsid w:val="00101C1A"/>
    <w:rsid w:val="00102D67"/>
    <w:rsid w:val="00102F78"/>
    <w:rsid w:val="00103DB6"/>
    <w:rsid w:val="001040A1"/>
    <w:rsid w:val="00104FE1"/>
    <w:rsid w:val="00105E66"/>
    <w:rsid w:val="00106092"/>
    <w:rsid w:val="0010668A"/>
    <w:rsid w:val="00110021"/>
    <w:rsid w:val="00110B78"/>
    <w:rsid w:val="00111C18"/>
    <w:rsid w:val="0011291E"/>
    <w:rsid w:val="001132C1"/>
    <w:rsid w:val="0011396E"/>
    <w:rsid w:val="0011499F"/>
    <w:rsid w:val="00114CC2"/>
    <w:rsid w:val="00116804"/>
    <w:rsid w:val="0011787E"/>
    <w:rsid w:val="00121DCF"/>
    <w:rsid w:val="00121DF0"/>
    <w:rsid w:val="00122534"/>
    <w:rsid w:val="00125563"/>
    <w:rsid w:val="001261AA"/>
    <w:rsid w:val="001267F4"/>
    <w:rsid w:val="00126AF5"/>
    <w:rsid w:val="00131EED"/>
    <w:rsid w:val="001329C9"/>
    <w:rsid w:val="001332D8"/>
    <w:rsid w:val="00134645"/>
    <w:rsid w:val="001412BC"/>
    <w:rsid w:val="00141337"/>
    <w:rsid w:val="0014242A"/>
    <w:rsid w:val="00142E32"/>
    <w:rsid w:val="001436D5"/>
    <w:rsid w:val="0014508A"/>
    <w:rsid w:val="00146C45"/>
    <w:rsid w:val="001517A7"/>
    <w:rsid w:val="0015184C"/>
    <w:rsid w:val="00151ACC"/>
    <w:rsid w:val="00151C39"/>
    <w:rsid w:val="00153F95"/>
    <w:rsid w:val="001557B1"/>
    <w:rsid w:val="0015585A"/>
    <w:rsid w:val="00156A56"/>
    <w:rsid w:val="00156D5E"/>
    <w:rsid w:val="001610B3"/>
    <w:rsid w:val="00161C5A"/>
    <w:rsid w:val="001625EB"/>
    <w:rsid w:val="00163ED3"/>
    <w:rsid w:val="001704AF"/>
    <w:rsid w:val="001705C5"/>
    <w:rsid w:val="00171206"/>
    <w:rsid w:val="001730EF"/>
    <w:rsid w:val="00174E8B"/>
    <w:rsid w:val="0017625A"/>
    <w:rsid w:val="00176757"/>
    <w:rsid w:val="0017708A"/>
    <w:rsid w:val="001828BE"/>
    <w:rsid w:val="0018313F"/>
    <w:rsid w:val="001841BA"/>
    <w:rsid w:val="00190F41"/>
    <w:rsid w:val="001924E6"/>
    <w:rsid w:val="00192CA0"/>
    <w:rsid w:val="001946F9"/>
    <w:rsid w:val="00196309"/>
    <w:rsid w:val="001968F8"/>
    <w:rsid w:val="00196A84"/>
    <w:rsid w:val="0019787A"/>
    <w:rsid w:val="00197944"/>
    <w:rsid w:val="001A0BD7"/>
    <w:rsid w:val="001A0D49"/>
    <w:rsid w:val="001A0FE8"/>
    <w:rsid w:val="001A2448"/>
    <w:rsid w:val="001A7B7D"/>
    <w:rsid w:val="001B18D8"/>
    <w:rsid w:val="001B1968"/>
    <w:rsid w:val="001B1A26"/>
    <w:rsid w:val="001B307E"/>
    <w:rsid w:val="001B6A4F"/>
    <w:rsid w:val="001B7B08"/>
    <w:rsid w:val="001C0902"/>
    <w:rsid w:val="001C1513"/>
    <w:rsid w:val="001C38D3"/>
    <w:rsid w:val="001C6689"/>
    <w:rsid w:val="001D065E"/>
    <w:rsid w:val="001D12A5"/>
    <w:rsid w:val="001D2AFC"/>
    <w:rsid w:val="001D45C6"/>
    <w:rsid w:val="001D477B"/>
    <w:rsid w:val="001D7D93"/>
    <w:rsid w:val="001E0A78"/>
    <w:rsid w:val="001E0D78"/>
    <w:rsid w:val="001E0E71"/>
    <w:rsid w:val="001E2900"/>
    <w:rsid w:val="001E3248"/>
    <w:rsid w:val="001E34E4"/>
    <w:rsid w:val="001E42BD"/>
    <w:rsid w:val="001F130E"/>
    <w:rsid w:val="001F31A6"/>
    <w:rsid w:val="001F3AFA"/>
    <w:rsid w:val="001F7920"/>
    <w:rsid w:val="00201828"/>
    <w:rsid w:val="00202A9C"/>
    <w:rsid w:val="00203654"/>
    <w:rsid w:val="0020377A"/>
    <w:rsid w:val="0020412E"/>
    <w:rsid w:val="00205655"/>
    <w:rsid w:val="00205EA5"/>
    <w:rsid w:val="00206581"/>
    <w:rsid w:val="00210A84"/>
    <w:rsid w:val="00211B06"/>
    <w:rsid w:val="00211E16"/>
    <w:rsid w:val="002126A7"/>
    <w:rsid w:val="00212923"/>
    <w:rsid w:val="00213758"/>
    <w:rsid w:val="002140D9"/>
    <w:rsid w:val="00214D4B"/>
    <w:rsid w:val="00216BE1"/>
    <w:rsid w:val="002173D4"/>
    <w:rsid w:val="002176C4"/>
    <w:rsid w:val="002202C6"/>
    <w:rsid w:val="0022128A"/>
    <w:rsid w:val="00223785"/>
    <w:rsid w:val="00223E5E"/>
    <w:rsid w:val="00224DF5"/>
    <w:rsid w:val="002302CF"/>
    <w:rsid w:val="002315E4"/>
    <w:rsid w:val="00231AB2"/>
    <w:rsid w:val="002424C5"/>
    <w:rsid w:val="002431CA"/>
    <w:rsid w:val="00243585"/>
    <w:rsid w:val="00243841"/>
    <w:rsid w:val="0024424E"/>
    <w:rsid w:val="0024529E"/>
    <w:rsid w:val="00245CDC"/>
    <w:rsid w:val="00246AB1"/>
    <w:rsid w:val="00247509"/>
    <w:rsid w:val="00250125"/>
    <w:rsid w:val="002509BF"/>
    <w:rsid w:val="00252E39"/>
    <w:rsid w:val="00252EC5"/>
    <w:rsid w:val="002532C0"/>
    <w:rsid w:val="00253A5B"/>
    <w:rsid w:val="00254C84"/>
    <w:rsid w:val="002560EE"/>
    <w:rsid w:val="00260221"/>
    <w:rsid w:val="002602DE"/>
    <w:rsid w:val="00260565"/>
    <w:rsid w:val="00260DAB"/>
    <w:rsid w:val="00262F21"/>
    <w:rsid w:val="00263734"/>
    <w:rsid w:val="00265A14"/>
    <w:rsid w:val="00266FCD"/>
    <w:rsid w:val="00270E9D"/>
    <w:rsid w:val="002740B0"/>
    <w:rsid w:val="00277A9E"/>
    <w:rsid w:val="002811F8"/>
    <w:rsid w:val="002814BB"/>
    <w:rsid w:val="00282AD7"/>
    <w:rsid w:val="002854D3"/>
    <w:rsid w:val="00286B74"/>
    <w:rsid w:val="0029309B"/>
    <w:rsid w:val="00294042"/>
    <w:rsid w:val="00295A4E"/>
    <w:rsid w:val="00295B48"/>
    <w:rsid w:val="00295F36"/>
    <w:rsid w:val="00297756"/>
    <w:rsid w:val="002A0183"/>
    <w:rsid w:val="002A15DF"/>
    <w:rsid w:val="002A3EC0"/>
    <w:rsid w:val="002A547F"/>
    <w:rsid w:val="002A5989"/>
    <w:rsid w:val="002A674C"/>
    <w:rsid w:val="002A6831"/>
    <w:rsid w:val="002A7494"/>
    <w:rsid w:val="002B0691"/>
    <w:rsid w:val="002B3A7B"/>
    <w:rsid w:val="002B3B24"/>
    <w:rsid w:val="002B4616"/>
    <w:rsid w:val="002B52E7"/>
    <w:rsid w:val="002B5552"/>
    <w:rsid w:val="002B56AB"/>
    <w:rsid w:val="002B79C4"/>
    <w:rsid w:val="002C0671"/>
    <w:rsid w:val="002C0819"/>
    <w:rsid w:val="002C0C3E"/>
    <w:rsid w:val="002C25D8"/>
    <w:rsid w:val="002C354F"/>
    <w:rsid w:val="002C4038"/>
    <w:rsid w:val="002C4791"/>
    <w:rsid w:val="002C494F"/>
    <w:rsid w:val="002C4C06"/>
    <w:rsid w:val="002C6DA6"/>
    <w:rsid w:val="002C70DD"/>
    <w:rsid w:val="002D0615"/>
    <w:rsid w:val="002D23E7"/>
    <w:rsid w:val="002D2AAE"/>
    <w:rsid w:val="002D3378"/>
    <w:rsid w:val="002D3631"/>
    <w:rsid w:val="002D401C"/>
    <w:rsid w:val="002D4238"/>
    <w:rsid w:val="002D4B90"/>
    <w:rsid w:val="002D4ECD"/>
    <w:rsid w:val="002D5E79"/>
    <w:rsid w:val="002E09F5"/>
    <w:rsid w:val="002E2627"/>
    <w:rsid w:val="002E3307"/>
    <w:rsid w:val="002E3D59"/>
    <w:rsid w:val="002E5E62"/>
    <w:rsid w:val="002E6943"/>
    <w:rsid w:val="002F404C"/>
    <w:rsid w:val="002F4598"/>
    <w:rsid w:val="002F55FF"/>
    <w:rsid w:val="002F60F7"/>
    <w:rsid w:val="002F66DB"/>
    <w:rsid w:val="002F692E"/>
    <w:rsid w:val="00300F24"/>
    <w:rsid w:val="00301795"/>
    <w:rsid w:val="0030431F"/>
    <w:rsid w:val="00307202"/>
    <w:rsid w:val="00307D79"/>
    <w:rsid w:val="0031216E"/>
    <w:rsid w:val="00313C3F"/>
    <w:rsid w:val="00314336"/>
    <w:rsid w:val="003224E5"/>
    <w:rsid w:val="00322646"/>
    <w:rsid w:val="00323EC1"/>
    <w:rsid w:val="00330F7E"/>
    <w:rsid w:val="0033201B"/>
    <w:rsid w:val="00332335"/>
    <w:rsid w:val="0033308A"/>
    <w:rsid w:val="0033528A"/>
    <w:rsid w:val="00337206"/>
    <w:rsid w:val="003375E8"/>
    <w:rsid w:val="00345264"/>
    <w:rsid w:val="003462F5"/>
    <w:rsid w:val="0035073E"/>
    <w:rsid w:val="00351244"/>
    <w:rsid w:val="00354E55"/>
    <w:rsid w:val="00357292"/>
    <w:rsid w:val="0035733F"/>
    <w:rsid w:val="0035770E"/>
    <w:rsid w:val="00360188"/>
    <w:rsid w:val="00361F1B"/>
    <w:rsid w:val="003635C0"/>
    <w:rsid w:val="00366192"/>
    <w:rsid w:val="003665D9"/>
    <w:rsid w:val="00367F96"/>
    <w:rsid w:val="00371E95"/>
    <w:rsid w:val="00372317"/>
    <w:rsid w:val="0037269C"/>
    <w:rsid w:val="0037281B"/>
    <w:rsid w:val="00372825"/>
    <w:rsid w:val="0037479C"/>
    <w:rsid w:val="00375C0F"/>
    <w:rsid w:val="00376C04"/>
    <w:rsid w:val="00377976"/>
    <w:rsid w:val="00381DAC"/>
    <w:rsid w:val="003838FA"/>
    <w:rsid w:val="00383B48"/>
    <w:rsid w:val="003866B0"/>
    <w:rsid w:val="00386913"/>
    <w:rsid w:val="00386B4F"/>
    <w:rsid w:val="00386CD8"/>
    <w:rsid w:val="00390A19"/>
    <w:rsid w:val="003949CA"/>
    <w:rsid w:val="003966C4"/>
    <w:rsid w:val="003A018A"/>
    <w:rsid w:val="003A07F1"/>
    <w:rsid w:val="003A11D7"/>
    <w:rsid w:val="003A2720"/>
    <w:rsid w:val="003A48B9"/>
    <w:rsid w:val="003A5B15"/>
    <w:rsid w:val="003A5ED4"/>
    <w:rsid w:val="003B1B79"/>
    <w:rsid w:val="003B6093"/>
    <w:rsid w:val="003B60A7"/>
    <w:rsid w:val="003B6C02"/>
    <w:rsid w:val="003C08B3"/>
    <w:rsid w:val="003C0EF8"/>
    <w:rsid w:val="003C12C8"/>
    <w:rsid w:val="003C2B5A"/>
    <w:rsid w:val="003D25FF"/>
    <w:rsid w:val="003D29CB"/>
    <w:rsid w:val="003D2CD0"/>
    <w:rsid w:val="003D464E"/>
    <w:rsid w:val="003D490F"/>
    <w:rsid w:val="003D6782"/>
    <w:rsid w:val="003D71F1"/>
    <w:rsid w:val="003D78E2"/>
    <w:rsid w:val="003E03A5"/>
    <w:rsid w:val="003E228B"/>
    <w:rsid w:val="003E2524"/>
    <w:rsid w:val="003E33B4"/>
    <w:rsid w:val="003E37AE"/>
    <w:rsid w:val="003E3EFC"/>
    <w:rsid w:val="003E6DF7"/>
    <w:rsid w:val="003F14C2"/>
    <w:rsid w:val="003F1581"/>
    <w:rsid w:val="003F1A11"/>
    <w:rsid w:val="003F45D9"/>
    <w:rsid w:val="003F73B7"/>
    <w:rsid w:val="00400210"/>
    <w:rsid w:val="004003FC"/>
    <w:rsid w:val="00401831"/>
    <w:rsid w:val="00402A9B"/>
    <w:rsid w:val="00403770"/>
    <w:rsid w:val="00403E25"/>
    <w:rsid w:val="00404EFF"/>
    <w:rsid w:val="004053C6"/>
    <w:rsid w:val="004054B7"/>
    <w:rsid w:val="00405563"/>
    <w:rsid w:val="00405DE6"/>
    <w:rsid w:val="004062A1"/>
    <w:rsid w:val="00407193"/>
    <w:rsid w:val="00407B4C"/>
    <w:rsid w:val="00412ABF"/>
    <w:rsid w:val="004173F7"/>
    <w:rsid w:val="00417506"/>
    <w:rsid w:val="00421383"/>
    <w:rsid w:val="00422601"/>
    <w:rsid w:val="00422BDB"/>
    <w:rsid w:val="00423E0F"/>
    <w:rsid w:val="00425767"/>
    <w:rsid w:val="00425CCD"/>
    <w:rsid w:val="00426325"/>
    <w:rsid w:val="00427407"/>
    <w:rsid w:val="004275C1"/>
    <w:rsid w:val="004336F4"/>
    <w:rsid w:val="004374FA"/>
    <w:rsid w:val="00437925"/>
    <w:rsid w:val="00437999"/>
    <w:rsid w:val="004415F8"/>
    <w:rsid w:val="004425AC"/>
    <w:rsid w:val="00444AB9"/>
    <w:rsid w:val="004464F3"/>
    <w:rsid w:val="004466AB"/>
    <w:rsid w:val="0044713B"/>
    <w:rsid w:val="004472FA"/>
    <w:rsid w:val="004506CB"/>
    <w:rsid w:val="00450BB3"/>
    <w:rsid w:val="00451347"/>
    <w:rsid w:val="0045151A"/>
    <w:rsid w:val="00452A16"/>
    <w:rsid w:val="004533B9"/>
    <w:rsid w:val="004538BE"/>
    <w:rsid w:val="004546FF"/>
    <w:rsid w:val="00454D4E"/>
    <w:rsid w:val="00455203"/>
    <w:rsid w:val="00456BB6"/>
    <w:rsid w:val="00456C20"/>
    <w:rsid w:val="004578F8"/>
    <w:rsid w:val="00460053"/>
    <w:rsid w:val="00460208"/>
    <w:rsid w:val="0046082D"/>
    <w:rsid w:val="00460F03"/>
    <w:rsid w:val="00462002"/>
    <w:rsid w:val="00462AAE"/>
    <w:rsid w:val="004632D7"/>
    <w:rsid w:val="00463AC9"/>
    <w:rsid w:val="0046486E"/>
    <w:rsid w:val="00464B97"/>
    <w:rsid w:val="004651A0"/>
    <w:rsid w:val="00467219"/>
    <w:rsid w:val="0047072A"/>
    <w:rsid w:val="00470BEA"/>
    <w:rsid w:val="00471009"/>
    <w:rsid w:val="00471256"/>
    <w:rsid w:val="00472011"/>
    <w:rsid w:val="004757B5"/>
    <w:rsid w:val="0047640F"/>
    <w:rsid w:val="004764CA"/>
    <w:rsid w:val="00480142"/>
    <w:rsid w:val="00480265"/>
    <w:rsid w:val="004813EE"/>
    <w:rsid w:val="0048323D"/>
    <w:rsid w:val="0048339C"/>
    <w:rsid w:val="00483523"/>
    <w:rsid w:val="004838D2"/>
    <w:rsid w:val="00483F9F"/>
    <w:rsid w:val="00484E1B"/>
    <w:rsid w:val="0049146A"/>
    <w:rsid w:val="004914C1"/>
    <w:rsid w:val="00491E9E"/>
    <w:rsid w:val="00492606"/>
    <w:rsid w:val="00493B31"/>
    <w:rsid w:val="004953AE"/>
    <w:rsid w:val="004964DD"/>
    <w:rsid w:val="004964FA"/>
    <w:rsid w:val="00496E9C"/>
    <w:rsid w:val="004975F8"/>
    <w:rsid w:val="004A071D"/>
    <w:rsid w:val="004A1224"/>
    <w:rsid w:val="004A2D21"/>
    <w:rsid w:val="004A2F04"/>
    <w:rsid w:val="004A3F96"/>
    <w:rsid w:val="004A4228"/>
    <w:rsid w:val="004A480D"/>
    <w:rsid w:val="004A4DD3"/>
    <w:rsid w:val="004A4DD6"/>
    <w:rsid w:val="004A546B"/>
    <w:rsid w:val="004B0AAE"/>
    <w:rsid w:val="004B1D7D"/>
    <w:rsid w:val="004B28D8"/>
    <w:rsid w:val="004B3146"/>
    <w:rsid w:val="004B3889"/>
    <w:rsid w:val="004B422E"/>
    <w:rsid w:val="004B58BB"/>
    <w:rsid w:val="004B607B"/>
    <w:rsid w:val="004B709A"/>
    <w:rsid w:val="004B750F"/>
    <w:rsid w:val="004B754A"/>
    <w:rsid w:val="004B78BF"/>
    <w:rsid w:val="004C02B8"/>
    <w:rsid w:val="004C0BEE"/>
    <w:rsid w:val="004C23DA"/>
    <w:rsid w:val="004C7D0D"/>
    <w:rsid w:val="004C7DBF"/>
    <w:rsid w:val="004D0250"/>
    <w:rsid w:val="004D1BAD"/>
    <w:rsid w:val="004D2436"/>
    <w:rsid w:val="004D4764"/>
    <w:rsid w:val="004D6A3D"/>
    <w:rsid w:val="004E17DF"/>
    <w:rsid w:val="004E2B85"/>
    <w:rsid w:val="004E5754"/>
    <w:rsid w:val="004E5BBB"/>
    <w:rsid w:val="004E6173"/>
    <w:rsid w:val="004F0C2C"/>
    <w:rsid w:val="004F10AA"/>
    <w:rsid w:val="004F1837"/>
    <w:rsid w:val="004F2958"/>
    <w:rsid w:val="004F3260"/>
    <w:rsid w:val="004F3303"/>
    <w:rsid w:val="004F3F60"/>
    <w:rsid w:val="004F5198"/>
    <w:rsid w:val="004F5227"/>
    <w:rsid w:val="004F53C6"/>
    <w:rsid w:val="004F54E7"/>
    <w:rsid w:val="004F672E"/>
    <w:rsid w:val="005008A6"/>
    <w:rsid w:val="0050101A"/>
    <w:rsid w:val="00503DCA"/>
    <w:rsid w:val="005050B9"/>
    <w:rsid w:val="00505408"/>
    <w:rsid w:val="005054E9"/>
    <w:rsid w:val="00505BC3"/>
    <w:rsid w:val="00506163"/>
    <w:rsid w:val="005065DF"/>
    <w:rsid w:val="00507D74"/>
    <w:rsid w:val="00510031"/>
    <w:rsid w:val="00510044"/>
    <w:rsid w:val="00512D45"/>
    <w:rsid w:val="00512E89"/>
    <w:rsid w:val="0051355C"/>
    <w:rsid w:val="00513E4B"/>
    <w:rsid w:val="00514315"/>
    <w:rsid w:val="00514BC5"/>
    <w:rsid w:val="00516837"/>
    <w:rsid w:val="0051687E"/>
    <w:rsid w:val="0051783A"/>
    <w:rsid w:val="00517879"/>
    <w:rsid w:val="0052115A"/>
    <w:rsid w:val="00521FD4"/>
    <w:rsid w:val="00523657"/>
    <w:rsid w:val="00523743"/>
    <w:rsid w:val="00523DD2"/>
    <w:rsid w:val="00525630"/>
    <w:rsid w:val="00526D65"/>
    <w:rsid w:val="0052708A"/>
    <w:rsid w:val="005270C0"/>
    <w:rsid w:val="005311B1"/>
    <w:rsid w:val="00531C31"/>
    <w:rsid w:val="00532A03"/>
    <w:rsid w:val="00532A85"/>
    <w:rsid w:val="00532D22"/>
    <w:rsid w:val="00536819"/>
    <w:rsid w:val="00536CFD"/>
    <w:rsid w:val="005400C8"/>
    <w:rsid w:val="005402BB"/>
    <w:rsid w:val="00541CB1"/>
    <w:rsid w:val="00541D62"/>
    <w:rsid w:val="00541EA9"/>
    <w:rsid w:val="00545F21"/>
    <w:rsid w:val="005467E9"/>
    <w:rsid w:val="00547177"/>
    <w:rsid w:val="00547895"/>
    <w:rsid w:val="0055055A"/>
    <w:rsid w:val="00550A11"/>
    <w:rsid w:val="00551D0C"/>
    <w:rsid w:val="00554F64"/>
    <w:rsid w:val="00560127"/>
    <w:rsid w:val="00560BFE"/>
    <w:rsid w:val="005610C7"/>
    <w:rsid w:val="00561ECF"/>
    <w:rsid w:val="005628D4"/>
    <w:rsid w:val="00562BAF"/>
    <w:rsid w:val="00563092"/>
    <w:rsid w:val="00564AB3"/>
    <w:rsid w:val="00566A1D"/>
    <w:rsid w:val="00574C0D"/>
    <w:rsid w:val="00575593"/>
    <w:rsid w:val="005756D4"/>
    <w:rsid w:val="00577A01"/>
    <w:rsid w:val="005826C7"/>
    <w:rsid w:val="00585FB5"/>
    <w:rsid w:val="0058633F"/>
    <w:rsid w:val="00586517"/>
    <w:rsid w:val="00590967"/>
    <w:rsid w:val="00592B34"/>
    <w:rsid w:val="00593671"/>
    <w:rsid w:val="005951BC"/>
    <w:rsid w:val="00595ED7"/>
    <w:rsid w:val="00597E42"/>
    <w:rsid w:val="005A13B8"/>
    <w:rsid w:val="005A3385"/>
    <w:rsid w:val="005A4DEF"/>
    <w:rsid w:val="005A4F55"/>
    <w:rsid w:val="005A572E"/>
    <w:rsid w:val="005A5BBE"/>
    <w:rsid w:val="005A6543"/>
    <w:rsid w:val="005A745F"/>
    <w:rsid w:val="005B0352"/>
    <w:rsid w:val="005B0D5F"/>
    <w:rsid w:val="005B0F21"/>
    <w:rsid w:val="005B2BB0"/>
    <w:rsid w:val="005B32ED"/>
    <w:rsid w:val="005B4D1D"/>
    <w:rsid w:val="005B5168"/>
    <w:rsid w:val="005B792F"/>
    <w:rsid w:val="005C03D1"/>
    <w:rsid w:val="005C19AE"/>
    <w:rsid w:val="005C1A68"/>
    <w:rsid w:val="005C1B3E"/>
    <w:rsid w:val="005C4FA0"/>
    <w:rsid w:val="005C5434"/>
    <w:rsid w:val="005C63BB"/>
    <w:rsid w:val="005C73FE"/>
    <w:rsid w:val="005D4268"/>
    <w:rsid w:val="005D6B79"/>
    <w:rsid w:val="005D6C1A"/>
    <w:rsid w:val="005D70B5"/>
    <w:rsid w:val="005D7819"/>
    <w:rsid w:val="005E170D"/>
    <w:rsid w:val="005E2FD2"/>
    <w:rsid w:val="005E66E1"/>
    <w:rsid w:val="005E69F2"/>
    <w:rsid w:val="005F03FF"/>
    <w:rsid w:val="005F0648"/>
    <w:rsid w:val="005F25A3"/>
    <w:rsid w:val="005F41D6"/>
    <w:rsid w:val="005F489E"/>
    <w:rsid w:val="005F7BD5"/>
    <w:rsid w:val="00600B05"/>
    <w:rsid w:val="006014BD"/>
    <w:rsid w:val="00604C3C"/>
    <w:rsid w:val="00606946"/>
    <w:rsid w:val="006069E7"/>
    <w:rsid w:val="00607291"/>
    <w:rsid w:val="00607609"/>
    <w:rsid w:val="006125F8"/>
    <w:rsid w:val="006138F4"/>
    <w:rsid w:val="00614069"/>
    <w:rsid w:val="006149DB"/>
    <w:rsid w:val="006152EA"/>
    <w:rsid w:val="0061563E"/>
    <w:rsid w:val="00616A58"/>
    <w:rsid w:val="006201B6"/>
    <w:rsid w:val="00620D86"/>
    <w:rsid w:val="0062152B"/>
    <w:rsid w:val="00624CF3"/>
    <w:rsid w:val="006318ED"/>
    <w:rsid w:val="00631FB2"/>
    <w:rsid w:val="00634BB8"/>
    <w:rsid w:val="006362AE"/>
    <w:rsid w:val="00636969"/>
    <w:rsid w:val="0063751D"/>
    <w:rsid w:val="00637AEA"/>
    <w:rsid w:val="00640CD2"/>
    <w:rsid w:val="006419C1"/>
    <w:rsid w:val="006426FB"/>
    <w:rsid w:val="00642A7C"/>
    <w:rsid w:val="00642BE4"/>
    <w:rsid w:val="00643403"/>
    <w:rsid w:val="00644AED"/>
    <w:rsid w:val="00644FDF"/>
    <w:rsid w:val="0064504B"/>
    <w:rsid w:val="00646C73"/>
    <w:rsid w:val="00647D49"/>
    <w:rsid w:val="00651D95"/>
    <w:rsid w:val="00652006"/>
    <w:rsid w:val="006535AF"/>
    <w:rsid w:val="00654785"/>
    <w:rsid w:val="00655272"/>
    <w:rsid w:val="00655C03"/>
    <w:rsid w:val="00657A6A"/>
    <w:rsid w:val="00660412"/>
    <w:rsid w:val="0066091F"/>
    <w:rsid w:val="0066157E"/>
    <w:rsid w:val="00661BF6"/>
    <w:rsid w:val="00663266"/>
    <w:rsid w:val="00664DC9"/>
    <w:rsid w:val="0066731C"/>
    <w:rsid w:val="0066736D"/>
    <w:rsid w:val="00667E49"/>
    <w:rsid w:val="00670702"/>
    <w:rsid w:val="00670B60"/>
    <w:rsid w:val="006718C4"/>
    <w:rsid w:val="00672674"/>
    <w:rsid w:val="006766E8"/>
    <w:rsid w:val="00676F49"/>
    <w:rsid w:val="00683215"/>
    <w:rsid w:val="0068546C"/>
    <w:rsid w:val="00690539"/>
    <w:rsid w:val="00691544"/>
    <w:rsid w:val="00691CC9"/>
    <w:rsid w:val="006927CA"/>
    <w:rsid w:val="00693D0B"/>
    <w:rsid w:val="00695188"/>
    <w:rsid w:val="00695F04"/>
    <w:rsid w:val="006965B8"/>
    <w:rsid w:val="0069666C"/>
    <w:rsid w:val="006A054F"/>
    <w:rsid w:val="006A0EC1"/>
    <w:rsid w:val="006A2545"/>
    <w:rsid w:val="006A2CC5"/>
    <w:rsid w:val="006A49BE"/>
    <w:rsid w:val="006A5A95"/>
    <w:rsid w:val="006A5F2E"/>
    <w:rsid w:val="006A605D"/>
    <w:rsid w:val="006A64BC"/>
    <w:rsid w:val="006A735B"/>
    <w:rsid w:val="006A7EA6"/>
    <w:rsid w:val="006B0635"/>
    <w:rsid w:val="006B1880"/>
    <w:rsid w:val="006B1E51"/>
    <w:rsid w:val="006B3BC4"/>
    <w:rsid w:val="006B3C39"/>
    <w:rsid w:val="006B4442"/>
    <w:rsid w:val="006B46EA"/>
    <w:rsid w:val="006B472D"/>
    <w:rsid w:val="006B51C1"/>
    <w:rsid w:val="006B67EB"/>
    <w:rsid w:val="006C07C4"/>
    <w:rsid w:val="006C2869"/>
    <w:rsid w:val="006C2C88"/>
    <w:rsid w:val="006C2DCD"/>
    <w:rsid w:val="006C49D7"/>
    <w:rsid w:val="006C6313"/>
    <w:rsid w:val="006C6BBE"/>
    <w:rsid w:val="006C70C8"/>
    <w:rsid w:val="006C7935"/>
    <w:rsid w:val="006D1E81"/>
    <w:rsid w:val="006D2FC3"/>
    <w:rsid w:val="006D3F7E"/>
    <w:rsid w:val="006D526E"/>
    <w:rsid w:val="006D680D"/>
    <w:rsid w:val="006D7FE8"/>
    <w:rsid w:val="006E025B"/>
    <w:rsid w:val="006E0D27"/>
    <w:rsid w:val="006E123A"/>
    <w:rsid w:val="006E1DB8"/>
    <w:rsid w:val="006E3BA6"/>
    <w:rsid w:val="006E436E"/>
    <w:rsid w:val="006E468B"/>
    <w:rsid w:val="006E6FBE"/>
    <w:rsid w:val="006E72A7"/>
    <w:rsid w:val="006E7914"/>
    <w:rsid w:val="006F10A6"/>
    <w:rsid w:val="006F25F2"/>
    <w:rsid w:val="006F37EC"/>
    <w:rsid w:val="006F3CE1"/>
    <w:rsid w:val="006F46BD"/>
    <w:rsid w:val="006F4BF5"/>
    <w:rsid w:val="006F4BFC"/>
    <w:rsid w:val="006F4E24"/>
    <w:rsid w:val="006F5EE6"/>
    <w:rsid w:val="006F6180"/>
    <w:rsid w:val="006F6849"/>
    <w:rsid w:val="006F6B39"/>
    <w:rsid w:val="006F7287"/>
    <w:rsid w:val="006F72E3"/>
    <w:rsid w:val="00700006"/>
    <w:rsid w:val="007017CA"/>
    <w:rsid w:val="007019E0"/>
    <w:rsid w:val="00701CCC"/>
    <w:rsid w:val="00701F32"/>
    <w:rsid w:val="00702622"/>
    <w:rsid w:val="0071135C"/>
    <w:rsid w:val="00713359"/>
    <w:rsid w:val="00714757"/>
    <w:rsid w:val="007157D7"/>
    <w:rsid w:val="00715D16"/>
    <w:rsid w:val="007161ED"/>
    <w:rsid w:val="007167DE"/>
    <w:rsid w:val="00716B66"/>
    <w:rsid w:val="00716E15"/>
    <w:rsid w:val="00720950"/>
    <w:rsid w:val="00720E7C"/>
    <w:rsid w:val="00721DA2"/>
    <w:rsid w:val="00722F49"/>
    <w:rsid w:val="007237EF"/>
    <w:rsid w:val="00723E33"/>
    <w:rsid w:val="00724EB0"/>
    <w:rsid w:val="0072612B"/>
    <w:rsid w:val="0072612C"/>
    <w:rsid w:val="00727B69"/>
    <w:rsid w:val="0073145F"/>
    <w:rsid w:val="00734923"/>
    <w:rsid w:val="00734C16"/>
    <w:rsid w:val="00734F70"/>
    <w:rsid w:val="0073592B"/>
    <w:rsid w:val="0073641A"/>
    <w:rsid w:val="007364BF"/>
    <w:rsid w:val="007418F9"/>
    <w:rsid w:val="00744C9F"/>
    <w:rsid w:val="0074507B"/>
    <w:rsid w:val="00747D34"/>
    <w:rsid w:val="0075035D"/>
    <w:rsid w:val="0075092D"/>
    <w:rsid w:val="00751CA3"/>
    <w:rsid w:val="0075297E"/>
    <w:rsid w:val="007529D2"/>
    <w:rsid w:val="0075365B"/>
    <w:rsid w:val="00753B02"/>
    <w:rsid w:val="0075412C"/>
    <w:rsid w:val="00754388"/>
    <w:rsid w:val="00754595"/>
    <w:rsid w:val="00754A8D"/>
    <w:rsid w:val="00755E2D"/>
    <w:rsid w:val="0075701A"/>
    <w:rsid w:val="007626BB"/>
    <w:rsid w:val="00765103"/>
    <w:rsid w:val="00765608"/>
    <w:rsid w:val="00767951"/>
    <w:rsid w:val="0077157D"/>
    <w:rsid w:val="007715BE"/>
    <w:rsid w:val="00772257"/>
    <w:rsid w:val="007744AB"/>
    <w:rsid w:val="007747B3"/>
    <w:rsid w:val="007760B7"/>
    <w:rsid w:val="00776462"/>
    <w:rsid w:val="00780D21"/>
    <w:rsid w:val="00781625"/>
    <w:rsid w:val="0078351A"/>
    <w:rsid w:val="00783546"/>
    <w:rsid w:val="00790167"/>
    <w:rsid w:val="007909A8"/>
    <w:rsid w:val="007912DA"/>
    <w:rsid w:val="00791D5B"/>
    <w:rsid w:val="00796B0C"/>
    <w:rsid w:val="0079724F"/>
    <w:rsid w:val="007A032C"/>
    <w:rsid w:val="007A0BBD"/>
    <w:rsid w:val="007A1587"/>
    <w:rsid w:val="007A16D9"/>
    <w:rsid w:val="007A32D5"/>
    <w:rsid w:val="007A4587"/>
    <w:rsid w:val="007A4980"/>
    <w:rsid w:val="007A5098"/>
    <w:rsid w:val="007A6D8E"/>
    <w:rsid w:val="007A78C4"/>
    <w:rsid w:val="007B081A"/>
    <w:rsid w:val="007B475B"/>
    <w:rsid w:val="007B521D"/>
    <w:rsid w:val="007B551A"/>
    <w:rsid w:val="007B5755"/>
    <w:rsid w:val="007B74D8"/>
    <w:rsid w:val="007C34AF"/>
    <w:rsid w:val="007C4C8A"/>
    <w:rsid w:val="007C4E10"/>
    <w:rsid w:val="007C554A"/>
    <w:rsid w:val="007C5F3B"/>
    <w:rsid w:val="007C79BD"/>
    <w:rsid w:val="007C7DFE"/>
    <w:rsid w:val="007D09C5"/>
    <w:rsid w:val="007D11D6"/>
    <w:rsid w:val="007D6C85"/>
    <w:rsid w:val="007D7A40"/>
    <w:rsid w:val="007E0297"/>
    <w:rsid w:val="007E1888"/>
    <w:rsid w:val="007E3B5E"/>
    <w:rsid w:val="007E659F"/>
    <w:rsid w:val="007E6AD9"/>
    <w:rsid w:val="007E6CC3"/>
    <w:rsid w:val="007F0DE1"/>
    <w:rsid w:val="007F2203"/>
    <w:rsid w:val="007F292B"/>
    <w:rsid w:val="007F5395"/>
    <w:rsid w:val="007F7C3E"/>
    <w:rsid w:val="00801508"/>
    <w:rsid w:val="00803164"/>
    <w:rsid w:val="0080379A"/>
    <w:rsid w:val="00803EA5"/>
    <w:rsid w:val="008068C1"/>
    <w:rsid w:val="00806CC4"/>
    <w:rsid w:val="00806EBD"/>
    <w:rsid w:val="00807F23"/>
    <w:rsid w:val="00810164"/>
    <w:rsid w:val="0081065D"/>
    <w:rsid w:val="00811ABE"/>
    <w:rsid w:val="0081704B"/>
    <w:rsid w:val="00817884"/>
    <w:rsid w:val="008214EA"/>
    <w:rsid w:val="00821996"/>
    <w:rsid w:val="00821CF5"/>
    <w:rsid w:val="0082204C"/>
    <w:rsid w:val="008223EE"/>
    <w:rsid w:val="00822E0F"/>
    <w:rsid w:val="00824BE6"/>
    <w:rsid w:val="008260AE"/>
    <w:rsid w:val="00827CAC"/>
    <w:rsid w:val="00827E46"/>
    <w:rsid w:val="00831B0F"/>
    <w:rsid w:val="00833791"/>
    <w:rsid w:val="00833A10"/>
    <w:rsid w:val="00834C77"/>
    <w:rsid w:val="008357E1"/>
    <w:rsid w:val="00842076"/>
    <w:rsid w:val="00845DEA"/>
    <w:rsid w:val="00846583"/>
    <w:rsid w:val="008466FF"/>
    <w:rsid w:val="00846797"/>
    <w:rsid w:val="008479FB"/>
    <w:rsid w:val="00847E22"/>
    <w:rsid w:val="00850A3C"/>
    <w:rsid w:val="00851C54"/>
    <w:rsid w:val="0085446D"/>
    <w:rsid w:val="00855995"/>
    <w:rsid w:val="00855FC0"/>
    <w:rsid w:val="00857BD1"/>
    <w:rsid w:val="008600C2"/>
    <w:rsid w:val="0086048C"/>
    <w:rsid w:val="00863C96"/>
    <w:rsid w:val="00864B5F"/>
    <w:rsid w:val="008701D4"/>
    <w:rsid w:val="008737B9"/>
    <w:rsid w:val="008738A2"/>
    <w:rsid w:val="008746C3"/>
    <w:rsid w:val="008748B5"/>
    <w:rsid w:val="00874F67"/>
    <w:rsid w:val="0087522E"/>
    <w:rsid w:val="008759DE"/>
    <w:rsid w:val="00875F1F"/>
    <w:rsid w:val="00876EFB"/>
    <w:rsid w:val="008816E7"/>
    <w:rsid w:val="00881FD4"/>
    <w:rsid w:val="00882D5B"/>
    <w:rsid w:val="0088394F"/>
    <w:rsid w:val="00883D9E"/>
    <w:rsid w:val="0088589D"/>
    <w:rsid w:val="008868AA"/>
    <w:rsid w:val="00886EB1"/>
    <w:rsid w:val="00890B77"/>
    <w:rsid w:val="00890BEE"/>
    <w:rsid w:val="00891020"/>
    <w:rsid w:val="008934C3"/>
    <w:rsid w:val="00893DF1"/>
    <w:rsid w:val="00895B8A"/>
    <w:rsid w:val="00895E76"/>
    <w:rsid w:val="00897D66"/>
    <w:rsid w:val="00897F9C"/>
    <w:rsid w:val="008A02BD"/>
    <w:rsid w:val="008A27DA"/>
    <w:rsid w:val="008A2DE0"/>
    <w:rsid w:val="008A4124"/>
    <w:rsid w:val="008A5382"/>
    <w:rsid w:val="008A5446"/>
    <w:rsid w:val="008A6BBA"/>
    <w:rsid w:val="008A73BE"/>
    <w:rsid w:val="008B0B31"/>
    <w:rsid w:val="008B2BCE"/>
    <w:rsid w:val="008B32BE"/>
    <w:rsid w:val="008B3CC3"/>
    <w:rsid w:val="008B6D58"/>
    <w:rsid w:val="008C048A"/>
    <w:rsid w:val="008C0553"/>
    <w:rsid w:val="008C135D"/>
    <w:rsid w:val="008C1D1F"/>
    <w:rsid w:val="008C25BD"/>
    <w:rsid w:val="008C3ECD"/>
    <w:rsid w:val="008C3FB9"/>
    <w:rsid w:val="008C4085"/>
    <w:rsid w:val="008C54BA"/>
    <w:rsid w:val="008C5CCF"/>
    <w:rsid w:val="008C64D1"/>
    <w:rsid w:val="008C661D"/>
    <w:rsid w:val="008C6E87"/>
    <w:rsid w:val="008C7F99"/>
    <w:rsid w:val="008D0475"/>
    <w:rsid w:val="008D0EF5"/>
    <w:rsid w:val="008D40AA"/>
    <w:rsid w:val="008D496B"/>
    <w:rsid w:val="008D4C10"/>
    <w:rsid w:val="008D587C"/>
    <w:rsid w:val="008D5EFC"/>
    <w:rsid w:val="008D7056"/>
    <w:rsid w:val="008E0BAC"/>
    <w:rsid w:val="008E0C5F"/>
    <w:rsid w:val="008E1460"/>
    <w:rsid w:val="008E3987"/>
    <w:rsid w:val="008E3BB8"/>
    <w:rsid w:val="008E48E3"/>
    <w:rsid w:val="008E50D7"/>
    <w:rsid w:val="008E580B"/>
    <w:rsid w:val="008E7A6A"/>
    <w:rsid w:val="008F1B5F"/>
    <w:rsid w:val="008F250E"/>
    <w:rsid w:val="008F27FE"/>
    <w:rsid w:val="008F338C"/>
    <w:rsid w:val="008F5F0E"/>
    <w:rsid w:val="008F6882"/>
    <w:rsid w:val="008F6E65"/>
    <w:rsid w:val="008F7AF8"/>
    <w:rsid w:val="008F7D51"/>
    <w:rsid w:val="0090059F"/>
    <w:rsid w:val="009007AE"/>
    <w:rsid w:val="009010F2"/>
    <w:rsid w:val="0090209F"/>
    <w:rsid w:val="00902B82"/>
    <w:rsid w:val="00902D7F"/>
    <w:rsid w:val="0090309F"/>
    <w:rsid w:val="00903C35"/>
    <w:rsid w:val="00904260"/>
    <w:rsid w:val="00904B2B"/>
    <w:rsid w:val="0090509F"/>
    <w:rsid w:val="00906172"/>
    <w:rsid w:val="009106A3"/>
    <w:rsid w:val="00910A8A"/>
    <w:rsid w:val="00910C77"/>
    <w:rsid w:val="00911015"/>
    <w:rsid w:val="009112E6"/>
    <w:rsid w:val="00911ECB"/>
    <w:rsid w:val="0091238C"/>
    <w:rsid w:val="0091367B"/>
    <w:rsid w:val="0091399E"/>
    <w:rsid w:val="00914A69"/>
    <w:rsid w:val="00915BF8"/>
    <w:rsid w:val="00916B8E"/>
    <w:rsid w:val="00920280"/>
    <w:rsid w:val="00922D19"/>
    <w:rsid w:val="00923A4B"/>
    <w:rsid w:val="00923B58"/>
    <w:rsid w:val="009249E0"/>
    <w:rsid w:val="00925B19"/>
    <w:rsid w:val="009264B3"/>
    <w:rsid w:val="009269CB"/>
    <w:rsid w:val="009311A1"/>
    <w:rsid w:val="00931EE0"/>
    <w:rsid w:val="00934339"/>
    <w:rsid w:val="009343D1"/>
    <w:rsid w:val="00935E5A"/>
    <w:rsid w:val="00940645"/>
    <w:rsid w:val="00940DC7"/>
    <w:rsid w:val="009433D5"/>
    <w:rsid w:val="00943E96"/>
    <w:rsid w:val="009456F2"/>
    <w:rsid w:val="00945A89"/>
    <w:rsid w:val="00946239"/>
    <w:rsid w:val="00946E07"/>
    <w:rsid w:val="00951E13"/>
    <w:rsid w:val="009526B5"/>
    <w:rsid w:val="0095284E"/>
    <w:rsid w:val="00952E89"/>
    <w:rsid w:val="00953151"/>
    <w:rsid w:val="00953D30"/>
    <w:rsid w:val="00953F38"/>
    <w:rsid w:val="009540FE"/>
    <w:rsid w:val="0095535A"/>
    <w:rsid w:val="00955690"/>
    <w:rsid w:val="009569E3"/>
    <w:rsid w:val="00960592"/>
    <w:rsid w:val="00961314"/>
    <w:rsid w:val="00961E39"/>
    <w:rsid w:val="009637E5"/>
    <w:rsid w:val="009662FD"/>
    <w:rsid w:val="00966910"/>
    <w:rsid w:val="009731B3"/>
    <w:rsid w:val="00973E97"/>
    <w:rsid w:val="009759E8"/>
    <w:rsid w:val="00975A33"/>
    <w:rsid w:val="0098265E"/>
    <w:rsid w:val="00982CA0"/>
    <w:rsid w:val="00983BB5"/>
    <w:rsid w:val="009842A1"/>
    <w:rsid w:val="00985054"/>
    <w:rsid w:val="0099285F"/>
    <w:rsid w:val="00992E5D"/>
    <w:rsid w:val="009939EB"/>
    <w:rsid w:val="00993FD0"/>
    <w:rsid w:val="0099479B"/>
    <w:rsid w:val="0099500F"/>
    <w:rsid w:val="00995865"/>
    <w:rsid w:val="00995C7E"/>
    <w:rsid w:val="0099645E"/>
    <w:rsid w:val="00996874"/>
    <w:rsid w:val="0099745E"/>
    <w:rsid w:val="009A06AC"/>
    <w:rsid w:val="009A08AA"/>
    <w:rsid w:val="009A2B8B"/>
    <w:rsid w:val="009A356D"/>
    <w:rsid w:val="009A37D3"/>
    <w:rsid w:val="009A39FA"/>
    <w:rsid w:val="009A3E4B"/>
    <w:rsid w:val="009A3F63"/>
    <w:rsid w:val="009A6298"/>
    <w:rsid w:val="009A689A"/>
    <w:rsid w:val="009A6B41"/>
    <w:rsid w:val="009B03FC"/>
    <w:rsid w:val="009B0727"/>
    <w:rsid w:val="009B2BA8"/>
    <w:rsid w:val="009B3ED3"/>
    <w:rsid w:val="009B5BFC"/>
    <w:rsid w:val="009B6B1E"/>
    <w:rsid w:val="009B783D"/>
    <w:rsid w:val="009B7972"/>
    <w:rsid w:val="009C1220"/>
    <w:rsid w:val="009C2B93"/>
    <w:rsid w:val="009C407B"/>
    <w:rsid w:val="009C43D1"/>
    <w:rsid w:val="009C45BC"/>
    <w:rsid w:val="009C56AE"/>
    <w:rsid w:val="009D1387"/>
    <w:rsid w:val="009D1A66"/>
    <w:rsid w:val="009D1BB0"/>
    <w:rsid w:val="009D23DE"/>
    <w:rsid w:val="009D2666"/>
    <w:rsid w:val="009D4008"/>
    <w:rsid w:val="009D5E71"/>
    <w:rsid w:val="009E0C82"/>
    <w:rsid w:val="009E0E37"/>
    <w:rsid w:val="009E17EC"/>
    <w:rsid w:val="009E444A"/>
    <w:rsid w:val="009E44B6"/>
    <w:rsid w:val="009F09F1"/>
    <w:rsid w:val="009F1397"/>
    <w:rsid w:val="009F225D"/>
    <w:rsid w:val="009F6AD4"/>
    <w:rsid w:val="009F77A3"/>
    <w:rsid w:val="00A01842"/>
    <w:rsid w:val="00A027CB"/>
    <w:rsid w:val="00A02BAB"/>
    <w:rsid w:val="00A02E13"/>
    <w:rsid w:val="00A0546A"/>
    <w:rsid w:val="00A069B3"/>
    <w:rsid w:val="00A07538"/>
    <w:rsid w:val="00A1018D"/>
    <w:rsid w:val="00A1141B"/>
    <w:rsid w:val="00A12731"/>
    <w:rsid w:val="00A12C33"/>
    <w:rsid w:val="00A13A31"/>
    <w:rsid w:val="00A13C30"/>
    <w:rsid w:val="00A13CFA"/>
    <w:rsid w:val="00A13E0F"/>
    <w:rsid w:val="00A15393"/>
    <w:rsid w:val="00A16495"/>
    <w:rsid w:val="00A17C18"/>
    <w:rsid w:val="00A2283D"/>
    <w:rsid w:val="00A272F0"/>
    <w:rsid w:val="00A27CDD"/>
    <w:rsid w:val="00A350AA"/>
    <w:rsid w:val="00A35D3D"/>
    <w:rsid w:val="00A3753F"/>
    <w:rsid w:val="00A40B62"/>
    <w:rsid w:val="00A41396"/>
    <w:rsid w:val="00A42947"/>
    <w:rsid w:val="00A44759"/>
    <w:rsid w:val="00A46BD5"/>
    <w:rsid w:val="00A46F7F"/>
    <w:rsid w:val="00A4776E"/>
    <w:rsid w:val="00A4798E"/>
    <w:rsid w:val="00A47DF1"/>
    <w:rsid w:val="00A504B2"/>
    <w:rsid w:val="00A51755"/>
    <w:rsid w:val="00A5268A"/>
    <w:rsid w:val="00A529B2"/>
    <w:rsid w:val="00A52FEF"/>
    <w:rsid w:val="00A53FF9"/>
    <w:rsid w:val="00A5522B"/>
    <w:rsid w:val="00A55BC8"/>
    <w:rsid w:val="00A560AD"/>
    <w:rsid w:val="00A56A54"/>
    <w:rsid w:val="00A57C52"/>
    <w:rsid w:val="00A604C4"/>
    <w:rsid w:val="00A6105A"/>
    <w:rsid w:val="00A61975"/>
    <w:rsid w:val="00A64D3C"/>
    <w:rsid w:val="00A65F2C"/>
    <w:rsid w:val="00A67B16"/>
    <w:rsid w:val="00A70657"/>
    <w:rsid w:val="00A70A99"/>
    <w:rsid w:val="00A73FBE"/>
    <w:rsid w:val="00A74797"/>
    <w:rsid w:val="00A7506F"/>
    <w:rsid w:val="00A7532A"/>
    <w:rsid w:val="00A759FB"/>
    <w:rsid w:val="00A75FFA"/>
    <w:rsid w:val="00A77514"/>
    <w:rsid w:val="00A812C2"/>
    <w:rsid w:val="00A819A9"/>
    <w:rsid w:val="00A82A12"/>
    <w:rsid w:val="00A83835"/>
    <w:rsid w:val="00A85D12"/>
    <w:rsid w:val="00A86EBC"/>
    <w:rsid w:val="00A87069"/>
    <w:rsid w:val="00A90505"/>
    <w:rsid w:val="00A90E27"/>
    <w:rsid w:val="00A920D9"/>
    <w:rsid w:val="00A9214F"/>
    <w:rsid w:val="00A92D54"/>
    <w:rsid w:val="00A9454E"/>
    <w:rsid w:val="00A94DF7"/>
    <w:rsid w:val="00A95045"/>
    <w:rsid w:val="00A95269"/>
    <w:rsid w:val="00A954DE"/>
    <w:rsid w:val="00A96908"/>
    <w:rsid w:val="00A97DDD"/>
    <w:rsid w:val="00AA0A1B"/>
    <w:rsid w:val="00AA7369"/>
    <w:rsid w:val="00AB18F8"/>
    <w:rsid w:val="00AB2AB1"/>
    <w:rsid w:val="00AB400C"/>
    <w:rsid w:val="00AB4BDA"/>
    <w:rsid w:val="00AB4CBF"/>
    <w:rsid w:val="00AB5244"/>
    <w:rsid w:val="00AB66F0"/>
    <w:rsid w:val="00AB6A1C"/>
    <w:rsid w:val="00AB7DF6"/>
    <w:rsid w:val="00AC15E9"/>
    <w:rsid w:val="00AC1D2B"/>
    <w:rsid w:val="00AC1E09"/>
    <w:rsid w:val="00AC25E7"/>
    <w:rsid w:val="00AC36F3"/>
    <w:rsid w:val="00AC3F59"/>
    <w:rsid w:val="00AC4F8C"/>
    <w:rsid w:val="00AC7797"/>
    <w:rsid w:val="00AD06CC"/>
    <w:rsid w:val="00AD162C"/>
    <w:rsid w:val="00AD25F7"/>
    <w:rsid w:val="00AD351C"/>
    <w:rsid w:val="00AD3E92"/>
    <w:rsid w:val="00AD7D8E"/>
    <w:rsid w:val="00AE11BF"/>
    <w:rsid w:val="00AE27D5"/>
    <w:rsid w:val="00AE28E8"/>
    <w:rsid w:val="00AE34BC"/>
    <w:rsid w:val="00AE4237"/>
    <w:rsid w:val="00AE4352"/>
    <w:rsid w:val="00AE47D2"/>
    <w:rsid w:val="00AE601D"/>
    <w:rsid w:val="00AE6D11"/>
    <w:rsid w:val="00AE6E12"/>
    <w:rsid w:val="00AF16A4"/>
    <w:rsid w:val="00AF1D1E"/>
    <w:rsid w:val="00AF1EDE"/>
    <w:rsid w:val="00AF209A"/>
    <w:rsid w:val="00AF27A7"/>
    <w:rsid w:val="00AF3127"/>
    <w:rsid w:val="00AF387D"/>
    <w:rsid w:val="00AF4047"/>
    <w:rsid w:val="00AF4CC2"/>
    <w:rsid w:val="00AF5020"/>
    <w:rsid w:val="00AF53E2"/>
    <w:rsid w:val="00AF6ADB"/>
    <w:rsid w:val="00B00CE1"/>
    <w:rsid w:val="00B110B9"/>
    <w:rsid w:val="00B145D5"/>
    <w:rsid w:val="00B15267"/>
    <w:rsid w:val="00B16323"/>
    <w:rsid w:val="00B16454"/>
    <w:rsid w:val="00B201F9"/>
    <w:rsid w:val="00B20224"/>
    <w:rsid w:val="00B20B5C"/>
    <w:rsid w:val="00B20E9F"/>
    <w:rsid w:val="00B21F90"/>
    <w:rsid w:val="00B225E1"/>
    <w:rsid w:val="00B22BD1"/>
    <w:rsid w:val="00B26211"/>
    <w:rsid w:val="00B30DAB"/>
    <w:rsid w:val="00B3179C"/>
    <w:rsid w:val="00B34736"/>
    <w:rsid w:val="00B3478D"/>
    <w:rsid w:val="00B369CF"/>
    <w:rsid w:val="00B37F24"/>
    <w:rsid w:val="00B400D7"/>
    <w:rsid w:val="00B404CF"/>
    <w:rsid w:val="00B40D2E"/>
    <w:rsid w:val="00B415AA"/>
    <w:rsid w:val="00B45C7C"/>
    <w:rsid w:val="00B46ACD"/>
    <w:rsid w:val="00B50889"/>
    <w:rsid w:val="00B54CA9"/>
    <w:rsid w:val="00B60185"/>
    <w:rsid w:val="00B63E03"/>
    <w:rsid w:val="00B63F15"/>
    <w:rsid w:val="00B65EC3"/>
    <w:rsid w:val="00B677EF"/>
    <w:rsid w:val="00B703D9"/>
    <w:rsid w:val="00B706D9"/>
    <w:rsid w:val="00B70D21"/>
    <w:rsid w:val="00B71C1E"/>
    <w:rsid w:val="00B7209B"/>
    <w:rsid w:val="00B74161"/>
    <w:rsid w:val="00B74EE1"/>
    <w:rsid w:val="00B752E9"/>
    <w:rsid w:val="00B75CDC"/>
    <w:rsid w:val="00B81CF4"/>
    <w:rsid w:val="00B81EE4"/>
    <w:rsid w:val="00B82A5D"/>
    <w:rsid w:val="00B82AFB"/>
    <w:rsid w:val="00B82B78"/>
    <w:rsid w:val="00B82C0F"/>
    <w:rsid w:val="00B83245"/>
    <w:rsid w:val="00B83B8C"/>
    <w:rsid w:val="00B84239"/>
    <w:rsid w:val="00B851AA"/>
    <w:rsid w:val="00B85672"/>
    <w:rsid w:val="00B870B2"/>
    <w:rsid w:val="00B90205"/>
    <w:rsid w:val="00B91662"/>
    <w:rsid w:val="00B92A5E"/>
    <w:rsid w:val="00B92D73"/>
    <w:rsid w:val="00B92DC1"/>
    <w:rsid w:val="00B930BB"/>
    <w:rsid w:val="00B931B1"/>
    <w:rsid w:val="00B93F20"/>
    <w:rsid w:val="00B94071"/>
    <w:rsid w:val="00B94337"/>
    <w:rsid w:val="00B961FD"/>
    <w:rsid w:val="00B97104"/>
    <w:rsid w:val="00BA09F0"/>
    <w:rsid w:val="00BA0D7F"/>
    <w:rsid w:val="00BA153B"/>
    <w:rsid w:val="00BA1B94"/>
    <w:rsid w:val="00BA1E7A"/>
    <w:rsid w:val="00BA267F"/>
    <w:rsid w:val="00BA4F73"/>
    <w:rsid w:val="00BA504D"/>
    <w:rsid w:val="00BA6FCD"/>
    <w:rsid w:val="00BB2652"/>
    <w:rsid w:val="00BB3339"/>
    <w:rsid w:val="00BB3F1A"/>
    <w:rsid w:val="00BB47AB"/>
    <w:rsid w:val="00BB4BA3"/>
    <w:rsid w:val="00BB6264"/>
    <w:rsid w:val="00BB6DE9"/>
    <w:rsid w:val="00BC0371"/>
    <w:rsid w:val="00BC1A3F"/>
    <w:rsid w:val="00BC2CDF"/>
    <w:rsid w:val="00BC53A3"/>
    <w:rsid w:val="00BC6205"/>
    <w:rsid w:val="00BC7AA0"/>
    <w:rsid w:val="00BD0DEF"/>
    <w:rsid w:val="00BD3BC0"/>
    <w:rsid w:val="00BD6198"/>
    <w:rsid w:val="00BD6CD0"/>
    <w:rsid w:val="00BD764D"/>
    <w:rsid w:val="00BD7BD3"/>
    <w:rsid w:val="00BE0899"/>
    <w:rsid w:val="00BE0D1A"/>
    <w:rsid w:val="00BE121B"/>
    <w:rsid w:val="00BE1414"/>
    <w:rsid w:val="00BE32C4"/>
    <w:rsid w:val="00BE40F2"/>
    <w:rsid w:val="00BE632B"/>
    <w:rsid w:val="00BF1D92"/>
    <w:rsid w:val="00BF359E"/>
    <w:rsid w:val="00BF4381"/>
    <w:rsid w:val="00BF49DE"/>
    <w:rsid w:val="00BF54F3"/>
    <w:rsid w:val="00BF5D4D"/>
    <w:rsid w:val="00C004D2"/>
    <w:rsid w:val="00C011A1"/>
    <w:rsid w:val="00C0500B"/>
    <w:rsid w:val="00C104C5"/>
    <w:rsid w:val="00C10DA3"/>
    <w:rsid w:val="00C112AD"/>
    <w:rsid w:val="00C12E73"/>
    <w:rsid w:val="00C135C0"/>
    <w:rsid w:val="00C13FB5"/>
    <w:rsid w:val="00C1514B"/>
    <w:rsid w:val="00C16337"/>
    <w:rsid w:val="00C209FD"/>
    <w:rsid w:val="00C21697"/>
    <w:rsid w:val="00C2233E"/>
    <w:rsid w:val="00C224CE"/>
    <w:rsid w:val="00C24393"/>
    <w:rsid w:val="00C26D05"/>
    <w:rsid w:val="00C30483"/>
    <w:rsid w:val="00C30829"/>
    <w:rsid w:val="00C3083B"/>
    <w:rsid w:val="00C323A5"/>
    <w:rsid w:val="00C32F7E"/>
    <w:rsid w:val="00C340A4"/>
    <w:rsid w:val="00C364FC"/>
    <w:rsid w:val="00C3708B"/>
    <w:rsid w:val="00C37095"/>
    <w:rsid w:val="00C44A0D"/>
    <w:rsid w:val="00C44C83"/>
    <w:rsid w:val="00C4505A"/>
    <w:rsid w:val="00C46845"/>
    <w:rsid w:val="00C469C5"/>
    <w:rsid w:val="00C50ACE"/>
    <w:rsid w:val="00C50BF7"/>
    <w:rsid w:val="00C529E5"/>
    <w:rsid w:val="00C53900"/>
    <w:rsid w:val="00C5535A"/>
    <w:rsid w:val="00C5548D"/>
    <w:rsid w:val="00C5625C"/>
    <w:rsid w:val="00C56617"/>
    <w:rsid w:val="00C56B12"/>
    <w:rsid w:val="00C571C8"/>
    <w:rsid w:val="00C57F64"/>
    <w:rsid w:val="00C61066"/>
    <w:rsid w:val="00C614C2"/>
    <w:rsid w:val="00C63651"/>
    <w:rsid w:val="00C64212"/>
    <w:rsid w:val="00C64D2E"/>
    <w:rsid w:val="00C665BE"/>
    <w:rsid w:val="00C66617"/>
    <w:rsid w:val="00C66A37"/>
    <w:rsid w:val="00C70927"/>
    <w:rsid w:val="00C70F93"/>
    <w:rsid w:val="00C72505"/>
    <w:rsid w:val="00C72955"/>
    <w:rsid w:val="00C73F9D"/>
    <w:rsid w:val="00C74483"/>
    <w:rsid w:val="00C76029"/>
    <w:rsid w:val="00C7724E"/>
    <w:rsid w:val="00C801F7"/>
    <w:rsid w:val="00C80DFE"/>
    <w:rsid w:val="00C83A96"/>
    <w:rsid w:val="00C86912"/>
    <w:rsid w:val="00C86B74"/>
    <w:rsid w:val="00C8719E"/>
    <w:rsid w:val="00C91324"/>
    <w:rsid w:val="00C94707"/>
    <w:rsid w:val="00C95DB8"/>
    <w:rsid w:val="00CA145B"/>
    <w:rsid w:val="00CA19F2"/>
    <w:rsid w:val="00CA240E"/>
    <w:rsid w:val="00CA2538"/>
    <w:rsid w:val="00CA2B37"/>
    <w:rsid w:val="00CA3CC0"/>
    <w:rsid w:val="00CA448F"/>
    <w:rsid w:val="00CA7293"/>
    <w:rsid w:val="00CB0057"/>
    <w:rsid w:val="00CB1681"/>
    <w:rsid w:val="00CB2204"/>
    <w:rsid w:val="00CB2CB5"/>
    <w:rsid w:val="00CB32B3"/>
    <w:rsid w:val="00CB4743"/>
    <w:rsid w:val="00CB534D"/>
    <w:rsid w:val="00CB6D65"/>
    <w:rsid w:val="00CC0922"/>
    <w:rsid w:val="00CC0C12"/>
    <w:rsid w:val="00CC1BC9"/>
    <w:rsid w:val="00CC7A55"/>
    <w:rsid w:val="00CD040E"/>
    <w:rsid w:val="00CD0A5D"/>
    <w:rsid w:val="00CD0F0A"/>
    <w:rsid w:val="00CD19EC"/>
    <w:rsid w:val="00CD201A"/>
    <w:rsid w:val="00CD22C0"/>
    <w:rsid w:val="00CD231D"/>
    <w:rsid w:val="00CD23D8"/>
    <w:rsid w:val="00CD2E02"/>
    <w:rsid w:val="00CD3073"/>
    <w:rsid w:val="00CD3FD3"/>
    <w:rsid w:val="00CD48F7"/>
    <w:rsid w:val="00CD4BA3"/>
    <w:rsid w:val="00CE20E7"/>
    <w:rsid w:val="00CE2A2C"/>
    <w:rsid w:val="00CE669B"/>
    <w:rsid w:val="00CE79BF"/>
    <w:rsid w:val="00CF1803"/>
    <w:rsid w:val="00CF2019"/>
    <w:rsid w:val="00CF2CE6"/>
    <w:rsid w:val="00CF30C3"/>
    <w:rsid w:val="00CF53ED"/>
    <w:rsid w:val="00CF665C"/>
    <w:rsid w:val="00D0022A"/>
    <w:rsid w:val="00D00A39"/>
    <w:rsid w:val="00D0153B"/>
    <w:rsid w:val="00D01B09"/>
    <w:rsid w:val="00D01EB3"/>
    <w:rsid w:val="00D043E0"/>
    <w:rsid w:val="00D04EF5"/>
    <w:rsid w:val="00D06F49"/>
    <w:rsid w:val="00D078E9"/>
    <w:rsid w:val="00D10A2C"/>
    <w:rsid w:val="00D128E7"/>
    <w:rsid w:val="00D13C00"/>
    <w:rsid w:val="00D14C1E"/>
    <w:rsid w:val="00D162F4"/>
    <w:rsid w:val="00D16A1F"/>
    <w:rsid w:val="00D20B0C"/>
    <w:rsid w:val="00D21153"/>
    <w:rsid w:val="00D214CE"/>
    <w:rsid w:val="00D21B3F"/>
    <w:rsid w:val="00D22124"/>
    <w:rsid w:val="00D222D8"/>
    <w:rsid w:val="00D24BAD"/>
    <w:rsid w:val="00D24E76"/>
    <w:rsid w:val="00D30AE9"/>
    <w:rsid w:val="00D31472"/>
    <w:rsid w:val="00D32638"/>
    <w:rsid w:val="00D345D7"/>
    <w:rsid w:val="00D401D7"/>
    <w:rsid w:val="00D426BF"/>
    <w:rsid w:val="00D42FC9"/>
    <w:rsid w:val="00D44394"/>
    <w:rsid w:val="00D44883"/>
    <w:rsid w:val="00D44E48"/>
    <w:rsid w:val="00D4564C"/>
    <w:rsid w:val="00D45D19"/>
    <w:rsid w:val="00D46B06"/>
    <w:rsid w:val="00D46D99"/>
    <w:rsid w:val="00D47A54"/>
    <w:rsid w:val="00D47A7D"/>
    <w:rsid w:val="00D47E2B"/>
    <w:rsid w:val="00D506DD"/>
    <w:rsid w:val="00D51F1C"/>
    <w:rsid w:val="00D525FC"/>
    <w:rsid w:val="00D52C3A"/>
    <w:rsid w:val="00D5387E"/>
    <w:rsid w:val="00D53E41"/>
    <w:rsid w:val="00D5415F"/>
    <w:rsid w:val="00D63413"/>
    <w:rsid w:val="00D63584"/>
    <w:rsid w:val="00D648A9"/>
    <w:rsid w:val="00D64962"/>
    <w:rsid w:val="00D64CEC"/>
    <w:rsid w:val="00D65498"/>
    <w:rsid w:val="00D65D8F"/>
    <w:rsid w:val="00D65F00"/>
    <w:rsid w:val="00D6621B"/>
    <w:rsid w:val="00D672CF"/>
    <w:rsid w:val="00D676D1"/>
    <w:rsid w:val="00D7007D"/>
    <w:rsid w:val="00D70F55"/>
    <w:rsid w:val="00D713B1"/>
    <w:rsid w:val="00D71B0A"/>
    <w:rsid w:val="00D71D27"/>
    <w:rsid w:val="00D71FC6"/>
    <w:rsid w:val="00D72A6F"/>
    <w:rsid w:val="00D778B6"/>
    <w:rsid w:val="00D77AE8"/>
    <w:rsid w:val="00D8055B"/>
    <w:rsid w:val="00D824CE"/>
    <w:rsid w:val="00D82AA7"/>
    <w:rsid w:val="00D843AF"/>
    <w:rsid w:val="00D864D0"/>
    <w:rsid w:val="00D86769"/>
    <w:rsid w:val="00D8683B"/>
    <w:rsid w:val="00D875C5"/>
    <w:rsid w:val="00D908AF"/>
    <w:rsid w:val="00D90DAF"/>
    <w:rsid w:val="00D90EB1"/>
    <w:rsid w:val="00D91F2D"/>
    <w:rsid w:val="00D9337C"/>
    <w:rsid w:val="00D93D37"/>
    <w:rsid w:val="00D959B8"/>
    <w:rsid w:val="00D976D7"/>
    <w:rsid w:val="00DA134C"/>
    <w:rsid w:val="00DA3E5D"/>
    <w:rsid w:val="00DA4905"/>
    <w:rsid w:val="00DA6DC6"/>
    <w:rsid w:val="00DB38DF"/>
    <w:rsid w:val="00DB3F76"/>
    <w:rsid w:val="00DB481A"/>
    <w:rsid w:val="00DB4DA0"/>
    <w:rsid w:val="00DB6F63"/>
    <w:rsid w:val="00DB7791"/>
    <w:rsid w:val="00DC17E8"/>
    <w:rsid w:val="00DC1EF1"/>
    <w:rsid w:val="00DC3FA4"/>
    <w:rsid w:val="00DC68A5"/>
    <w:rsid w:val="00DC68B8"/>
    <w:rsid w:val="00DD17C6"/>
    <w:rsid w:val="00DD1A79"/>
    <w:rsid w:val="00DD37BA"/>
    <w:rsid w:val="00DD457D"/>
    <w:rsid w:val="00DD46F5"/>
    <w:rsid w:val="00DD5F54"/>
    <w:rsid w:val="00DD69B5"/>
    <w:rsid w:val="00DD711A"/>
    <w:rsid w:val="00DE0416"/>
    <w:rsid w:val="00DE1A73"/>
    <w:rsid w:val="00DE2268"/>
    <w:rsid w:val="00DE2A0D"/>
    <w:rsid w:val="00DE52B6"/>
    <w:rsid w:val="00DF027D"/>
    <w:rsid w:val="00DF0E59"/>
    <w:rsid w:val="00DF1273"/>
    <w:rsid w:val="00DF3804"/>
    <w:rsid w:val="00DF5AE3"/>
    <w:rsid w:val="00DF6080"/>
    <w:rsid w:val="00DF7BF4"/>
    <w:rsid w:val="00E0061F"/>
    <w:rsid w:val="00E02416"/>
    <w:rsid w:val="00E02C51"/>
    <w:rsid w:val="00E02E23"/>
    <w:rsid w:val="00E03B81"/>
    <w:rsid w:val="00E04DA1"/>
    <w:rsid w:val="00E05052"/>
    <w:rsid w:val="00E06C2E"/>
    <w:rsid w:val="00E06C89"/>
    <w:rsid w:val="00E06CAB"/>
    <w:rsid w:val="00E07151"/>
    <w:rsid w:val="00E07208"/>
    <w:rsid w:val="00E13625"/>
    <w:rsid w:val="00E13B95"/>
    <w:rsid w:val="00E13EF8"/>
    <w:rsid w:val="00E14B5E"/>
    <w:rsid w:val="00E14F9E"/>
    <w:rsid w:val="00E15C8F"/>
    <w:rsid w:val="00E16DFF"/>
    <w:rsid w:val="00E170D1"/>
    <w:rsid w:val="00E214A8"/>
    <w:rsid w:val="00E21660"/>
    <w:rsid w:val="00E222FB"/>
    <w:rsid w:val="00E223F6"/>
    <w:rsid w:val="00E22B0E"/>
    <w:rsid w:val="00E2354F"/>
    <w:rsid w:val="00E238B8"/>
    <w:rsid w:val="00E259AD"/>
    <w:rsid w:val="00E27370"/>
    <w:rsid w:val="00E278BF"/>
    <w:rsid w:val="00E323A2"/>
    <w:rsid w:val="00E33416"/>
    <w:rsid w:val="00E3354C"/>
    <w:rsid w:val="00E354A8"/>
    <w:rsid w:val="00E35EFB"/>
    <w:rsid w:val="00E40509"/>
    <w:rsid w:val="00E416DA"/>
    <w:rsid w:val="00E42752"/>
    <w:rsid w:val="00E44BFD"/>
    <w:rsid w:val="00E45D57"/>
    <w:rsid w:val="00E46DEF"/>
    <w:rsid w:val="00E479A6"/>
    <w:rsid w:val="00E536DA"/>
    <w:rsid w:val="00E543BE"/>
    <w:rsid w:val="00E54C90"/>
    <w:rsid w:val="00E54D4D"/>
    <w:rsid w:val="00E55D02"/>
    <w:rsid w:val="00E56F6F"/>
    <w:rsid w:val="00E57AA6"/>
    <w:rsid w:val="00E61534"/>
    <w:rsid w:val="00E61670"/>
    <w:rsid w:val="00E63513"/>
    <w:rsid w:val="00E648D5"/>
    <w:rsid w:val="00E66F4D"/>
    <w:rsid w:val="00E67197"/>
    <w:rsid w:val="00E67372"/>
    <w:rsid w:val="00E67CCE"/>
    <w:rsid w:val="00E70CF6"/>
    <w:rsid w:val="00E737EF"/>
    <w:rsid w:val="00E73E8D"/>
    <w:rsid w:val="00E760BD"/>
    <w:rsid w:val="00E764DC"/>
    <w:rsid w:val="00E7680C"/>
    <w:rsid w:val="00E81360"/>
    <w:rsid w:val="00E81703"/>
    <w:rsid w:val="00E81BDC"/>
    <w:rsid w:val="00E822A6"/>
    <w:rsid w:val="00E826EA"/>
    <w:rsid w:val="00E82EC4"/>
    <w:rsid w:val="00E831EB"/>
    <w:rsid w:val="00E8487B"/>
    <w:rsid w:val="00E84E28"/>
    <w:rsid w:val="00E85F96"/>
    <w:rsid w:val="00E86225"/>
    <w:rsid w:val="00E91E3C"/>
    <w:rsid w:val="00E93318"/>
    <w:rsid w:val="00E93361"/>
    <w:rsid w:val="00E93890"/>
    <w:rsid w:val="00E9436C"/>
    <w:rsid w:val="00E95365"/>
    <w:rsid w:val="00EA0A06"/>
    <w:rsid w:val="00EA4E1A"/>
    <w:rsid w:val="00EA6762"/>
    <w:rsid w:val="00EA6A42"/>
    <w:rsid w:val="00EB11A1"/>
    <w:rsid w:val="00EB1BB9"/>
    <w:rsid w:val="00EB202B"/>
    <w:rsid w:val="00EB31CB"/>
    <w:rsid w:val="00EB409A"/>
    <w:rsid w:val="00EB460C"/>
    <w:rsid w:val="00EB4861"/>
    <w:rsid w:val="00EB656A"/>
    <w:rsid w:val="00EB7B9B"/>
    <w:rsid w:val="00EC06D8"/>
    <w:rsid w:val="00EC0868"/>
    <w:rsid w:val="00EC0EE0"/>
    <w:rsid w:val="00EC240A"/>
    <w:rsid w:val="00EC4542"/>
    <w:rsid w:val="00EC4B7B"/>
    <w:rsid w:val="00EC4FA3"/>
    <w:rsid w:val="00EC5C6E"/>
    <w:rsid w:val="00EC5F42"/>
    <w:rsid w:val="00EC69C4"/>
    <w:rsid w:val="00EC7C84"/>
    <w:rsid w:val="00ED2E54"/>
    <w:rsid w:val="00ED2F2E"/>
    <w:rsid w:val="00ED3154"/>
    <w:rsid w:val="00ED54B3"/>
    <w:rsid w:val="00ED600F"/>
    <w:rsid w:val="00EE11F6"/>
    <w:rsid w:val="00EE1326"/>
    <w:rsid w:val="00EE29B7"/>
    <w:rsid w:val="00EE409D"/>
    <w:rsid w:val="00EE4424"/>
    <w:rsid w:val="00EE5D4B"/>
    <w:rsid w:val="00EE7BED"/>
    <w:rsid w:val="00EF1739"/>
    <w:rsid w:val="00EF5BBB"/>
    <w:rsid w:val="00EF7C0A"/>
    <w:rsid w:val="00EF7C73"/>
    <w:rsid w:val="00F029B7"/>
    <w:rsid w:val="00F02F66"/>
    <w:rsid w:val="00F03417"/>
    <w:rsid w:val="00F038A5"/>
    <w:rsid w:val="00F05692"/>
    <w:rsid w:val="00F06441"/>
    <w:rsid w:val="00F07A35"/>
    <w:rsid w:val="00F10B13"/>
    <w:rsid w:val="00F113FF"/>
    <w:rsid w:val="00F11C8A"/>
    <w:rsid w:val="00F12E72"/>
    <w:rsid w:val="00F1309A"/>
    <w:rsid w:val="00F13A57"/>
    <w:rsid w:val="00F148B5"/>
    <w:rsid w:val="00F15222"/>
    <w:rsid w:val="00F20853"/>
    <w:rsid w:val="00F21542"/>
    <w:rsid w:val="00F30283"/>
    <w:rsid w:val="00F30D39"/>
    <w:rsid w:val="00F41445"/>
    <w:rsid w:val="00F415CC"/>
    <w:rsid w:val="00F42200"/>
    <w:rsid w:val="00F42A11"/>
    <w:rsid w:val="00F42E4A"/>
    <w:rsid w:val="00F430B1"/>
    <w:rsid w:val="00F4371A"/>
    <w:rsid w:val="00F441F3"/>
    <w:rsid w:val="00F445FD"/>
    <w:rsid w:val="00F46AB0"/>
    <w:rsid w:val="00F5582D"/>
    <w:rsid w:val="00F61D08"/>
    <w:rsid w:val="00F626C6"/>
    <w:rsid w:val="00F638C2"/>
    <w:rsid w:val="00F6438E"/>
    <w:rsid w:val="00F65D54"/>
    <w:rsid w:val="00F66464"/>
    <w:rsid w:val="00F66780"/>
    <w:rsid w:val="00F66C68"/>
    <w:rsid w:val="00F676BA"/>
    <w:rsid w:val="00F67C36"/>
    <w:rsid w:val="00F7073C"/>
    <w:rsid w:val="00F70896"/>
    <w:rsid w:val="00F70BBC"/>
    <w:rsid w:val="00F72C53"/>
    <w:rsid w:val="00F72F9D"/>
    <w:rsid w:val="00F73ABC"/>
    <w:rsid w:val="00F74885"/>
    <w:rsid w:val="00F80273"/>
    <w:rsid w:val="00F8072F"/>
    <w:rsid w:val="00F80B92"/>
    <w:rsid w:val="00F81FC8"/>
    <w:rsid w:val="00F82432"/>
    <w:rsid w:val="00F82F54"/>
    <w:rsid w:val="00F82FFC"/>
    <w:rsid w:val="00F8372A"/>
    <w:rsid w:val="00F848D4"/>
    <w:rsid w:val="00F85721"/>
    <w:rsid w:val="00F86D04"/>
    <w:rsid w:val="00F8710B"/>
    <w:rsid w:val="00F9185D"/>
    <w:rsid w:val="00F9422A"/>
    <w:rsid w:val="00F96262"/>
    <w:rsid w:val="00F97388"/>
    <w:rsid w:val="00F97A70"/>
    <w:rsid w:val="00FA09A3"/>
    <w:rsid w:val="00FA3EC3"/>
    <w:rsid w:val="00FA4A80"/>
    <w:rsid w:val="00FA56F7"/>
    <w:rsid w:val="00FA6745"/>
    <w:rsid w:val="00FB10F5"/>
    <w:rsid w:val="00FB1CA1"/>
    <w:rsid w:val="00FB2B71"/>
    <w:rsid w:val="00FB3D11"/>
    <w:rsid w:val="00FB3FDB"/>
    <w:rsid w:val="00FB7445"/>
    <w:rsid w:val="00FC00E8"/>
    <w:rsid w:val="00FC091C"/>
    <w:rsid w:val="00FC3AEA"/>
    <w:rsid w:val="00FC5059"/>
    <w:rsid w:val="00FC62D7"/>
    <w:rsid w:val="00FC71C2"/>
    <w:rsid w:val="00FC7F08"/>
    <w:rsid w:val="00FD0421"/>
    <w:rsid w:val="00FD19C9"/>
    <w:rsid w:val="00FD3B04"/>
    <w:rsid w:val="00FD4402"/>
    <w:rsid w:val="00FD552A"/>
    <w:rsid w:val="00FD678C"/>
    <w:rsid w:val="00FD7BE6"/>
    <w:rsid w:val="00FE0358"/>
    <w:rsid w:val="00FE124D"/>
    <w:rsid w:val="00FE14C2"/>
    <w:rsid w:val="00FE1D07"/>
    <w:rsid w:val="00FE1D3F"/>
    <w:rsid w:val="00FE3240"/>
    <w:rsid w:val="00FE397B"/>
    <w:rsid w:val="00FE3AD6"/>
    <w:rsid w:val="00FE51BE"/>
    <w:rsid w:val="00FE5994"/>
    <w:rsid w:val="00FE6583"/>
    <w:rsid w:val="00FE6C3D"/>
    <w:rsid w:val="00FE752E"/>
    <w:rsid w:val="00FF0E7B"/>
    <w:rsid w:val="00FF3248"/>
    <w:rsid w:val="00FF49B8"/>
    <w:rsid w:val="00FF5550"/>
    <w:rsid w:val="00FF5D0A"/>
    <w:rsid w:val="00FF6BB0"/>
    <w:rsid w:val="00FF703A"/>
    <w:rsid w:val="00FF7E2E"/>
    <w:rsid w:val="00FF7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5AE316"/>
  <w15:docId w15:val="{9AF7AD20-A6E1-433F-8CFC-7414C714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BA3"/>
    <w:pPr>
      <w:spacing w:after="0" w:line="480" w:lineRule="auto"/>
      <w:jc w:val="both"/>
    </w:pPr>
  </w:style>
  <w:style w:type="paragraph" w:styleId="Heading1">
    <w:name w:val="heading 1"/>
    <w:aliases w:val="E3 Heading 1"/>
    <w:basedOn w:val="Normal"/>
    <w:link w:val="Heading1Char"/>
    <w:uiPriority w:val="99"/>
    <w:qFormat/>
    <w:rsid w:val="004A4DD3"/>
    <w:pPr>
      <w:widowControl w:val="0"/>
      <w:autoSpaceDE w:val="0"/>
      <w:autoSpaceDN w:val="0"/>
      <w:spacing w:before="1" w:line="240" w:lineRule="auto"/>
      <w:ind w:left="159"/>
      <w:jc w:val="left"/>
      <w:outlineLvl w:val="0"/>
    </w:pPr>
    <w:rPr>
      <w:rFonts w:eastAsia="Times New Roman"/>
      <w:b/>
      <w:bCs/>
    </w:rPr>
  </w:style>
  <w:style w:type="paragraph" w:styleId="Heading2">
    <w:name w:val="heading 2"/>
    <w:basedOn w:val="Normal"/>
    <w:next w:val="Normal"/>
    <w:link w:val="Heading2Char"/>
    <w:uiPriority w:val="99"/>
    <w:unhideWhenUsed/>
    <w:qFormat/>
    <w:rsid w:val="00EE7BED"/>
    <w:pPr>
      <w:keepNext/>
      <w:keepLines/>
      <w:spacing w:line="240" w:lineRule="auto"/>
      <w:outlineLvl w:val="1"/>
    </w:pPr>
    <w:rPr>
      <w:rFonts w:eastAsiaTheme="majorEastAsia" w:cstheme="majorBidi"/>
      <w:b/>
      <w:color w:val="auto"/>
      <w:szCs w:val="26"/>
    </w:rPr>
  </w:style>
  <w:style w:type="paragraph" w:styleId="Heading3">
    <w:name w:val="heading 3"/>
    <w:basedOn w:val="Normal"/>
    <w:next w:val="Normal"/>
    <w:link w:val="Heading3Char"/>
    <w:uiPriority w:val="99"/>
    <w:unhideWhenUsed/>
    <w:qFormat/>
    <w:rsid w:val="00DD37BA"/>
    <w:pPr>
      <w:keepNext/>
      <w:keepLines/>
      <w:numPr>
        <w:numId w:val="32"/>
      </w:numPr>
      <w:spacing w:line="240" w:lineRule="auto"/>
      <w:outlineLvl w:val="2"/>
    </w:pPr>
    <w:rPr>
      <w:rFonts w:eastAsiaTheme="majorEastAsia" w:cstheme="majorBidi"/>
      <w:b/>
      <w:color w:val="auto"/>
    </w:rPr>
  </w:style>
  <w:style w:type="paragraph" w:styleId="Heading4">
    <w:name w:val="heading 4"/>
    <w:basedOn w:val="Normal"/>
    <w:next w:val="Normal"/>
    <w:link w:val="Heading4Char"/>
    <w:uiPriority w:val="99"/>
    <w:unhideWhenUsed/>
    <w:qFormat/>
    <w:rsid w:val="005054E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BodyText"/>
    <w:link w:val="Heading5Char"/>
    <w:uiPriority w:val="99"/>
    <w:qFormat/>
    <w:rsid w:val="00AE601D"/>
    <w:pPr>
      <w:spacing w:before="240" w:after="60" w:line="440" w:lineRule="exact"/>
      <w:outlineLvl w:val="4"/>
    </w:pPr>
    <w:rPr>
      <w:rFonts w:ascii="Calibri" w:eastAsia="Verdana" w:hAnsi="Calibri"/>
      <w:b/>
      <w:bCs/>
      <w:iCs/>
      <w:color w:val="auto"/>
      <w:spacing w:val="-2"/>
      <w:sz w:val="22"/>
      <w:szCs w:val="26"/>
    </w:rPr>
  </w:style>
  <w:style w:type="paragraph" w:styleId="Heading6">
    <w:name w:val="heading 6"/>
    <w:basedOn w:val="Normal"/>
    <w:next w:val="Normal"/>
    <w:link w:val="Heading6Char"/>
    <w:semiHidden/>
    <w:unhideWhenUsed/>
    <w:rsid w:val="00AE601D"/>
    <w:pPr>
      <w:spacing w:before="240" w:after="60" w:line="440" w:lineRule="exact"/>
      <w:ind w:left="1152" w:hanging="1152"/>
      <w:outlineLvl w:val="5"/>
    </w:pPr>
    <w:rPr>
      <w:rFonts w:asciiTheme="minorHAnsi" w:eastAsiaTheme="minorEastAsia" w:hAnsiTheme="minorHAnsi" w:cstheme="minorBidi"/>
      <w:b/>
      <w:bCs/>
      <w:color w:val="auto"/>
      <w:spacing w:val="-2"/>
      <w:sz w:val="22"/>
      <w:szCs w:val="22"/>
    </w:rPr>
  </w:style>
  <w:style w:type="paragraph" w:styleId="Heading7">
    <w:name w:val="heading 7"/>
    <w:basedOn w:val="Normal"/>
    <w:next w:val="Normal"/>
    <w:link w:val="Heading7Char"/>
    <w:semiHidden/>
    <w:unhideWhenUsed/>
    <w:rsid w:val="00AE601D"/>
    <w:pPr>
      <w:spacing w:before="240" w:after="60" w:line="440" w:lineRule="exact"/>
      <w:ind w:left="1296" w:hanging="1296"/>
      <w:outlineLvl w:val="6"/>
    </w:pPr>
    <w:rPr>
      <w:rFonts w:asciiTheme="minorHAnsi" w:eastAsiaTheme="minorEastAsia" w:hAnsiTheme="minorHAnsi" w:cstheme="minorBidi"/>
      <w:color w:val="auto"/>
      <w:spacing w:val="-2"/>
    </w:rPr>
  </w:style>
  <w:style w:type="paragraph" w:styleId="Heading8">
    <w:name w:val="heading 8"/>
    <w:basedOn w:val="Normal"/>
    <w:next w:val="Normal"/>
    <w:link w:val="Heading8Char"/>
    <w:semiHidden/>
    <w:unhideWhenUsed/>
    <w:rsid w:val="00AE601D"/>
    <w:pPr>
      <w:spacing w:before="240" w:after="60" w:line="440" w:lineRule="exact"/>
      <w:ind w:left="1440" w:hanging="1440"/>
      <w:outlineLvl w:val="7"/>
    </w:pPr>
    <w:rPr>
      <w:rFonts w:asciiTheme="minorHAnsi" w:eastAsiaTheme="minorEastAsia" w:hAnsiTheme="minorHAnsi" w:cstheme="minorBidi"/>
      <w:i/>
      <w:iCs/>
      <w:color w:val="auto"/>
      <w:spacing w:val="-2"/>
    </w:rPr>
  </w:style>
  <w:style w:type="paragraph" w:styleId="Heading9">
    <w:name w:val="heading 9"/>
    <w:basedOn w:val="Normal"/>
    <w:next w:val="Normal"/>
    <w:link w:val="Heading9Char"/>
    <w:semiHidden/>
    <w:unhideWhenUsed/>
    <w:qFormat/>
    <w:rsid w:val="00AE601D"/>
    <w:pPr>
      <w:spacing w:before="240" w:after="60" w:line="440" w:lineRule="exact"/>
      <w:ind w:left="1584" w:hanging="1584"/>
      <w:outlineLvl w:val="8"/>
    </w:pPr>
    <w:rPr>
      <w:rFonts w:asciiTheme="majorHAnsi" w:eastAsiaTheme="majorEastAsia" w:hAnsiTheme="majorHAnsi" w:cstheme="majorBidi"/>
      <w:color w:val="auto"/>
      <w:spacing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4BA3"/>
    <w:rPr>
      <w:color w:val="0563C1" w:themeColor="hyperlink"/>
      <w:u w:val="single"/>
    </w:rPr>
  </w:style>
  <w:style w:type="character" w:styleId="CommentReference">
    <w:name w:val="annotation reference"/>
    <w:basedOn w:val="DefaultParagraphFont"/>
    <w:uiPriority w:val="99"/>
    <w:semiHidden/>
    <w:unhideWhenUsed/>
    <w:rsid w:val="00CD4BA3"/>
    <w:rPr>
      <w:sz w:val="16"/>
      <w:szCs w:val="16"/>
    </w:rPr>
  </w:style>
  <w:style w:type="paragraph" w:styleId="CommentText">
    <w:name w:val="annotation text"/>
    <w:basedOn w:val="Normal"/>
    <w:link w:val="CommentTextChar"/>
    <w:uiPriority w:val="99"/>
    <w:unhideWhenUsed/>
    <w:rsid w:val="00CD4BA3"/>
    <w:pPr>
      <w:spacing w:line="240" w:lineRule="auto"/>
    </w:pPr>
    <w:rPr>
      <w:sz w:val="20"/>
      <w:szCs w:val="20"/>
    </w:rPr>
  </w:style>
  <w:style w:type="character" w:customStyle="1" w:styleId="CommentTextChar">
    <w:name w:val="Comment Text Char"/>
    <w:basedOn w:val="DefaultParagraphFont"/>
    <w:link w:val="CommentText"/>
    <w:uiPriority w:val="99"/>
    <w:rsid w:val="00CD4BA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D4BA3"/>
    <w:rPr>
      <w:b/>
      <w:bCs/>
    </w:rPr>
  </w:style>
  <w:style w:type="character" w:customStyle="1" w:styleId="CommentSubjectChar">
    <w:name w:val="Comment Subject Char"/>
    <w:basedOn w:val="CommentTextChar"/>
    <w:link w:val="CommentSubject"/>
    <w:uiPriority w:val="99"/>
    <w:semiHidden/>
    <w:rsid w:val="00CD4BA3"/>
    <w:rPr>
      <w:rFonts w:ascii="Times New Roman" w:hAnsi="Times New Roman"/>
      <w:b/>
      <w:bCs/>
      <w:sz w:val="20"/>
      <w:szCs w:val="20"/>
    </w:rPr>
  </w:style>
  <w:style w:type="paragraph" w:styleId="BalloonText">
    <w:name w:val="Balloon Text"/>
    <w:basedOn w:val="Normal"/>
    <w:link w:val="BalloonTextChar"/>
    <w:uiPriority w:val="99"/>
    <w:semiHidden/>
    <w:unhideWhenUsed/>
    <w:rsid w:val="00CD4B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BA3"/>
    <w:rPr>
      <w:rFonts w:ascii="Segoe UI" w:hAnsi="Segoe UI" w:cs="Segoe UI"/>
      <w:sz w:val="18"/>
      <w:szCs w:val="18"/>
    </w:rPr>
  </w:style>
  <w:style w:type="paragraph" w:styleId="ListParagraph">
    <w:name w:val="List Paragraph"/>
    <w:basedOn w:val="Normal"/>
    <w:uiPriority w:val="34"/>
    <w:qFormat/>
    <w:rsid w:val="00992E5D"/>
    <w:pPr>
      <w:spacing w:after="160" w:line="259" w:lineRule="auto"/>
      <w:ind w:left="720"/>
      <w:contextualSpacing/>
      <w:jc w:val="left"/>
    </w:pPr>
    <w:rPr>
      <w:rFonts w:asciiTheme="minorHAnsi" w:hAnsiTheme="minorHAnsi"/>
      <w:sz w:val="22"/>
    </w:rPr>
  </w:style>
  <w:style w:type="paragraph" w:styleId="Caption">
    <w:name w:val="caption"/>
    <w:basedOn w:val="Normal"/>
    <w:next w:val="Normal"/>
    <w:qFormat/>
    <w:rsid w:val="002E09F5"/>
    <w:pPr>
      <w:spacing w:after="120" w:line="240" w:lineRule="auto"/>
      <w:jc w:val="left"/>
    </w:pPr>
    <w:rPr>
      <w:rFonts w:eastAsia="Times New Roman"/>
      <w:b/>
    </w:rPr>
  </w:style>
  <w:style w:type="character" w:customStyle="1" w:styleId="Heading1Char">
    <w:name w:val="Heading 1 Char"/>
    <w:aliases w:val="E3 Heading 1 Char"/>
    <w:basedOn w:val="DefaultParagraphFont"/>
    <w:link w:val="Heading1"/>
    <w:uiPriority w:val="99"/>
    <w:rsid w:val="004A4DD3"/>
    <w:rPr>
      <w:rFonts w:ascii="Times New Roman" w:eastAsia="Times New Roman" w:hAnsi="Times New Roman" w:cs="Times New Roman"/>
      <w:b/>
      <w:bCs/>
      <w:sz w:val="24"/>
      <w:szCs w:val="24"/>
    </w:rPr>
  </w:style>
  <w:style w:type="paragraph" w:styleId="BodyText">
    <w:name w:val="Body Text"/>
    <w:aliases w:val="E3 Body Text"/>
    <w:basedOn w:val="Normal"/>
    <w:link w:val="BodyTextChar"/>
    <w:uiPriority w:val="99"/>
    <w:qFormat/>
    <w:rsid w:val="004A4DD3"/>
    <w:pPr>
      <w:widowControl w:val="0"/>
      <w:autoSpaceDE w:val="0"/>
      <w:autoSpaceDN w:val="0"/>
      <w:spacing w:line="240" w:lineRule="auto"/>
      <w:jc w:val="left"/>
    </w:pPr>
    <w:rPr>
      <w:rFonts w:eastAsia="Times New Roman"/>
    </w:rPr>
  </w:style>
  <w:style w:type="character" w:customStyle="1" w:styleId="BodyTextChar">
    <w:name w:val="Body Text Char"/>
    <w:aliases w:val="E3 Body Text Char"/>
    <w:basedOn w:val="DefaultParagraphFont"/>
    <w:link w:val="BodyText"/>
    <w:uiPriority w:val="99"/>
    <w:rsid w:val="004A4DD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A4DD3"/>
    <w:pPr>
      <w:widowControl w:val="0"/>
      <w:autoSpaceDE w:val="0"/>
      <w:autoSpaceDN w:val="0"/>
      <w:spacing w:line="240" w:lineRule="auto"/>
      <w:jc w:val="center"/>
    </w:pPr>
    <w:rPr>
      <w:rFonts w:eastAsia="Times New Roman"/>
      <w:sz w:val="22"/>
    </w:rPr>
  </w:style>
  <w:style w:type="character" w:customStyle="1" w:styleId="Heading3Char">
    <w:name w:val="Heading 3 Char"/>
    <w:basedOn w:val="DefaultParagraphFont"/>
    <w:link w:val="Heading3"/>
    <w:uiPriority w:val="99"/>
    <w:rsid w:val="00DD37BA"/>
    <w:rPr>
      <w:rFonts w:eastAsiaTheme="majorEastAsia" w:cstheme="majorBidi"/>
      <w:b/>
      <w:color w:val="auto"/>
    </w:rPr>
  </w:style>
  <w:style w:type="paragraph" w:styleId="BodyText2">
    <w:name w:val="Body Text 2"/>
    <w:basedOn w:val="Normal"/>
    <w:link w:val="BodyText2Char"/>
    <w:uiPriority w:val="99"/>
    <w:semiHidden/>
    <w:unhideWhenUsed/>
    <w:rsid w:val="005C1A68"/>
    <w:pPr>
      <w:spacing w:after="120"/>
    </w:pPr>
  </w:style>
  <w:style w:type="character" w:customStyle="1" w:styleId="BodyText2Char">
    <w:name w:val="Body Text 2 Char"/>
    <w:basedOn w:val="DefaultParagraphFont"/>
    <w:link w:val="BodyText2"/>
    <w:uiPriority w:val="99"/>
    <w:semiHidden/>
    <w:rsid w:val="005C1A68"/>
    <w:rPr>
      <w:rFonts w:ascii="Times New Roman" w:hAnsi="Times New Roman"/>
      <w:sz w:val="24"/>
    </w:rPr>
  </w:style>
  <w:style w:type="paragraph" w:styleId="FootnoteText">
    <w:name w:val="footnote text"/>
    <w:aliases w:val="E3 Footnote Text"/>
    <w:basedOn w:val="Normal"/>
    <w:link w:val="FootnoteTextChar"/>
    <w:uiPriority w:val="99"/>
    <w:semiHidden/>
    <w:unhideWhenUsed/>
    <w:qFormat/>
    <w:rsid w:val="005E170D"/>
    <w:pPr>
      <w:spacing w:line="240" w:lineRule="auto"/>
    </w:pPr>
    <w:rPr>
      <w:sz w:val="20"/>
      <w:szCs w:val="20"/>
    </w:rPr>
  </w:style>
  <w:style w:type="character" w:customStyle="1" w:styleId="FootnoteTextChar">
    <w:name w:val="Footnote Text Char"/>
    <w:aliases w:val="E3 Footnote Text Char"/>
    <w:basedOn w:val="DefaultParagraphFont"/>
    <w:link w:val="FootnoteText"/>
    <w:uiPriority w:val="99"/>
    <w:semiHidden/>
    <w:rsid w:val="005E170D"/>
    <w:rPr>
      <w:rFonts w:ascii="Times New Roman" w:hAnsi="Times New Roman"/>
      <w:sz w:val="20"/>
      <w:szCs w:val="20"/>
    </w:rPr>
  </w:style>
  <w:style w:type="character" w:styleId="FootnoteReference">
    <w:name w:val="footnote reference"/>
    <w:basedOn w:val="DefaultParagraphFont"/>
    <w:semiHidden/>
    <w:unhideWhenUsed/>
    <w:rsid w:val="005E170D"/>
    <w:rPr>
      <w:vertAlign w:val="superscript"/>
    </w:rPr>
  </w:style>
  <w:style w:type="table" w:styleId="TableGrid">
    <w:name w:val="Table Grid"/>
    <w:basedOn w:val="TableNormal"/>
    <w:uiPriority w:val="99"/>
    <w:rsid w:val="00ED5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ED54B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ED54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39"/>
    <w:rsid w:val="00063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6173"/>
    <w:pPr>
      <w:tabs>
        <w:tab w:val="center" w:pos="4680"/>
        <w:tab w:val="right" w:pos="9360"/>
      </w:tabs>
      <w:spacing w:line="240" w:lineRule="auto"/>
    </w:pPr>
  </w:style>
  <w:style w:type="character" w:customStyle="1" w:styleId="HeaderChar">
    <w:name w:val="Header Char"/>
    <w:basedOn w:val="DefaultParagraphFont"/>
    <w:link w:val="Header"/>
    <w:uiPriority w:val="99"/>
    <w:rsid w:val="004E6173"/>
    <w:rPr>
      <w:rFonts w:ascii="Times New Roman" w:hAnsi="Times New Roman"/>
      <w:sz w:val="24"/>
    </w:rPr>
  </w:style>
  <w:style w:type="paragraph" w:styleId="Footer">
    <w:name w:val="footer"/>
    <w:basedOn w:val="Normal"/>
    <w:link w:val="FooterChar"/>
    <w:uiPriority w:val="99"/>
    <w:unhideWhenUsed/>
    <w:qFormat/>
    <w:rsid w:val="004E6173"/>
    <w:pPr>
      <w:tabs>
        <w:tab w:val="center" w:pos="4680"/>
        <w:tab w:val="right" w:pos="9360"/>
      </w:tabs>
      <w:spacing w:line="240" w:lineRule="auto"/>
    </w:pPr>
  </w:style>
  <w:style w:type="character" w:customStyle="1" w:styleId="FooterChar">
    <w:name w:val="Footer Char"/>
    <w:basedOn w:val="DefaultParagraphFont"/>
    <w:link w:val="Footer"/>
    <w:uiPriority w:val="99"/>
    <w:rsid w:val="004E6173"/>
    <w:rPr>
      <w:rFonts w:ascii="Times New Roman" w:hAnsi="Times New Roman"/>
      <w:sz w:val="24"/>
    </w:rPr>
  </w:style>
  <w:style w:type="paragraph" w:styleId="TOC1">
    <w:name w:val="toc 1"/>
    <w:basedOn w:val="Normal"/>
    <w:next w:val="Normal"/>
    <w:autoRedefine/>
    <w:uiPriority w:val="39"/>
    <w:unhideWhenUsed/>
    <w:qFormat/>
    <w:rsid w:val="001E34E4"/>
    <w:pPr>
      <w:tabs>
        <w:tab w:val="left" w:pos="720"/>
        <w:tab w:val="right" w:leader="dot" w:pos="9350"/>
      </w:tabs>
      <w:spacing w:line="240" w:lineRule="auto"/>
      <w:ind w:left="720" w:right="360" w:hanging="720"/>
      <w:jc w:val="left"/>
    </w:pPr>
  </w:style>
  <w:style w:type="paragraph" w:styleId="TOC3">
    <w:name w:val="toc 3"/>
    <w:basedOn w:val="Normal"/>
    <w:next w:val="Normal"/>
    <w:autoRedefine/>
    <w:uiPriority w:val="39"/>
    <w:unhideWhenUsed/>
    <w:qFormat/>
    <w:rsid w:val="001E34E4"/>
    <w:pPr>
      <w:tabs>
        <w:tab w:val="left" w:pos="1710"/>
        <w:tab w:val="right" w:leader="dot" w:pos="9350"/>
      </w:tabs>
      <w:spacing w:line="240" w:lineRule="auto"/>
      <w:ind w:left="1713" w:right="720" w:hanging="446"/>
    </w:pPr>
  </w:style>
  <w:style w:type="character" w:customStyle="1" w:styleId="Heading2Char">
    <w:name w:val="Heading 2 Char"/>
    <w:basedOn w:val="DefaultParagraphFont"/>
    <w:link w:val="Heading2"/>
    <w:uiPriority w:val="99"/>
    <w:rsid w:val="00EE7BED"/>
    <w:rPr>
      <w:rFonts w:eastAsiaTheme="majorEastAsia" w:cstheme="majorBidi"/>
      <w:b/>
      <w:color w:val="auto"/>
      <w:szCs w:val="26"/>
    </w:rPr>
  </w:style>
  <w:style w:type="paragraph" w:styleId="TOC2">
    <w:name w:val="toc 2"/>
    <w:basedOn w:val="Normal"/>
    <w:next w:val="Normal"/>
    <w:autoRedefine/>
    <w:uiPriority w:val="39"/>
    <w:unhideWhenUsed/>
    <w:qFormat/>
    <w:rsid w:val="001E34E4"/>
    <w:pPr>
      <w:tabs>
        <w:tab w:val="left" w:pos="1260"/>
        <w:tab w:val="right" w:leader="dot" w:pos="9350"/>
      </w:tabs>
      <w:spacing w:line="240" w:lineRule="auto"/>
      <w:ind w:left="720"/>
    </w:pPr>
  </w:style>
  <w:style w:type="paragraph" w:styleId="TableofFigures">
    <w:name w:val="table of figures"/>
    <w:basedOn w:val="Normal"/>
    <w:next w:val="Normal"/>
    <w:uiPriority w:val="99"/>
    <w:unhideWhenUsed/>
    <w:rsid w:val="004275C1"/>
    <w:pPr>
      <w:spacing w:line="240" w:lineRule="auto"/>
    </w:pPr>
  </w:style>
  <w:style w:type="paragraph" w:styleId="Revision">
    <w:name w:val="Revision"/>
    <w:hidden/>
    <w:uiPriority w:val="99"/>
    <w:semiHidden/>
    <w:rsid w:val="00360188"/>
    <w:pPr>
      <w:spacing w:after="0" w:line="240" w:lineRule="auto"/>
    </w:pPr>
  </w:style>
  <w:style w:type="numbering" w:customStyle="1" w:styleId="NoList1">
    <w:name w:val="No List1"/>
    <w:next w:val="NoList"/>
    <w:uiPriority w:val="99"/>
    <w:semiHidden/>
    <w:unhideWhenUsed/>
    <w:rsid w:val="000D15A6"/>
  </w:style>
  <w:style w:type="paragraph" w:styleId="TOCHeading">
    <w:name w:val="TOC Heading"/>
    <w:basedOn w:val="Heading1"/>
    <w:next w:val="Normal"/>
    <w:uiPriority w:val="99"/>
    <w:unhideWhenUsed/>
    <w:qFormat/>
    <w:rsid w:val="000976D9"/>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0976D9"/>
    <w:pPr>
      <w:spacing w:after="100" w:line="276" w:lineRule="auto"/>
      <w:ind w:left="660"/>
      <w:jc w:val="left"/>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0976D9"/>
    <w:pPr>
      <w:spacing w:after="100" w:line="276" w:lineRule="auto"/>
      <w:ind w:left="880"/>
      <w:jc w:val="left"/>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0976D9"/>
    <w:pPr>
      <w:spacing w:after="100" w:line="276" w:lineRule="auto"/>
      <w:ind w:left="110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0976D9"/>
    <w:pPr>
      <w:spacing w:after="100" w:line="276" w:lineRule="auto"/>
      <w:ind w:left="132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0976D9"/>
    <w:pPr>
      <w:spacing w:after="100" w:line="276" w:lineRule="auto"/>
      <w:ind w:left="154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0976D9"/>
    <w:pPr>
      <w:spacing w:after="100" w:line="276" w:lineRule="auto"/>
      <w:ind w:left="1760"/>
      <w:jc w:val="left"/>
    </w:pPr>
    <w:rPr>
      <w:rFonts w:asciiTheme="minorHAnsi" w:eastAsiaTheme="minorEastAsia" w:hAnsiTheme="minorHAnsi" w:cstheme="minorBidi"/>
      <w:color w:val="auto"/>
      <w:sz w:val="22"/>
      <w:szCs w:val="22"/>
    </w:rPr>
  </w:style>
  <w:style w:type="numbering" w:customStyle="1" w:styleId="NoList2">
    <w:name w:val="No List2"/>
    <w:next w:val="NoList"/>
    <w:uiPriority w:val="99"/>
    <w:semiHidden/>
    <w:unhideWhenUsed/>
    <w:rsid w:val="00437999"/>
  </w:style>
  <w:style w:type="table" w:customStyle="1" w:styleId="TableGrid2">
    <w:name w:val="Table Grid2"/>
    <w:basedOn w:val="TableNormal"/>
    <w:next w:val="TableGrid"/>
    <w:uiPriority w:val="59"/>
    <w:rsid w:val="00437999"/>
    <w:pPr>
      <w:spacing w:after="0" w:line="240" w:lineRule="auto"/>
    </w:pPr>
    <w:rPr>
      <w:rFonts w:ascii="Calibri" w:eastAsia="Times New Roman"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C6313"/>
    <w:pPr>
      <w:spacing w:after="0" w:line="240" w:lineRule="auto"/>
    </w:pPr>
    <w:rPr>
      <w:rFonts w:ascii="Calibri" w:eastAsia="Times New Roman"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C6313"/>
    <w:pPr>
      <w:spacing w:after="0" w:line="240" w:lineRule="auto"/>
    </w:pPr>
    <w:rPr>
      <w:rFonts w:ascii="Calibri" w:eastAsia="Times New Roman"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5054E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9"/>
    <w:rsid w:val="00AE601D"/>
    <w:rPr>
      <w:rFonts w:ascii="Calibri" w:eastAsia="Verdana" w:hAnsi="Calibri"/>
      <w:b/>
      <w:bCs/>
      <w:iCs/>
      <w:color w:val="auto"/>
      <w:spacing w:val="-2"/>
      <w:sz w:val="22"/>
      <w:szCs w:val="26"/>
    </w:rPr>
  </w:style>
  <w:style w:type="character" w:customStyle="1" w:styleId="Heading6Char">
    <w:name w:val="Heading 6 Char"/>
    <w:basedOn w:val="DefaultParagraphFont"/>
    <w:link w:val="Heading6"/>
    <w:semiHidden/>
    <w:rsid w:val="00AE601D"/>
    <w:rPr>
      <w:rFonts w:asciiTheme="minorHAnsi" w:eastAsiaTheme="minorEastAsia" w:hAnsiTheme="minorHAnsi" w:cstheme="minorBidi"/>
      <w:b/>
      <w:bCs/>
      <w:color w:val="auto"/>
      <w:spacing w:val="-2"/>
      <w:sz w:val="22"/>
      <w:szCs w:val="22"/>
    </w:rPr>
  </w:style>
  <w:style w:type="character" w:customStyle="1" w:styleId="Heading7Char">
    <w:name w:val="Heading 7 Char"/>
    <w:basedOn w:val="DefaultParagraphFont"/>
    <w:link w:val="Heading7"/>
    <w:semiHidden/>
    <w:rsid w:val="00AE601D"/>
    <w:rPr>
      <w:rFonts w:asciiTheme="minorHAnsi" w:eastAsiaTheme="minorEastAsia" w:hAnsiTheme="minorHAnsi" w:cstheme="minorBidi"/>
      <w:color w:val="auto"/>
      <w:spacing w:val="-2"/>
    </w:rPr>
  </w:style>
  <w:style w:type="character" w:customStyle="1" w:styleId="Heading8Char">
    <w:name w:val="Heading 8 Char"/>
    <w:basedOn w:val="DefaultParagraphFont"/>
    <w:link w:val="Heading8"/>
    <w:semiHidden/>
    <w:rsid w:val="00AE601D"/>
    <w:rPr>
      <w:rFonts w:asciiTheme="minorHAnsi" w:eastAsiaTheme="minorEastAsia" w:hAnsiTheme="minorHAnsi" w:cstheme="minorBidi"/>
      <w:i/>
      <w:iCs/>
      <w:color w:val="auto"/>
      <w:spacing w:val="-2"/>
    </w:rPr>
  </w:style>
  <w:style w:type="character" w:customStyle="1" w:styleId="Heading9Char">
    <w:name w:val="Heading 9 Char"/>
    <w:basedOn w:val="DefaultParagraphFont"/>
    <w:link w:val="Heading9"/>
    <w:semiHidden/>
    <w:rsid w:val="00AE601D"/>
    <w:rPr>
      <w:rFonts w:asciiTheme="majorHAnsi" w:eastAsiaTheme="majorEastAsia" w:hAnsiTheme="majorHAnsi" w:cstheme="majorBidi"/>
      <w:color w:val="auto"/>
      <w:spacing w:val="-2"/>
      <w:sz w:val="22"/>
      <w:szCs w:val="22"/>
    </w:rPr>
  </w:style>
  <w:style w:type="paragraph" w:styleId="Title">
    <w:name w:val="Title"/>
    <w:basedOn w:val="Normal"/>
    <w:next w:val="Normal"/>
    <w:link w:val="TitleChar"/>
    <w:uiPriority w:val="99"/>
    <w:rsid w:val="00AE601D"/>
    <w:pPr>
      <w:spacing w:line="680" w:lineRule="exact"/>
      <w:contextualSpacing/>
    </w:pPr>
    <w:rPr>
      <w:rFonts w:ascii="Calibri" w:eastAsia="Times New Roman" w:hAnsi="Calibri"/>
      <w:color w:val="FFFFFF"/>
      <w:spacing w:val="-20"/>
      <w:kern w:val="28"/>
      <w:sz w:val="60"/>
      <w:szCs w:val="52"/>
    </w:rPr>
  </w:style>
  <w:style w:type="character" w:customStyle="1" w:styleId="TitleChar">
    <w:name w:val="Title Char"/>
    <w:basedOn w:val="DefaultParagraphFont"/>
    <w:link w:val="Title"/>
    <w:uiPriority w:val="99"/>
    <w:rsid w:val="00AE601D"/>
    <w:rPr>
      <w:rFonts w:ascii="Calibri" w:eastAsia="Times New Roman" w:hAnsi="Calibri"/>
      <w:color w:val="FFFFFF"/>
      <w:spacing w:val="-20"/>
      <w:kern w:val="28"/>
      <w:sz w:val="60"/>
      <w:szCs w:val="52"/>
    </w:rPr>
  </w:style>
  <w:style w:type="paragraph" w:styleId="NormalWeb">
    <w:name w:val="Normal (Web)"/>
    <w:basedOn w:val="Normal"/>
    <w:uiPriority w:val="99"/>
    <w:semiHidden/>
    <w:rsid w:val="00AE601D"/>
    <w:pPr>
      <w:spacing w:after="210" w:line="210" w:lineRule="atLeast"/>
    </w:pPr>
    <w:rPr>
      <w:rFonts w:eastAsia="Times New Roman"/>
      <w:color w:val="auto"/>
      <w:spacing w:val="-2"/>
      <w:sz w:val="17"/>
      <w:szCs w:val="17"/>
    </w:rPr>
  </w:style>
  <w:style w:type="paragraph" w:customStyle="1" w:styleId="CopyrightInformation">
    <w:name w:val="Copyright Information"/>
    <w:basedOn w:val="Normal"/>
    <w:link w:val="CopyrightInformationChar"/>
    <w:uiPriority w:val="99"/>
    <w:rsid w:val="00AE601D"/>
    <w:pPr>
      <w:spacing w:line="320" w:lineRule="exact"/>
    </w:pPr>
    <w:rPr>
      <w:rFonts w:ascii="Calibri" w:eastAsia="Verdana" w:hAnsi="Calibri"/>
      <w:color w:val="auto"/>
      <w:spacing w:val="-2"/>
      <w:sz w:val="20"/>
      <w:szCs w:val="20"/>
    </w:rPr>
  </w:style>
  <w:style w:type="paragraph" w:styleId="DocumentMap">
    <w:name w:val="Document Map"/>
    <w:basedOn w:val="Normal"/>
    <w:link w:val="DocumentMapChar"/>
    <w:uiPriority w:val="99"/>
    <w:semiHidden/>
    <w:rsid w:val="00AE601D"/>
    <w:pPr>
      <w:spacing w:line="240" w:lineRule="auto"/>
    </w:pPr>
    <w:rPr>
      <w:rFonts w:ascii="Tahoma" w:eastAsia="Verdana" w:hAnsi="Tahoma" w:cs="Tahoma"/>
      <w:color w:val="auto"/>
      <w:spacing w:val="-2"/>
      <w:sz w:val="16"/>
      <w:szCs w:val="16"/>
    </w:rPr>
  </w:style>
  <w:style w:type="character" w:customStyle="1" w:styleId="DocumentMapChar">
    <w:name w:val="Document Map Char"/>
    <w:basedOn w:val="DefaultParagraphFont"/>
    <w:link w:val="DocumentMap"/>
    <w:uiPriority w:val="99"/>
    <w:semiHidden/>
    <w:rsid w:val="00AE601D"/>
    <w:rPr>
      <w:rFonts w:ascii="Tahoma" w:eastAsia="Verdana" w:hAnsi="Tahoma" w:cs="Tahoma"/>
      <w:color w:val="auto"/>
      <w:spacing w:val="-2"/>
      <w:sz w:val="16"/>
      <w:szCs w:val="16"/>
    </w:rPr>
  </w:style>
  <w:style w:type="paragraph" w:styleId="Subtitle">
    <w:name w:val="Subtitle"/>
    <w:basedOn w:val="Normal"/>
    <w:next w:val="Normal"/>
    <w:link w:val="SubtitleChar"/>
    <w:uiPriority w:val="99"/>
    <w:rsid w:val="00AE601D"/>
    <w:pPr>
      <w:numPr>
        <w:ilvl w:val="1"/>
      </w:numPr>
      <w:spacing w:after="300" w:line="440" w:lineRule="exact"/>
    </w:pPr>
    <w:rPr>
      <w:rFonts w:ascii="Calibri" w:eastAsia="Times New Roman" w:hAnsi="Calibri"/>
      <w:iCs/>
      <w:color w:val="FFFFFF"/>
      <w:spacing w:val="-20"/>
      <w:sz w:val="44"/>
    </w:rPr>
  </w:style>
  <w:style w:type="character" w:customStyle="1" w:styleId="SubtitleChar">
    <w:name w:val="Subtitle Char"/>
    <w:basedOn w:val="DefaultParagraphFont"/>
    <w:link w:val="Subtitle"/>
    <w:uiPriority w:val="99"/>
    <w:rsid w:val="00AE601D"/>
    <w:rPr>
      <w:rFonts w:ascii="Calibri" w:eastAsia="Times New Roman" w:hAnsi="Calibri"/>
      <w:iCs/>
      <w:color w:val="FFFFFF"/>
      <w:spacing w:val="-20"/>
      <w:sz w:val="44"/>
    </w:rPr>
  </w:style>
  <w:style w:type="character" w:customStyle="1" w:styleId="CopyrightInformationChar">
    <w:name w:val="Copyright Information Char"/>
    <w:basedOn w:val="DefaultParagraphFont"/>
    <w:link w:val="CopyrightInformation"/>
    <w:uiPriority w:val="99"/>
    <w:locked/>
    <w:rsid w:val="00AE601D"/>
    <w:rPr>
      <w:rFonts w:ascii="Calibri" w:eastAsia="Verdana" w:hAnsi="Calibri"/>
      <w:color w:val="auto"/>
      <w:spacing w:val="-2"/>
      <w:sz w:val="20"/>
      <w:szCs w:val="20"/>
    </w:rPr>
  </w:style>
  <w:style w:type="paragraph" w:styleId="NoSpacing">
    <w:name w:val="No Spacing"/>
    <w:link w:val="NoSpacingChar"/>
    <w:uiPriority w:val="99"/>
    <w:rsid w:val="00AE601D"/>
    <w:pPr>
      <w:spacing w:after="0" w:line="240" w:lineRule="auto"/>
    </w:pPr>
    <w:rPr>
      <w:rFonts w:ascii="Verdana" w:eastAsia="Times New Roman" w:hAnsi="Verdana"/>
      <w:color w:val="auto"/>
      <w:sz w:val="22"/>
      <w:szCs w:val="22"/>
    </w:rPr>
  </w:style>
  <w:style w:type="character" w:customStyle="1" w:styleId="NoSpacingChar">
    <w:name w:val="No Spacing Char"/>
    <w:basedOn w:val="DefaultParagraphFont"/>
    <w:link w:val="NoSpacing"/>
    <w:uiPriority w:val="99"/>
    <w:locked/>
    <w:rsid w:val="00AE601D"/>
    <w:rPr>
      <w:rFonts w:ascii="Verdana" w:eastAsia="Times New Roman" w:hAnsi="Verdana"/>
      <w:color w:val="auto"/>
      <w:sz w:val="22"/>
      <w:szCs w:val="22"/>
    </w:rPr>
  </w:style>
  <w:style w:type="character" w:styleId="FollowedHyperlink">
    <w:name w:val="FollowedHyperlink"/>
    <w:basedOn w:val="DefaultParagraphFont"/>
    <w:uiPriority w:val="99"/>
    <w:semiHidden/>
    <w:rsid w:val="00AE601D"/>
    <w:rPr>
      <w:rFonts w:cs="Times New Roman"/>
      <w:b/>
      <w:color w:val="1B5877"/>
      <w:u w:val="single"/>
    </w:rPr>
  </w:style>
  <w:style w:type="paragraph" w:styleId="Date">
    <w:name w:val="Date"/>
    <w:basedOn w:val="Normal"/>
    <w:next w:val="Normal"/>
    <w:link w:val="DateChar"/>
    <w:uiPriority w:val="99"/>
    <w:rsid w:val="00AE601D"/>
    <w:pPr>
      <w:spacing w:after="300" w:line="440" w:lineRule="exact"/>
      <w:jc w:val="right"/>
    </w:pPr>
    <w:rPr>
      <w:rFonts w:ascii="Calibri" w:eastAsia="Verdana" w:hAnsi="Calibri"/>
      <w:color w:val="FFFFFF"/>
      <w:spacing w:val="-2"/>
      <w:sz w:val="26"/>
      <w:szCs w:val="22"/>
    </w:rPr>
  </w:style>
  <w:style w:type="character" w:customStyle="1" w:styleId="DateChar">
    <w:name w:val="Date Char"/>
    <w:basedOn w:val="DefaultParagraphFont"/>
    <w:link w:val="Date"/>
    <w:uiPriority w:val="99"/>
    <w:rsid w:val="00AE601D"/>
    <w:rPr>
      <w:rFonts w:ascii="Calibri" w:eastAsia="Verdana" w:hAnsi="Calibri"/>
      <w:color w:val="FFFFFF"/>
      <w:spacing w:val="-2"/>
      <w:sz w:val="26"/>
      <w:szCs w:val="22"/>
    </w:rPr>
  </w:style>
  <w:style w:type="paragraph" w:customStyle="1" w:styleId="6312A347DEFA42859851F8C91E0063DE">
    <w:name w:val="6312A347DEFA42859851F8C91E0063DE"/>
    <w:uiPriority w:val="99"/>
    <w:rsid w:val="00AE601D"/>
    <w:pPr>
      <w:spacing w:after="200" w:line="276" w:lineRule="auto"/>
    </w:pPr>
    <w:rPr>
      <w:rFonts w:ascii="Verdana" w:eastAsia="Times New Roman" w:hAnsi="Verdana"/>
      <w:color w:val="auto"/>
      <w:sz w:val="22"/>
      <w:szCs w:val="22"/>
    </w:rPr>
  </w:style>
  <w:style w:type="paragraph" w:customStyle="1" w:styleId="E3Table">
    <w:name w:val="E3 Table"/>
    <w:basedOn w:val="BodyText"/>
    <w:next w:val="BodyText"/>
    <w:uiPriority w:val="99"/>
    <w:rsid w:val="00AE601D"/>
    <w:pPr>
      <w:widowControl/>
      <w:autoSpaceDE/>
      <w:autoSpaceDN/>
      <w:spacing w:before="60" w:after="40"/>
    </w:pPr>
    <w:rPr>
      <w:rFonts w:ascii="Arial" w:hAnsi="Arial"/>
      <w:color w:val="auto"/>
      <w:sz w:val="18"/>
      <w:szCs w:val="18"/>
    </w:rPr>
  </w:style>
  <w:style w:type="paragraph" w:customStyle="1" w:styleId="E3TableCaption">
    <w:name w:val="E3 Table Caption"/>
    <w:basedOn w:val="Caption"/>
    <w:uiPriority w:val="99"/>
    <w:rsid w:val="00AE601D"/>
    <w:pPr>
      <w:keepNext/>
      <w:keepLines/>
      <w:spacing w:after="300"/>
      <w:ind w:left="720" w:hanging="720"/>
    </w:pPr>
    <w:rPr>
      <w:rFonts w:ascii="Calibri" w:eastAsia="Verdana" w:hAnsi="Calibri"/>
      <w:bCs/>
      <w:color w:val="005070"/>
      <w:spacing w:val="-2"/>
      <w:sz w:val="22"/>
      <w:szCs w:val="20"/>
    </w:rPr>
  </w:style>
  <w:style w:type="paragraph" w:customStyle="1" w:styleId="E3Caption">
    <w:name w:val="E3 Caption"/>
    <w:basedOn w:val="Caption"/>
    <w:uiPriority w:val="99"/>
    <w:qFormat/>
    <w:rsid w:val="00AE601D"/>
    <w:pPr>
      <w:keepNext/>
      <w:spacing w:after="300"/>
      <w:ind w:left="720" w:hanging="720"/>
    </w:pPr>
    <w:rPr>
      <w:rFonts w:ascii="Calibri" w:eastAsia="Verdana" w:hAnsi="Calibri"/>
      <w:bCs/>
      <w:color w:val="005070"/>
      <w:spacing w:val="-2"/>
      <w:sz w:val="22"/>
      <w:szCs w:val="20"/>
    </w:rPr>
  </w:style>
  <w:style w:type="character" w:styleId="PageNumber">
    <w:name w:val="page number"/>
    <w:basedOn w:val="DefaultParagraphFont"/>
    <w:uiPriority w:val="99"/>
    <w:rsid w:val="00AE601D"/>
    <w:rPr>
      <w:rFonts w:cs="Times New Roman"/>
    </w:rPr>
  </w:style>
  <w:style w:type="paragraph" w:styleId="ListBullet">
    <w:name w:val="List Bullet"/>
    <w:basedOn w:val="Normal"/>
    <w:uiPriority w:val="99"/>
    <w:semiHidden/>
    <w:unhideWhenUsed/>
    <w:rsid w:val="00AE601D"/>
    <w:pPr>
      <w:numPr>
        <w:numId w:val="103"/>
      </w:numPr>
      <w:spacing w:after="180" w:line="440" w:lineRule="exact"/>
      <w:contextualSpacing/>
    </w:pPr>
    <w:rPr>
      <w:rFonts w:ascii="Calibri" w:eastAsia="Verdana" w:hAnsi="Calibri"/>
      <w:color w:val="auto"/>
      <w:spacing w:val="-2"/>
      <w:sz w:val="22"/>
      <w:szCs w:val="22"/>
    </w:rPr>
  </w:style>
  <w:style w:type="table" w:styleId="LightGrid-Accent5">
    <w:name w:val="Light Grid Accent 5"/>
    <w:basedOn w:val="TableNormal"/>
    <w:uiPriority w:val="62"/>
    <w:rsid w:val="00AE601D"/>
    <w:pPr>
      <w:spacing w:after="0" w:line="240" w:lineRule="auto"/>
    </w:pPr>
    <w:rPr>
      <w:rFonts w:ascii="Verdana" w:eastAsia="Verdana" w:hAnsi="Verdana"/>
      <w:color w:val="auto"/>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1">
    <w:name w:val="Medium Shading 1"/>
    <w:basedOn w:val="TableNormal"/>
    <w:uiPriority w:val="63"/>
    <w:rsid w:val="00AE601D"/>
    <w:pPr>
      <w:spacing w:after="0" w:line="240" w:lineRule="auto"/>
    </w:pPr>
    <w:rPr>
      <w:rFonts w:ascii="Verdana" w:eastAsia="Verdana" w:hAnsi="Verdana"/>
      <w:color w:val="auto"/>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EndnoteReference">
    <w:name w:val="endnote reference"/>
    <w:uiPriority w:val="99"/>
    <w:unhideWhenUsed/>
    <w:rsid w:val="00AE601D"/>
  </w:style>
  <w:style w:type="paragraph" w:styleId="EndnoteText">
    <w:name w:val="endnote text"/>
    <w:basedOn w:val="Normal"/>
    <w:link w:val="EndnoteTextChar"/>
    <w:uiPriority w:val="99"/>
    <w:unhideWhenUsed/>
    <w:rsid w:val="00AE601D"/>
    <w:pPr>
      <w:spacing w:after="300" w:line="440" w:lineRule="exact"/>
    </w:pPr>
    <w:rPr>
      <w:rFonts w:ascii="Calibri" w:eastAsia="Verdana" w:hAnsi="Calibri"/>
      <w:color w:val="auto"/>
      <w:spacing w:val="-2"/>
      <w:sz w:val="20"/>
      <w:szCs w:val="20"/>
    </w:rPr>
  </w:style>
  <w:style w:type="character" w:customStyle="1" w:styleId="EndnoteTextChar">
    <w:name w:val="Endnote Text Char"/>
    <w:basedOn w:val="DefaultParagraphFont"/>
    <w:link w:val="EndnoteText"/>
    <w:uiPriority w:val="99"/>
    <w:rsid w:val="00AE601D"/>
    <w:rPr>
      <w:rFonts w:ascii="Calibri" w:eastAsia="Verdana" w:hAnsi="Calibri"/>
      <w:color w:val="auto"/>
      <w:spacing w:val="-2"/>
      <w:sz w:val="20"/>
      <w:szCs w:val="20"/>
    </w:rPr>
  </w:style>
  <w:style w:type="paragraph" w:styleId="EnvelopeAddress">
    <w:name w:val="envelope address"/>
    <w:basedOn w:val="Normal"/>
    <w:uiPriority w:val="99"/>
    <w:unhideWhenUsed/>
    <w:rsid w:val="00AE601D"/>
    <w:pPr>
      <w:framePr w:w="7920" w:h="1980" w:hRule="exact" w:hSpace="180" w:wrap="auto" w:hAnchor="page" w:xAlign="center" w:yAlign="bottom"/>
      <w:spacing w:after="300" w:line="440" w:lineRule="exact"/>
      <w:ind w:left="2880"/>
    </w:pPr>
    <w:rPr>
      <w:rFonts w:asciiTheme="majorHAnsi" w:eastAsiaTheme="majorEastAsia" w:hAnsiTheme="majorHAnsi" w:cstheme="majorBidi"/>
      <w:color w:val="auto"/>
      <w:spacing w:val="-2"/>
    </w:rPr>
  </w:style>
  <w:style w:type="table" w:customStyle="1" w:styleId="E3TableforRealThisTime">
    <w:name w:val="E3 Table for Real This Time"/>
    <w:basedOn w:val="TableNormal"/>
    <w:uiPriority w:val="99"/>
    <w:rsid w:val="00AE601D"/>
    <w:pPr>
      <w:spacing w:after="0" w:line="240" w:lineRule="auto"/>
    </w:pPr>
    <w:rPr>
      <w:rFonts w:ascii="Arial" w:eastAsia="Verdana" w:hAnsi="Arial"/>
      <w:color w:val="auto"/>
      <w:sz w:val="18"/>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2F2F2" w:themeColor="background1" w:themeShade="F2"/>
        <w:sz w:val="52"/>
      </w:rPr>
      <w:tblPr/>
      <w:tcPr>
        <w:shd w:val="clear" w:color="auto" w:fill="005070"/>
      </w:tcPr>
    </w:tblStylePr>
    <w:tblStylePr w:type="band1Horz">
      <w:tblPr/>
      <w:tcPr>
        <w:shd w:val="clear" w:color="auto" w:fill="D0CECE" w:themeFill="background2" w:themeFillShade="E6"/>
      </w:tcPr>
    </w:tblStylePr>
  </w:style>
  <w:style w:type="paragraph" w:customStyle="1" w:styleId="E3BulletsPlusStyle">
    <w:name w:val="E3 Bullets Plus Style"/>
    <w:basedOn w:val="BodyText"/>
    <w:link w:val="E3BulletsPlusStyleChar"/>
    <w:qFormat/>
    <w:rsid w:val="00AE601D"/>
    <w:pPr>
      <w:widowControl/>
      <w:numPr>
        <w:numId w:val="122"/>
      </w:numPr>
      <w:autoSpaceDE/>
      <w:autoSpaceDN/>
      <w:spacing w:before="120" w:after="120" w:line="312" w:lineRule="auto"/>
      <w:jc w:val="both"/>
    </w:pPr>
    <w:rPr>
      <w:rFonts w:ascii="Calibri" w:hAnsi="Calibri"/>
      <w:sz w:val="22"/>
    </w:rPr>
  </w:style>
  <w:style w:type="character" w:customStyle="1" w:styleId="E3BulletsPlusStyleChar">
    <w:name w:val="E3 Bullets Plus Style Char"/>
    <w:basedOn w:val="BodyTextChar"/>
    <w:link w:val="E3BulletsPlusStyle"/>
    <w:rsid w:val="00AE601D"/>
    <w:rPr>
      <w:rFonts w:ascii="Calibri" w:eastAsia="Times New Roman" w:hAnsi="Calibri" w:cs="Times New Roman"/>
      <w:sz w:val="22"/>
      <w:szCs w:val="24"/>
    </w:rPr>
  </w:style>
  <w:style w:type="table" w:customStyle="1" w:styleId="Style1">
    <w:name w:val="Style1"/>
    <w:basedOn w:val="TableNormal"/>
    <w:uiPriority w:val="99"/>
    <w:rsid w:val="00AE601D"/>
    <w:pPr>
      <w:spacing w:before="60" w:after="40" w:line="240" w:lineRule="auto"/>
    </w:pPr>
    <w:rPr>
      <w:rFonts w:ascii="Arial" w:eastAsia="Verdana" w:hAnsi="Arial"/>
      <w:color w:val="auto"/>
      <w:sz w:val="18"/>
      <w:szCs w:val="22"/>
    </w:rPr>
    <w:tblPr>
      <w:tblBorders>
        <w:top w:val="single" w:sz="12" w:space="0" w:color="005070"/>
        <w:left w:val="single" w:sz="12" w:space="0" w:color="005070"/>
        <w:bottom w:val="single" w:sz="12" w:space="0" w:color="005070"/>
        <w:right w:val="single" w:sz="12" w:space="0" w:color="005070"/>
        <w:insideH w:val="single" w:sz="4" w:space="0" w:color="005070"/>
        <w:insideV w:val="single" w:sz="4" w:space="0" w:color="005070"/>
      </w:tblBorders>
    </w:tblPr>
    <w:tcPr>
      <w:shd w:val="clear" w:color="auto" w:fill="auto"/>
    </w:tcPr>
    <w:tblStylePr w:type="firstRow">
      <w:rPr>
        <w:b/>
      </w:rPr>
      <w:tblPr/>
      <w:tcPr>
        <w:tcBorders>
          <w:top w:val="single" w:sz="12" w:space="0" w:color="005070"/>
          <w:left w:val="single" w:sz="12" w:space="0" w:color="005070"/>
          <w:bottom w:val="single" w:sz="12" w:space="0" w:color="005070"/>
          <w:right w:val="single" w:sz="12" w:space="0" w:color="005070"/>
          <w:insideH w:val="nil"/>
          <w:insideV w:val="nil"/>
          <w:tl2br w:val="nil"/>
          <w:tr2bl w:val="nil"/>
        </w:tcBorders>
        <w:shd w:val="clear" w:color="auto" w:fill="005070"/>
      </w:tcPr>
    </w:tblStylePr>
  </w:style>
  <w:style w:type="paragraph" w:customStyle="1" w:styleId="E3TableHeadingRow">
    <w:name w:val="E3 Table Heading Row"/>
    <w:basedOn w:val="Normal"/>
    <w:rsid w:val="00AE601D"/>
    <w:pPr>
      <w:spacing w:before="60" w:after="40" w:line="240" w:lineRule="auto"/>
    </w:pPr>
    <w:rPr>
      <w:rFonts w:ascii="Arial" w:eastAsia="Verdana" w:hAnsi="Arial"/>
      <w:b/>
      <w:color w:val="FFFFFF" w:themeColor="background1"/>
      <w:spacing w:val="-2"/>
      <w:sz w:val="18"/>
      <w:szCs w:val="22"/>
    </w:rPr>
  </w:style>
  <w:style w:type="paragraph" w:customStyle="1" w:styleId="E3TableBodyText">
    <w:name w:val="E3 Table Body Text"/>
    <w:basedOn w:val="E3TableHeadingRow"/>
    <w:rsid w:val="00AE601D"/>
    <w:rPr>
      <w:b w:val="0"/>
      <w:color w:val="auto"/>
    </w:rPr>
  </w:style>
  <w:style w:type="character" w:customStyle="1" w:styleId="apple-converted-space">
    <w:name w:val="apple-converted-space"/>
    <w:basedOn w:val="DefaultParagraphFont"/>
    <w:rsid w:val="00AE601D"/>
  </w:style>
  <w:style w:type="character" w:customStyle="1" w:styleId="UnresolvedMention1">
    <w:name w:val="Unresolved Mention1"/>
    <w:basedOn w:val="DefaultParagraphFont"/>
    <w:uiPriority w:val="99"/>
    <w:semiHidden/>
    <w:unhideWhenUsed/>
    <w:rsid w:val="00091F4F"/>
    <w:rPr>
      <w:color w:val="808080"/>
      <w:shd w:val="clear" w:color="auto" w:fill="E6E6E6"/>
    </w:rPr>
  </w:style>
  <w:style w:type="character" w:customStyle="1" w:styleId="normaltextrun">
    <w:name w:val="normaltextrun"/>
    <w:basedOn w:val="DefaultParagraphFont"/>
    <w:rsid w:val="009C56AE"/>
  </w:style>
  <w:style w:type="character" w:customStyle="1" w:styleId="eop">
    <w:name w:val="eop"/>
    <w:basedOn w:val="DefaultParagraphFont"/>
    <w:rsid w:val="009C56AE"/>
  </w:style>
  <w:style w:type="character" w:styleId="PlaceholderText">
    <w:name w:val="Placeholder Text"/>
    <w:basedOn w:val="DefaultParagraphFont"/>
    <w:uiPriority w:val="99"/>
    <w:semiHidden/>
    <w:rsid w:val="00231AB2"/>
    <w:rPr>
      <w:color w:val="808080"/>
    </w:rPr>
  </w:style>
  <w:style w:type="character" w:styleId="UnresolvedMention">
    <w:name w:val="Unresolved Mention"/>
    <w:basedOn w:val="DefaultParagraphFont"/>
    <w:uiPriority w:val="99"/>
    <w:semiHidden/>
    <w:unhideWhenUsed/>
    <w:rsid w:val="00F11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11012">
      <w:bodyDiv w:val="1"/>
      <w:marLeft w:val="0"/>
      <w:marRight w:val="0"/>
      <w:marTop w:val="0"/>
      <w:marBottom w:val="0"/>
      <w:divBdr>
        <w:top w:val="none" w:sz="0" w:space="0" w:color="auto"/>
        <w:left w:val="none" w:sz="0" w:space="0" w:color="auto"/>
        <w:bottom w:val="none" w:sz="0" w:space="0" w:color="auto"/>
        <w:right w:val="none" w:sz="0" w:space="0" w:color="auto"/>
      </w:divBdr>
    </w:div>
    <w:div w:id="117534126">
      <w:bodyDiv w:val="1"/>
      <w:marLeft w:val="0"/>
      <w:marRight w:val="0"/>
      <w:marTop w:val="0"/>
      <w:marBottom w:val="0"/>
      <w:divBdr>
        <w:top w:val="none" w:sz="0" w:space="0" w:color="auto"/>
        <w:left w:val="none" w:sz="0" w:space="0" w:color="auto"/>
        <w:bottom w:val="none" w:sz="0" w:space="0" w:color="auto"/>
        <w:right w:val="none" w:sz="0" w:space="0" w:color="auto"/>
      </w:divBdr>
    </w:div>
    <w:div w:id="140510921">
      <w:bodyDiv w:val="1"/>
      <w:marLeft w:val="0"/>
      <w:marRight w:val="0"/>
      <w:marTop w:val="0"/>
      <w:marBottom w:val="0"/>
      <w:divBdr>
        <w:top w:val="none" w:sz="0" w:space="0" w:color="auto"/>
        <w:left w:val="none" w:sz="0" w:space="0" w:color="auto"/>
        <w:bottom w:val="none" w:sz="0" w:space="0" w:color="auto"/>
        <w:right w:val="none" w:sz="0" w:space="0" w:color="auto"/>
      </w:divBdr>
    </w:div>
    <w:div w:id="217671284">
      <w:bodyDiv w:val="1"/>
      <w:marLeft w:val="0"/>
      <w:marRight w:val="0"/>
      <w:marTop w:val="0"/>
      <w:marBottom w:val="0"/>
      <w:divBdr>
        <w:top w:val="none" w:sz="0" w:space="0" w:color="auto"/>
        <w:left w:val="none" w:sz="0" w:space="0" w:color="auto"/>
        <w:bottom w:val="none" w:sz="0" w:space="0" w:color="auto"/>
        <w:right w:val="none" w:sz="0" w:space="0" w:color="auto"/>
      </w:divBdr>
    </w:div>
    <w:div w:id="278225579">
      <w:bodyDiv w:val="1"/>
      <w:marLeft w:val="0"/>
      <w:marRight w:val="0"/>
      <w:marTop w:val="0"/>
      <w:marBottom w:val="0"/>
      <w:divBdr>
        <w:top w:val="none" w:sz="0" w:space="0" w:color="auto"/>
        <w:left w:val="none" w:sz="0" w:space="0" w:color="auto"/>
        <w:bottom w:val="none" w:sz="0" w:space="0" w:color="auto"/>
        <w:right w:val="none" w:sz="0" w:space="0" w:color="auto"/>
      </w:divBdr>
    </w:div>
    <w:div w:id="317195066">
      <w:bodyDiv w:val="1"/>
      <w:marLeft w:val="0"/>
      <w:marRight w:val="0"/>
      <w:marTop w:val="0"/>
      <w:marBottom w:val="0"/>
      <w:divBdr>
        <w:top w:val="none" w:sz="0" w:space="0" w:color="auto"/>
        <w:left w:val="none" w:sz="0" w:space="0" w:color="auto"/>
        <w:bottom w:val="none" w:sz="0" w:space="0" w:color="auto"/>
        <w:right w:val="none" w:sz="0" w:space="0" w:color="auto"/>
      </w:divBdr>
    </w:div>
    <w:div w:id="341665843">
      <w:bodyDiv w:val="1"/>
      <w:marLeft w:val="0"/>
      <w:marRight w:val="0"/>
      <w:marTop w:val="0"/>
      <w:marBottom w:val="0"/>
      <w:divBdr>
        <w:top w:val="none" w:sz="0" w:space="0" w:color="auto"/>
        <w:left w:val="none" w:sz="0" w:space="0" w:color="auto"/>
        <w:bottom w:val="none" w:sz="0" w:space="0" w:color="auto"/>
        <w:right w:val="none" w:sz="0" w:space="0" w:color="auto"/>
      </w:divBdr>
    </w:div>
    <w:div w:id="430662883">
      <w:bodyDiv w:val="1"/>
      <w:marLeft w:val="0"/>
      <w:marRight w:val="0"/>
      <w:marTop w:val="0"/>
      <w:marBottom w:val="0"/>
      <w:divBdr>
        <w:top w:val="none" w:sz="0" w:space="0" w:color="auto"/>
        <w:left w:val="none" w:sz="0" w:space="0" w:color="auto"/>
        <w:bottom w:val="none" w:sz="0" w:space="0" w:color="auto"/>
        <w:right w:val="none" w:sz="0" w:space="0" w:color="auto"/>
      </w:divBdr>
    </w:div>
    <w:div w:id="473718020">
      <w:bodyDiv w:val="1"/>
      <w:marLeft w:val="0"/>
      <w:marRight w:val="0"/>
      <w:marTop w:val="0"/>
      <w:marBottom w:val="0"/>
      <w:divBdr>
        <w:top w:val="none" w:sz="0" w:space="0" w:color="auto"/>
        <w:left w:val="none" w:sz="0" w:space="0" w:color="auto"/>
        <w:bottom w:val="none" w:sz="0" w:space="0" w:color="auto"/>
        <w:right w:val="none" w:sz="0" w:space="0" w:color="auto"/>
      </w:divBdr>
    </w:div>
    <w:div w:id="491406976">
      <w:bodyDiv w:val="1"/>
      <w:marLeft w:val="0"/>
      <w:marRight w:val="0"/>
      <w:marTop w:val="0"/>
      <w:marBottom w:val="0"/>
      <w:divBdr>
        <w:top w:val="none" w:sz="0" w:space="0" w:color="auto"/>
        <w:left w:val="none" w:sz="0" w:space="0" w:color="auto"/>
        <w:bottom w:val="none" w:sz="0" w:space="0" w:color="auto"/>
        <w:right w:val="none" w:sz="0" w:space="0" w:color="auto"/>
      </w:divBdr>
    </w:div>
    <w:div w:id="544833205">
      <w:bodyDiv w:val="1"/>
      <w:marLeft w:val="0"/>
      <w:marRight w:val="0"/>
      <w:marTop w:val="0"/>
      <w:marBottom w:val="0"/>
      <w:divBdr>
        <w:top w:val="none" w:sz="0" w:space="0" w:color="auto"/>
        <w:left w:val="none" w:sz="0" w:space="0" w:color="auto"/>
        <w:bottom w:val="none" w:sz="0" w:space="0" w:color="auto"/>
        <w:right w:val="none" w:sz="0" w:space="0" w:color="auto"/>
      </w:divBdr>
    </w:div>
    <w:div w:id="830485676">
      <w:bodyDiv w:val="1"/>
      <w:marLeft w:val="0"/>
      <w:marRight w:val="0"/>
      <w:marTop w:val="0"/>
      <w:marBottom w:val="0"/>
      <w:divBdr>
        <w:top w:val="none" w:sz="0" w:space="0" w:color="auto"/>
        <w:left w:val="none" w:sz="0" w:space="0" w:color="auto"/>
        <w:bottom w:val="none" w:sz="0" w:space="0" w:color="auto"/>
        <w:right w:val="none" w:sz="0" w:space="0" w:color="auto"/>
      </w:divBdr>
    </w:div>
    <w:div w:id="1032606066">
      <w:bodyDiv w:val="1"/>
      <w:marLeft w:val="0"/>
      <w:marRight w:val="0"/>
      <w:marTop w:val="0"/>
      <w:marBottom w:val="0"/>
      <w:divBdr>
        <w:top w:val="none" w:sz="0" w:space="0" w:color="auto"/>
        <w:left w:val="none" w:sz="0" w:space="0" w:color="auto"/>
        <w:bottom w:val="none" w:sz="0" w:space="0" w:color="auto"/>
        <w:right w:val="none" w:sz="0" w:space="0" w:color="auto"/>
      </w:divBdr>
      <w:divsChild>
        <w:div w:id="1235623994">
          <w:marLeft w:val="360"/>
          <w:marRight w:val="0"/>
          <w:marTop w:val="0"/>
          <w:marBottom w:val="0"/>
          <w:divBdr>
            <w:top w:val="none" w:sz="0" w:space="0" w:color="auto"/>
            <w:left w:val="none" w:sz="0" w:space="0" w:color="auto"/>
            <w:bottom w:val="none" w:sz="0" w:space="0" w:color="auto"/>
            <w:right w:val="none" w:sz="0" w:space="0" w:color="auto"/>
          </w:divBdr>
        </w:div>
        <w:div w:id="691106929">
          <w:marLeft w:val="360"/>
          <w:marRight w:val="0"/>
          <w:marTop w:val="0"/>
          <w:marBottom w:val="0"/>
          <w:divBdr>
            <w:top w:val="none" w:sz="0" w:space="0" w:color="auto"/>
            <w:left w:val="none" w:sz="0" w:space="0" w:color="auto"/>
            <w:bottom w:val="none" w:sz="0" w:space="0" w:color="auto"/>
            <w:right w:val="none" w:sz="0" w:space="0" w:color="auto"/>
          </w:divBdr>
        </w:div>
      </w:divsChild>
    </w:div>
    <w:div w:id="1155955797">
      <w:bodyDiv w:val="1"/>
      <w:marLeft w:val="0"/>
      <w:marRight w:val="0"/>
      <w:marTop w:val="0"/>
      <w:marBottom w:val="0"/>
      <w:divBdr>
        <w:top w:val="none" w:sz="0" w:space="0" w:color="auto"/>
        <w:left w:val="none" w:sz="0" w:space="0" w:color="auto"/>
        <w:bottom w:val="none" w:sz="0" w:space="0" w:color="auto"/>
        <w:right w:val="none" w:sz="0" w:space="0" w:color="auto"/>
      </w:divBdr>
    </w:div>
    <w:div w:id="1221747928">
      <w:bodyDiv w:val="1"/>
      <w:marLeft w:val="0"/>
      <w:marRight w:val="0"/>
      <w:marTop w:val="0"/>
      <w:marBottom w:val="0"/>
      <w:divBdr>
        <w:top w:val="none" w:sz="0" w:space="0" w:color="auto"/>
        <w:left w:val="none" w:sz="0" w:space="0" w:color="auto"/>
        <w:bottom w:val="none" w:sz="0" w:space="0" w:color="auto"/>
        <w:right w:val="none" w:sz="0" w:space="0" w:color="auto"/>
      </w:divBdr>
    </w:div>
    <w:div w:id="1259678858">
      <w:bodyDiv w:val="1"/>
      <w:marLeft w:val="0"/>
      <w:marRight w:val="0"/>
      <w:marTop w:val="0"/>
      <w:marBottom w:val="0"/>
      <w:divBdr>
        <w:top w:val="none" w:sz="0" w:space="0" w:color="auto"/>
        <w:left w:val="none" w:sz="0" w:space="0" w:color="auto"/>
        <w:bottom w:val="none" w:sz="0" w:space="0" w:color="auto"/>
        <w:right w:val="none" w:sz="0" w:space="0" w:color="auto"/>
      </w:divBdr>
    </w:div>
    <w:div w:id="1317221658">
      <w:bodyDiv w:val="1"/>
      <w:marLeft w:val="0"/>
      <w:marRight w:val="0"/>
      <w:marTop w:val="0"/>
      <w:marBottom w:val="0"/>
      <w:divBdr>
        <w:top w:val="none" w:sz="0" w:space="0" w:color="auto"/>
        <w:left w:val="none" w:sz="0" w:space="0" w:color="auto"/>
        <w:bottom w:val="none" w:sz="0" w:space="0" w:color="auto"/>
        <w:right w:val="none" w:sz="0" w:space="0" w:color="auto"/>
      </w:divBdr>
    </w:div>
    <w:div w:id="1385715762">
      <w:bodyDiv w:val="1"/>
      <w:marLeft w:val="0"/>
      <w:marRight w:val="0"/>
      <w:marTop w:val="0"/>
      <w:marBottom w:val="0"/>
      <w:divBdr>
        <w:top w:val="none" w:sz="0" w:space="0" w:color="auto"/>
        <w:left w:val="none" w:sz="0" w:space="0" w:color="auto"/>
        <w:bottom w:val="none" w:sz="0" w:space="0" w:color="auto"/>
        <w:right w:val="none" w:sz="0" w:space="0" w:color="auto"/>
      </w:divBdr>
    </w:div>
    <w:div w:id="1399666219">
      <w:bodyDiv w:val="1"/>
      <w:marLeft w:val="0"/>
      <w:marRight w:val="0"/>
      <w:marTop w:val="0"/>
      <w:marBottom w:val="0"/>
      <w:divBdr>
        <w:top w:val="none" w:sz="0" w:space="0" w:color="auto"/>
        <w:left w:val="none" w:sz="0" w:space="0" w:color="auto"/>
        <w:bottom w:val="none" w:sz="0" w:space="0" w:color="auto"/>
        <w:right w:val="none" w:sz="0" w:space="0" w:color="auto"/>
      </w:divBdr>
    </w:div>
    <w:div w:id="1561743375">
      <w:bodyDiv w:val="1"/>
      <w:marLeft w:val="0"/>
      <w:marRight w:val="0"/>
      <w:marTop w:val="0"/>
      <w:marBottom w:val="0"/>
      <w:divBdr>
        <w:top w:val="none" w:sz="0" w:space="0" w:color="auto"/>
        <w:left w:val="none" w:sz="0" w:space="0" w:color="auto"/>
        <w:bottom w:val="none" w:sz="0" w:space="0" w:color="auto"/>
        <w:right w:val="none" w:sz="0" w:space="0" w:color="auto"/>
      </w:divBdr>
    </w:div>
    <w:div w:id="1739327973">
      <w:bodyDiv w:val="1"/>
      <w:marLeft w:val="0"/>
      <w:marRight w:val="0"/>
      <w:marTop w:val="0"/>
      <w:marBottom w:val="0"/>
      <w:divBdr>
        <w:top w:val="none" w:sz="0" w:space="0" w:color="auto"/>
        <w:left w:val="none" w:sz="0" w:space="0" w:color="auto"/>
        <w:bottom w:val="none" w:sz="0" w:space="0" w:color="auto"/>
        <w:right w:val="none" w:sz="0" w:space="0" w:color="auto"/>
      </w:divBdr>
    </w:div>
    <w:div w:id="1752655845">
      <w:bodyDiv w:val="1"/>
      <w:marLeft w:val="0"/>
      <w:marRight w:val="0"/>
      <w:marTop w:val="0"/>
      <w:marBottom w:val="0"/>
      <w:divBdr>
        <w:top w:val="none" w:sz="0" w:space="0" w:color="auto"/>
        <w:left w:val="none" w:sz="0" w:space="0" w:color="auto"/>
        <w:bottom w:val="none" w:sz="0" w:space="0" w:color="auto"/>
        <w:right w:val="none" w:sz="0" w:space="0" w:color="auto"/>
      </w:divBdr>
    </w:div>
    <w:div w:id="2039893123">
      <w:bodyDiv w:val="1"/>
      <w:marLeft w:val="0"/>
      <w:marRight w:val="0"/>
      <w:marTop w:val="0"/>
      <w:marBottom w:val="0"/>
      <w:divBdr>
        <w:top w:val="none" w:sz="0" w:space="0" w:color="auto"/>
        <w:left w:val="none" w:sz="0" w:space="0" w:color="auto"/>
        <w:bottom w:val="none" w:sz="0" w:space="0" w:color="auto"/>
        <w:right w:val="none" w:sz="0" w:space="0" w:color="auto"/>
      </w:divBdr>
    </w:div>
    <w:div w:id="2085175894">
      <w:bodyDiv w:val="1"/>
      <w:marLeft w:val="0"/>
      <w:marRight w:val="0"/>
      <w:marTop w:val="0"/>
      <w:marBottom w:val="0"/>
      <w:divBdr>
        <w:top w:val="none" w:sz="0" w:space="0" w:color="auto"/>
        <w:left w:val="none" w:sz="0" w:space="0" w:color="auto"/>
        <w:bottom w:val="none" w:sz="0" w:space="0" w:color="auto"/>
        <w:right w:val="none" w:sz="0" w:space="0" w:color="auto"/>
      </w:divBdr>
    </w:div>
    <w:div w:id="212572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chart" Target="charts/chart2.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epelectric.com/" TargetMode="External"/><Relationship Id="rId32" Type="http://schemas.openxmlformats.org/officeDocument/2006/relationships/chart" Target="charts/chart1.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csapp1p/contentserverdav/nodes/62167308/mailto%3ANMIRP%40epelectric.com" TargetMode="External"/><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png"/><Relationship Id="rId61" Type="http://schemas.openxmlformats.org/officeDocument/2006/relationships/footer" Target="footer7.xml"/><Relationship Id="rId10" Type="http://schemas.openxmlformats.org/officeDocument/2006/relationships/image" Target="media/image2.emf"/><Relationship Id="rId19" Type="http://schemas.openxmlformats.org/officeDocument/2006/relationships/header" Target="header6.xml"/><Relationship Id="rId31" Type="http://schemas.openxmlformats.org/officeDocument/2006/relationships/image" Target="media/image12.e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s://www.nrel.gov/docs/fy21osti/79444-ES.pdf" TargetMode="External"/><Relationship Id="rId1" Type="http://schemas.openxmlformats.org/officeDocument/2006/relationships/hyperlink" Target="https://www.nerc.com/AboutNERC/Pages/default.asp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penstor1b\op2f\VOL1\GROUP\Resource_Planning\2021%20IRP%20Report\Victor\Energy%20Mix\2020%20Energy_Mix_0426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ivelink/contentserverdav/nodes/82096153/Energy%20Cost%20%20Impac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b="1">
                <a:latin typeface="Arial" panose="020B0604020202020204" pitchFamily="34" charset="0"/>
                <a:cs typeface="Arial" panose="020B0604020202020204" pitchFamily="34" charset="0"/>
              </a:rPr>
              <a:t>EL</a:t>
            </a:r>
            <a:r>
              <a:rPr lang="en-US" sz="1800" b="1" baseline="0">
                <a:latin typeface="Arial" panose="020B0604020202020204" pitchFamily="34" charset="0"/>
                <a:cs typeface="Arial" panose="020B0604020202020204" pitchFamily="34" charset="0"/>
              </a:rPr>
              <a:t> PASO ELECTRIC FUEL MIX</a:t>
            </a:r>
            <a:endParaRPr lang="en-US" sz="18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70C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1BA-4B7E-8D9E-DCA4106828C2}"/>
              </c:ext>
            </c:extLst>
          </c:dPt>
          <c:dPt>
            <c:idx val="1"/>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1BA-4B7E-8D9E-DCA4106828C2}"/>
              </c:ext>
            </c:extLst>
          </c:dPt>
          <c:dPt>
            <c:idx val="2"/>
            <c:bubble3D val="0"/>
            <c:spPr>
              <a:solidFill>
                <a:srgbClr val="00B05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1BA-4B7E-8D9E-DCA4106828C2}"/>
              </c:ext>
            </c:extLst>
          </c:dPt>
          <c:dPt>
            <c:idx val="3"/>
            <c:bubble3D val="0"/>
            <c:spPr>
              <a:solidFill>
                <a:srgbClr val="7030A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1BA-4B7E-8D9E-DCA4106828C2}"/>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9F5C8CC6-4587-4339-910D-3C559E23386D}" type="CATEGORYNAME">
                      <a:rPr lang="en-US">
                        <a:solidFill>
                          <a:srgbClr val="0070C0"/>
                        </a:solidFill>
                      </a:rPr>
                      <a:pPr>
                        <a:defRPr>
                          <a:solidFill>
                            <a:sysClr val="windowText" lastClr="000000"/>
                          </a:solidFill>
                        </a:defRPr>
                      </a:pPr>
                      <a:t>[CATEGORY NAME]</a:t>
                    </a:fld>
                    <a:r>
                      <a:rPr lang="en-US" baseline="0">
                        <a:solidFill>
                          <a:srgbClr val="0070C0"/>
                        </a:solidFill>
                      </a:rPr>
                      <a:t>
</a:t>
                    </a:r>
                    <a:fld id="{62F5D89E-3610-4CFB-ADEC-0355E68ACEE5}" type="PERCENTAGE">
                      <a:rPr lang="en-US" baseline="0">
                        <a:solidFill>
                          <a:srgbClr val="0070C0"/>
                        </a:solidFill>
                      </a:rPr>
                      <a:pPr>
                        <a:defRPr>
                          <a:solidFill>
                            <a:sysClr val="windowText" lastClr="000000"/>
                          </a:solidFill>
                        </a:defRPr>
                      </a:pPr>
                      <a:t>[PERCENTAGE]</a:t>
                    </a:fld>
                    <a:endParaRPr lang="en-US" baseline="0">
                      <a:solidFill>
                        <a:srgbClr val="0070C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BA-4B7E-8D9E-DCA4106828C2}"/>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965D1AD3-3B43-48D9-B8E4-237BE96AAFE0}" type="CATEGORYNAME">
                      <a:rPr lang="en-US">
                        <a:solidFill>
                          <a:srgbClr val="C00000"/>
                        </a:solidFill>
                      </a:rPr>
                      <a:pPr>
                        <a:defRPr>
                          <a:solidFill>
                            <a:sysClr val="windowText" lastClr="000000"/>
                          </a:solidFill>
                        </a:defRPr>
                      </a:pPr>
                      <a:t>[CATEGORY NAME]</a:t>
                    </a:fld>
                    <a:r>
                      <a:rPr lang="en-US" baseline="0">
                        <a:solidFill>
                          <a:srgbClr val="C00000"/>
                        </a:solidFill>
                      </a:rPr>
                      <a:t>
</a:t>
                    </a:r>
                    <a:fld id="{60CE2D3C-8DC3-40B5-87CC-36FE543E0A20}" type="PERCENTAGE">
                      <a:rPr lang="en-US" baseline="0">
                        <a:solidFill>
                          <a:srgbClr val="C00000"/>
                        </a:solidFill>
                      </a:rPr>
                      <a:pPr>
                        <a:defRPr>
                          <a:solidFill>
                            <a:sysClr val="windowText" lastClr="000000"/>
                          </a:solidFill>
                        </a:defRPr>
                      </a:pPr>
                      <a:t>[PERCENTAGE]</a:t>
                    </a:fld>
                    <a:endParaRPr lang="en-US" baseline="0">
                      <a:solidFill>
                        <a:srgbClr val="C0000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1BA-4B7E-8D9E-DCA4106828C2}"/>
                </c:ext>
              </c:extLst>
            </c:dLbl>
            <c:dLbl>
              <c:idx val="2"/>
              <c:layout>
                <c:manualLayout>
                  <c:x val="-5.5555494374392056E-2"/>
                  <c:y val="3.667004638118865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3EB4D1D4-10D7-465D-8F51-89C1E911AAF4}" type="CATEGORYNAME">
                      <a:rPr lang="en-US">
                        <a:solidFill>
                          <a:srgbClr val="00B050"/>
                        </a:solidFill>
                      </a:rPr>
                      <a:pPr>
                        <a:defRPr>
                          <a:solidFill>
                            <a:sysClr val="windowText" lastClr="000000"/>
                          </a:solidFill>
                        </a:defRPr>
                      </a:pPr>
                      <a:t>[CATEGORY NAME]</a:t>
                    </a:fld>
                    <a:r>
                      <a:rPr lang="en-US" baseline="0">
                        <a:solidFill>
                          <a:srgbClr val="00B050"/>
                        </a:solidFill>
                      </a:rPr>
                      <a:t>
</a:t>
                    </a:r>
                    <a:fld id="{3E1F4C98-0B83-4D43-A672-CCEBF43AC80D}" type="PERCENTAGE">
                      <a:rPr lang="en-US" baseline="0">
                        <a:solidFill>
                          <a:srgbClr val="00B050"/>
                        </a:solidFill>
                      </a:rPr>
                      <a:pPr>
                        <a:defRPr>
                          <a:solidFill>
                            <a:sysClr val="windowText" lastClr="000000"/>
                          </a:solidFill>
                        </a:defRPr>
                      </a:pPr>
                      <a:t>[PERCENTAGE]</a:t>
                    </a:fld>
                    <a:endParaRPr lang="en-US" baseline="0">
                      <a:solidFill>
                        <a:srgbClr val="00B05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1BA-4B7E-8D9E-DCA4106828C2}"/>
                </c:ext>
              </c:extLst>
            </c:dLbl>
            <c:dLbl>
              <c:idx val="3"/>
              <c:layout>
                <c:manualLayout>
                  <c:x val="3.0764825725455646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3A0C5333-734C-4F8E-A708-07C38AC39E47}" type="CATEGORYNAME">
                      <a:rPr lang="en-US">
                        <a:solidFill>
                          <a:srgbClr val="7030A0"/>
                        </a:solidFill>
                      </a:rPr>
                      <a:pPr>
                        <a:defRPr>
                          <a:solidFill>
                            <a:sysClr val="windowText" lastClr="000000"/>
                          </a:solidFill>
                        </a:defRPr>
                      </a:pPr>
                      <a:t>[CATEGORY NAME]</a:t>
                    </a:fld>
                    <a:r>
                      <a:rPr lang="en-US" baseline="0">
                        <a:solidFill>
                          <a:srgbClr val="7030A0"/>
                        </a:solidFill>
                      </a:rPr>
                      <a:t>
</a:t>
                    </a:r>
                    <a:fld id="{DF45587B-D812-4B06-A87C-8D8972E3F036}" type="PERCENTAGE">
                      <a:rPr lang="en-US" baseline="0">
                        <a:solidFill>
                          <a:srgbClr val="7030A0"/>
                        </a:solidFill>
                      </a:rPr>
                      <a:pPr>
                        <a:defRPr>
                          <a:solidFill>
                            <a:sysClr val="windowText" lastClr="000000"/>
                          </a:solidFill>
                        </a:defRPr>
                      </a:pPr>
                      <a:t>[PERCENTAGE]</a:t>
                    </a:fld>
                    <a:endParaRPr lang="en-US" baseline="0">
                      <a:solidFill>
                        <a:srgbClr val="7030A0"/>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1BA-4B7E-8D9E-DCA410682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'Energy Mix'!$N$10:$R$10</c:f>
              <c:strCache>
                <c:ptCount val="4"/>
                <c:pt idx="0">
                  <c:v>NUCLEAR</c:v>
                </c:pt>
                <c:pt idx="1">
                  <c:v>NATURAL GAS</c:v>
                </c:pt>
                <c:pt idx="2">
                  <c:v>PURCHASED POWER</c:v>
                </c:pt>
                <c:pt idx="3">
                  <c:v>RENEWABLE</c:v>
                </c:pt>
              </c:strCache>
            </c:strRef>
          </c:cat>
          <c:val>
            <c:numRef>
              <c:f>'Energy Mix'!$N$23:$R$23</c:f>
              <c:numCache>
                <c:formatCode>0.0%</c:formatCode>
                <c:ptCount val="4"/>
                <c:pt idx="0">
                  <c:v>0.48526052840952116</c:v>
                </c:pt>
                <c:pt idx="1">
                  <c:v>0.46204637166439516</c:v>
                </c:pt>
                <c:pt idx="2">
                  <c:v>2.050726441909273E-2</c:v>
                </c:pt>
                <c:pt idx="3">
                  <c:v>3.2185835506990911E-2</c:v>
                </c:pt>
              </c:numCache>
            </c:numRef>
          </c:val>
          <c:extLst>
            <c:ext xmlns:c16="http://schemas.microsoft.com/office/drawing/2014/chart" uri="{C3380CC4-5D6E-409C-BE32-E72D297353CC}">
              <c16:uniqueId val="{00000008-A1BA-4B7E-8D9E-DCA4106828C2}"/>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2"/>
          <c:tx>
            <c:strRef>
              <c:f>'Energy Mix'!$I$18</c:f>
              <c:strCache>
                <c:ptCount val="1"/>
                <c:pt idx="0">
                  <c:v>Annual Cost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'Energy Mix'!$F$19:$F$27</c:f>
              <c:strCache>
                <c:ptCount val="9"/>
                <c:pt idx="0">
                  <c:v>Lowest Cost</c:v>
                </c:pt>
                <c:pt idx="1">
                  <c:v>20%</c:v>
                </c:pt>
                <c:pt idx="2">
                  <c:v>40%</c:v>
                </c:pt>
                <c:pt idx="3">
                  <c:v>60%</c:v>
                </c:pt>
                <c:pt idx="4">
                  <c:v>80%</c:v>
                </c:pt>
                <c:pt idx="5">
                  <c:v>90%</c:v>
                </c:pt>
                <c:pt idx="6">
                  <c:v>100% H2</c:v>
                </c:pt>
                <c:pt idx="7">
                  <c:v>No New CT</c:v>
                </c:pt>
                <c:pt idx="8">
                  <c:v>100% No CT</c:v>
                </c:pt>
              </c:strCache>
            </c:strRef>
          </c:cat>
          <c:val>
            <c:numRef>
              <c:f>'Energy Mix'!$I$19:$I$27</c:f>
              <c:numCache>
                <c:formatCode>General</c:formatCode>
                <c:ptCount val="9"/>
                <c:pt idx="0">
                  <c:v>505</c:v>
                </c:pt>
                <c:pt idx="1">
                  <c:v>505</c:v>
                </c:pt>
                <c:pt idx="2">
                  <c:v>508</c:v>
                </c:pt>
                <c:pt idx="3">
                  <c:v>527</c:v>
                </c:pt>
                <c:pt idx="4">
                  <c:v>565</c:v>
                </c:pt>
                <c:pt idx="5">
                  <c:v>599</c:v>
                </c:pt>
                <c:pt idx="6">
                  <c:v>660</c:v>
                </c:pt>
                <c:pt idx="7">
                  <c:v>679</c:v>
                </c:pt>
                <c:pt idx="8">
                  <c:v>1059</c:v>
                </c:pt>
              </c:numCache>
            </c:numRef>
          </c:val>
          <c:smooth val="0"/>
          <c:extLst>
            <c:ext xmlns:c16="http://schemas.microsoft.com/office/drawing/2014/chart" uri="{C3380CC4-5D6E-409C-BE32-E72D297353CC}">
              <c16:uniqueId val="{00000000-B58E-461D-B787-03881BD4397D}"/>
            </c:ext>
          </c:extLst>
        </c:ser>
        <c:dLbls>
          <c:showLegendKey val="0"/>
          <c:showVal val="0"/>
          <c:showCatName val="0"/>
          <c:showSerName val="0"/>
          <c:showPercent val="0"/>
          <c:showBubbleSize val="0"/>
        </c:dLbls>
        <c:marker val="1"/>
        <c:smooth val="0"/>
        <c:axId val="533405488"/>
        <c:axId val="533404832"/>
        <c:extLst>
          <c:ext xmlns:c15="http://schemas.microsoft.com/office/drawing/2012/chart" uri="{02D57815-91ED-43cb-92C2-25804820EDAC}">
            <c15:filteredLineSeries>
              <c15:ser>
                <c:idx val="0"/>
                <c:order val="0"/>
                <c:tx>
                  <c:strRef>
                    <c:extLst>
                      <c:ext uri="{02D57815-91ED-43cb-92C2-25804820EDAC}">
                        <c15:formulaRef>
                          <c15:sqref>'Energy Mix'!$G$18</c15:sqref>
                        </c15:formulaRef>
                      </c:ext>
                    </c:extLst>
                    <c:strCache>
                      <c:ptCount val="1"/>
                      <c:pt idx="0">
                        <c:v>Percent Carbon Free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'Energy Mix'!$F$19:$F$27</c15:sqref>
                        </c15:formulaRef>
                      </c:ext>
                    </c:extLst>
                    <c:strCache>
                      <c:ptCount val="9"/>
                      <c:pt idx="0">
                        <c:v>Lowest Cost</c:v>
                      </c:pt>
                      <c:pt idx="1">
                        <c:v>20%</c:v>
                      </c:pt>
                      <c:pt idx="2">
                        <c:v>40%</c:v>
                      </c:pt>
                      <c:pt idx="3">
                        <c:v>60%</c:v>
                      </c:pt>
                      <c:pt idx="4">
                        <c:v>80%</c:v>
                      </c:pt>
                      <c:pt idx="5">
                        <c:v>90%</c:v>
                      </c:pt>
                      <c:pt idx="6">
                        <c:v>100% H2</c:v>
                      </c:pt>
                      <c:pt idx="7">
                        <c:v>No New CT</c:v>
                      </c:pt>
                      <c:pt idx="8">
                        <c:v>100% No CT</c:v>
                      </c:pt>
                    </c:strCache>
                  </c:strRef>
                </c:cat>
                <c:val>
                  <c:numRef>
                    <c:extLst>
                      <c:ext uri="{02D57815-91ED-43cb-92C2-25804820EDAC}">
                        <c15:formulaRef>
                          <c15:sqref>'Energy Mix'!$G$19:$G$27</c15:sqref>
                        </c15:formulaRef>
                      </c:ext>
                    </c:extLst>
                    <c:numCache>
                      <c:formatCode>0</c:formatCode>
                      <c:ptCount val="9"/>
                      <c:pt idx="0">
                        <c:v>73.801196860184973</c:v>
                      </c:pt>
                      <c:pt idx="1">
                        <c:v>79.376016102810254</c:v>
                      </c:pt>
                      <c:pt idx="2">
                        <c:v>84.199117442130529</c:v>
                      </c:pt>
                      <c:pt idx="3">
                        <c:v>88.950574446757656</c:v>
                      </c:pt>
                      <c:pt idx="4">
                        <c:v>94.270476190476188</c:v>
                      </c:pt>
                      <c:pt idx="5">
                        <c:v>97.125521425862729</c:v>
                      </c:pt>
                      <c:pt idx="6">
                        <c:v>100</c:v>
                      </c:pt>
                      <c:pt idx="7">
                        <c:v>94.188861985472144</c:v>
                      </c:pt>
                      <c:pt idx="8">
                        <c:v>100</c:v>
                      </c:pt>
                    </c:numCache>
                  </c:numRef>
                </c:val>
                <c:smooth val="0"/>
                <c:extLst>
                  <c:ext xmlns:c16="http://schemas.microsoft.com/office/drawing/2014/chart" uri="{C3380CC4-5D6E-409C-BE32-E72D297353CC}">
                    <c16:uniqueId val="{00000001-B58E-461D-B787-03881BD4397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'Energy Mix'!$H$18</c15:sqref>
                        </c15:formulaRef>
                      </c:ext>
                    </c:extLst>
                    <c:strCache>
                      <c:ptCount val="1"/>
                      <c:pt idx="0">
                        <c:v>Percent Renewable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'Energy Mix'!$F$19:$F$27</c15:sqref>
                        </c15:formulaRef>
                      </c:ext>
                    </c:extLst>
                    <c:strCache>
                      <c:ptCount val="9"/>
                      <c:pt idx="0">
                        <c:v>Lowest Cost</c:v>
                      </c:pt>
                      <c:pt idx="1">
                        <c:v>20%</c:v>
                      </c:pt>
                      <c:pt idx="2">
                        <c:v>40%</c:v>
                      </c:pt>
                      <c:pt idx="3">
                        <c:v>60%</c:v>
                      </c:pt>
                      <c:pt idx="4">
                        <c:v>80%</c:v>
                      </c:pt>
                      <c:pt idx="5">
                        <c:v>90%</c:v>
                      </c:pt>
                      <c:pt idx="6">
                        <c:v>100% H2</c:v>
                      </c:pt>
                      <c:pt idx="7">
                        <c:v>No New CT</c:v>
                      </c:pt>
                      <c:pt idx="8">
                        <c:v>100% No CT</c:v>
                      </c:pt>
                    </c:strCache>
                  </c:strRef>
                </c:cat>
                <c:val>
                  <c:numRef>
                    <c:extLst xmlns:c15="http://schemas.microsoft.com/office/drawing/2012/chart">
                      <c:ext xmlns:c15="http://schemas.microsoft.com/office/drawing/2012/chart" uri="{02D57815-91ED-43cb-92C2-25804820EDAC}">
                        <c15:formulaRef>
                          <c15:sqref>'Energy Mix'!$H$19:$H$27</c15:sqref>
                        </c15:formulaRef>
                      </c:ext>
                    </c:extLst>
                    <c:numCache>
                      <c:formatCode>0</c:formatCode>
                      <c:ptCount val="9"/>
                      <c:pt idx="0">
                        <c:v>33.79187067692547</c:v>
                      </c:pt>
                      <c:pt idx="1">
                        <c:v>39.521560733916544</c:v>
                      </c:pt>
                      <c:pt idx="2">
                        <c:v>44.344662073236819</c:v>
                      </c:pt>
                      <c:pt idx="3">
                        <c:v>49.255917958208038</c:v>
                      </c:pt>
                      <c:pt idx="4">
                        <c:v>55.047619047619044</c:v>
                      </c:pt>
                      <c:pt idx="5">
                        <c:v>58.081152825180126</c:v>
                      </c:pt>
                      <c:pt idx="6">
                        <c:v>59.251685223055361</c:v>
                      </c:pt>
                      <c:pt idx="7">
                        <c:v>55.236077481840198</c:v>
                      </c:pt>
                      <c:pt idx="8">
                        <c:v>61.047215496368032</c:v>
                      </c:pt>
                    </c:numCache>
                  </c:numRef>
                </c:val>
                <c:smooth val="0"/>
                <c:extLst xmlns:c15="http://schemas.microsoft.com/office/drawing/2012/chart">
                  <c:ext xmlns:c16="http://schemas.microsoft.com/office/drawing/2014/chart" uri="{C3380CC4-5D6E-409C-BE32-E72D297353CC}">
                    <c16:uniqueId val="{00000002-B58E-461D-B787-03881BD4397D}"/>
                  </c:ext>
                </c:extLst>
              </c15:ser>
            </c15:filteredLineSeries>
          </c:ext>
        </c:extLst>
      </c:lineChart>
      <c:catAx>
        <c:axId val="5334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04832"/>
        <c:crosses val="autoZero"/>
        <c:auto val="1"/>
        <c:lblAlgn val="ctr"/>
        <c:lblOffset val="100"/>
        <c:noMultiLvlLbl val="0"/>
      </c:catAx>
      <c:valAx>
        <c:axId val="53340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Cost ($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0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Nat17</b:Tag>
    <b:SourceType>DocumentFromInternetSite</b:SourceType>
    <b:Guid>{256DE278-6FAC-45E0-9F82-4A6AE44532A9}</b:Guid>
    <b:Title>2017 Annual Technology Baseline</b:Title>
    <b:Year>2017</b:Year>
    <b:InternetSiteTitle>NREL</b:InternetSiteTitle>
    <b:URL>http://www.nrel.gov/analysis/data_tech_baseline.html</b:URL>
    <b:Author>
      <b:Author>
        <b:Corporate>National Renewable Energy Laboratory</b:Corporate>
      </b:Author>
    </b:Author>
    <b:RefOrder>1</b:RefOrder>
  </b:Source>
</b:Sources>
</file>

<file path=customXml/itemProps1.xml><?xml version="1.0" encoding="utf-8"?>
<ds:datastoreItem xmlns:ds="http://schemas.openxmlformats.org/officeDocument/2006/customXml" ds:itemID="{DF54EB09-4C34-4F14-B741-B6EB632C8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25385</Words>
  <Characters>144701</Characters>
  <Application>Microsoft Office Word</Application>
  <DocSecurity>4</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El Paso Electric</Company>
  <LinksUpToDate>false</LinksUpToDate>
  <CharactersWithSpaces>169747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Perez, Maritza</dc:creator>
  <cp:lastModifiedBy>Hutcheson, Marvin C</cp:lastModifiedBy>
  <cp:revision>2</cp:revision>
  <cp:lastPrinted>2018-09-12T20:14:00Z</cp:lastPrinted>
  <dcterms:created xsi:type="dcterms:W3CDTF">2021-06-17T00:19:00Z</dcterms:created>
  <dcterms:modified xsi:type="dcterms:W3CDTF">2021-06-17T00:19:00Z</dcterms:modified>
</cp:coreProperties>
</file>